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i w:val="0"/>
          <w:color w:val="5A8BA7"/>
          <w:sz w:val="20"/>
        </w:rPr>
        <w:t>FREMONT MAKERS LLC</w:t>
      </w:r>
    </w:p>
    <w:p>
      <w:pPr>
        <w:spacing w:before="0" w:after="40" w:line="240" w:lineRule="auto"/>
      </w:pPr>
      <w:r>
        <w:rPr>
          <w:rFonts w:ascii="Calibri" w:hAnsi="Calibri"/>
          <w:b/>
          <w:i w:val="0"/>
          <w:color w:val="1A2E3B"/>
          <w:sz w:val="44"/>
        </w:rPr>
        <w:t>Customer Sales Agreement</w:t>
      </w:r>
    </w:p>
    <w:p>
      <w:pPr>
        <w:spacing w:before="0" w:after="240" w:line="240" w:lineRule="auto"/>
        <w:pBdr>
          <w:bottom w:val="single" w:sz="18" w:space="4" w:color="5a8ba7"/>
        </w:pBdr>
      </w:pPr>
      <w:r>
        <w:rPr>
          <w:rFonts w:ascii="Calibri" w:hAnsi="Calibri"/>
          <w:b w:val="0"/>
          <w:i/>
          <w:color w:val="4B4F54"/>
          <w:sz w:val="22"/>
        </w:rPr>
        <w:t>Terms and Conditions  ·  Ready-to-Assemble Cabinets  ·  DRAFT  ·  September 2, 2026</w:t>
      </w:r>
    </w:p>
    <w:p>
      <w:pPr>
        <w:spacing w:before="280" w:after="120" w:line="240" w:lineRule="auto"/>
        <w:pBdr>
          <w:bottom w:val="single" w:sz="12" w:space="4" w:color="5a8ba7"/>
        </w:pBdr>
      </w:pPr>
      <w:r>
        <w:rPr>
          <w:rFonts w:ascii="Calibri" w:hAnsi="Calibri"/>
          <w:b/>
          <w:i w:val="0"/>
          <w:color w:val="1A2E3B"/>
          <w:sz w:val="26"/>
        </w:rPr>
        <w:t>Attorney review required</w:t>
      </w:r>
    </w:p>
    <w:p>
      <w:pPr>
        <w:spacing w:before="0" w:after="160" w:line="240" w:lineRule="auto"/>
      </w:pPr>
      <w:r>
        <w:rPr>
          <w:rFonts w:ascii="Calibri" w:hAnsi="Calibri"/>
          <w:b w:val="0"/>
          <w:i/>
          <w:color w:val="222222"/>
          <w:sz w:val="20"/>
        </w:rPr>
        <w:t>This document was drafted by an AI legal agent as a starting point. It has not been reviewed by a licensed attorney. Before signing or distributing this document, it must be reviewed by a qualified attorney licensed in Colorado. Unbridled Solutions and MC make no representation that this document is legally sufficient or enforceable.</w:t>
      </w:r>
    </w:p>
    <w:p>
      <w:pPr>
        <w:spacing w:before="280" w:after="120" w:line="240" w:lineRule="auto"/>
        <w:pBdr>
          <w:bottom w:val="single" w:sz="12" w:space="4" w:color="5a8ba7"/>
        </w:pBdr>
      </w:pPr>
      <w:r>
        <w:rPr>
          <w:rFonts w:ascii="Calibri" w:hAnsi="Calibri"/>
          <w:b/>
          <w:i w:val="0"/>
          <w:color w:val="1A2E3B"/>
          <w:sz w:val="26"/>
        </w:rPr>
        <w:t>1. Parties and Effective Date</w:t>
      </w:r>
    </w:p>
    <w:p>
      <w:pPr>
        <w:spacing w:before="0" w:after="160" w:line="240" w:lineRule="auto"/>
      </w:pPr>
      <w:r>
        <w:rPr>
          <w:rFonts w:ascii="Calibri" w:hAnsi="Calibri"/>
          <w:b w:val="0"/>
          <w:i w:val="0"/>
          <w:color w:val="222222"/>
          <w:sz w:val="22"/>
        </w:rPr>
        <w:t>1.1 Seller: Fremont Makers LLC, a Colorado limited liability company, located at 719 Main Street, Cañon City, CO 81212.</w:t>
      </w:r>
    </w:p>
    <w:p>
      <w:pPr>
        <w:spacing w:before="0" w:after="160" w:line="240" w:lineRule="auto"/>
      </w:pPr>
      <w:r>
        <w:rPr>
          <w:rFonts w:ascii="Calibri" w:hAnsi="Calibri"/>
          <w:b w:val="0"/>
          <w:i w:val="0"/>
          <w:color w:val="222222"/>
          <w:sz w:val="22"/>
        </w:rPr>
        <w:t>1.2 Buyer: ________________________________  Address: ________________________________</w:t>
      </w:r>
    </w:p>
    <w:p>
      <w:pPr>
        <w:spacing w:before="0" w:after="160" w:line="240" w:lineRule="auto"/>
      </w:pPr>
      <w:r>
        <w:rPr>
          <w:rFonts w:ascii="Calibri" w:hAnsi="Calibri"/>
          <w:b w:val="0"/>
          <w:i w:val="0"/>
          <w:color w:val="222222"/>
          <w:sz w:val="22"/>
        </w:rPr>
        <w:t>Phone: ________________  Email: ________________  Job / site address: ________________</w:t>
      </w:r>
    </w:p>
    <w:p>
      <w:pPr>
        <w:spacing w:before="0" w:after="160" w:line="240" w:lineRule="auto"/>
      </w:pPr>
      <w:r>
        <w:rPr>
          <w:rFonts w:ascii="Calibri" w:hAnsi="Calibri"/>
          <w:b w:val="0"/>
          <w:i w:val="0"/>
          <w:color w:val="222222"/>
          <w:sz w:val="22"/>
        </w:rPr>
        <w:t>1.3 Effective Date: the date of the last signature below, or the date of the Quote, whichever is later.</w:t>
      </w:r>
    </w:p>
    <w:p>
      <w:pPr>
        <w:spacing w:before="280" w:after="120" w:line="240" w:lineRule="auto"/>
        <w:pBdr>
          <w:bottom w:val="single" w:sz="12" w:space="4" w:color="5a8ba7"/>
        </w:pBdr>
      </w:pPr>
      <w:r>
        <w:rPr>
          <w:rFonts w:ascii="Calibri" w:hAnsi="Calibri"/>
          <w:b/>
          <w:i w:val="0"/>
          <w:color w:val="1A2E3B"/>
          <w:sz w:val="26"/>
        </w:rPr>
        <w:t>2. What This Agreement Covers</w:t>
      </w:r>
    </w:p>
    <w:p>
      <w:pPr>
        <w:spacing w:before="0" w:after="160" w:line="240" w:lineRule="auto"/>
      </w:pPr>
      <w:r>
        <w:rPr>
          <w:rFonts w:ascii="Calibri" w:hAnsi="Calibri"/>
          <w:b w:val="0"/>
          <w:i w:val="0"/>
          <w:color w:val="222222"/>
          <w:sz w:val="22"/>
        </w:rPr>
        <w:t>This Agreement plus Seller's written Quote and/or Invoice together form the entire deal. The Quote and Invoice are incorporated by reference. Dollar amounts appear only on the Quote or Invoice. Pricing is by bid. This form is the terms.</w:t>
      </w:r>
    </w:p>
    <w:p>
      <w:pPr>
        <w:spacing w:before="280" w:after="120" w:line="240" w:lineRule="auto"/>
        <w:pBdr>
          <w:bottom w:val="single" w:sz="12" w:space="4" w:color="5a8ba7"/>
        </w:pBdr>
      </w:pPr>
      <w:r>
        <w:rPr>
          <w:rFonts w:ascii="Calibri" w:hAnsi="Calibri"/>
          <w:b/>
          <w:i w:val="0"/>
          <w:color w:val="1A2E3B"/>
          <w:sz w:val="26"/>
        </w:rPr>
        <w:t>3. What Seller Sells</w:t>
      </w:r>
    </w:p>
    <w:p>
      <w:pPr>
        <w:spacing w:before="0" w:after="160" w:line="240" w:lineRule="auto"/>
      </w:pPr>
      <w:r>
        <w:rPr>
          <w:rFonts w:ascii="Calibri" w:hAnsi="Calibri"/>
          <w:b w:val="0"/>
          <w:i w:val="0"/>
          <w:color w:val="222222"/>
          <w:sz w:val="22"/>
        </w:rPr>
        <w:t>Seller sells ready-to-assemble (RTA / flat-pack) cabinets and related hardware listed on the Quote or Invoice. Unless the Quote states otherwise in writing, Seller does not provide design professional services, field measuring, installation, plumbing, electrical work, countertops, or appliances.</w:t>
      </w:r>
    </w:p>
    <w:p>
      <w:pPr>
        <w:spacing w:before="280" w:after="120" w:line="240" w:lineRule="auto"/>
        <w:pBdr>
          <w:bottom w:val="single" w:sz="12" w:space="4" w:color="5a8ba7"/>
        </w:pBdr>
      </w:pPr>
      <w:r>
        <w:rPr>
          <w:rFonts w:ascii="Calibri" w:hAnsi="Calibri"/>
          <w:b/>
          <w:i w:val="0"/>
          <w:color w:val="1A2E3B"/>
          <w:sz w:val="26"/>
        </w:rPr>
        <w:t>4. Reseller and Origin</w:t>
      </w:r>
    </w:p>
    <w:p>
      <w:pPr>
        <w:spacing w:before="0" w:after="160" w:line="240" w:lineRule="auto"/>
      </w:pPr>
      <w:r>
        <w:rPr>
          <w:rFonts w:ascii="Calibri" w:hAnsi="Calibri"/>
          <w:b w:val="0"/>
          <w:i w:val="0"/>
          <w:color w:val="222222"/>
          <w:sz w:val="22"/>
        </w:rPr>
        <w:t>Seller is a reseller, not the manufacturer. Cabinets come as ready-to-assemble flat packs, shipped to Cañon City, Colorado. Most items are available from warehouses in the United States. Custom or out-of-stock orders may take longer because some products originate overseas. Lead times are estimates. Delays in manufacturing, freight, or trucking are not a breach of this Agreement if Seller keeps Buyer reasonably informed.</w:t>
      </w:r>
    </w:p>
    <w:p>
      <w:pPr>
        <w:spacing w:before="280" w:after="120" w:line="240" w:lineRule="auto"/>
        <w:pBdr>
          <w:bottom w:val="single" w:sz="12" w:space="4" w:color="5a8ba7"/>
        </w:pBdr>
      </w:pPr>
      <w:r>
        <w:rPr>
          <w:rFonts w:ascii="Calibri" w:hAnsi="Calibri"/>
          <w:b/>
          <w:i w:val="0"/>
          <w:color w:val="1A2E3B"/>
          <w:sz w:val="26"/>
        </w:rPr>
        <w:t>5. Quote, Invoice, and Changes</w:t>
      </w:r>
    </w:p>
    <w:p>
      <w:pPr>
        <w:spacing w:before="0" w:after="160" w:line="240" w:lineRule="auto"/>
      </w:pPr>
      <w:r>
        <w:rPr>
          <w:rFonts w:ascii="Calibri" w:hAnsi="Calibri"/>
          <w:b w:val="0"/>
          <w:i w:val="0"/>
          <w:color w:val="222222"/>
          <w:sz w:val="22"/>
        </w:rPr>
        <w:t>If the Quote and Invoice conflict, the Invoice controls price after Buyer approval. This Agreement controls all other terms. Changes are valid only if made in a written change order signed by both parties. If manufacturer price increases, tariffs, or extra freight occur after the Quote but before the factory order is placed, Seller may revise the Quote before the 50% payment is accepted. After the factory order is placed, Buyer pays documented extras only if Buyer approved the change in writing.</w:t>
      </w:r>
    </w:p>
    <w:p>
      <w:pPr>
        <w:spacing w:before="280" w:after="120" w:line="240" w:lineRule="auto"/>
        <w:pBdr>
          <w:bottom w:val="single" w:sz="12" w:space="4" w:color="5a8ba7"/>
        </w:pBdr>
      </w:pPr>
      <w:r>
        <w:rPr>
          <w:rFonts w:ascii="Calibri" w:hAnsi="Calibri"/>
          <w:b/>
          <w:i w:val="0"/>
          <w:color w:val="1A2E3B"/>
          <w:sz w:val="26"/>
        </w:rPr>
        <w:t>6. Payment Schedule</w:t>
      </w:r>
    </w:p>
    <w:p>
      <w:pPr>
        <w:spacing w:before="0" w:after="160" w:line="240" w:lineRule="auto"/>
      </w:pPr>
      <w:r>
        <w:rPr>
          <w:rFonts w:ascii="Calibri" w:hAnsi="Calibri"/>
          <w:b w:val="0"/>
          <w:i w:val="0"/>
          <w:color w:val="222222"/>
          <w:sz w:val="22"/>
        </w:rPr>
        <w:t>Here is how payment works.</w:t>
      </w:r>
    </w:p>
    <w:p>
      <w:pPr>
        <w:pStyle w:val="ListBullet"/>
        <w:spacing w:before="0" w:after="60" w:line="240" w:lineRule="auto"/>
      </w:pPr>
      <w:r>
        <w:rPr>
          <w:rFonts w:ascii="Calibri" w:hAnsi="Calibri"/>
          <w:b w:val="0"/>
          <w:i w:val="0"/>
          <w:color w:val="222222"/>
          <w:sz w:val="22"/>
        </w:rPr>
        <w:t>50% of the Invoice total is due to place the order. This amount is non-refundable once Seller has placed the factory order, except as required by law.</w:t>
      </w:r>
    </w:p>
    <w:p>
      <w:pPr>
        <w:pStyle w:val="ListBullet"/>
        <w:spacing w:before="0" w:after="60" w:line="240" w:lineRule="auto"/>
      </w:pPr>
      <w:r>
        <w:rPr>
          <w:rFonts w:ascii="Calibri" w:hAnsi="Calibri"/>
          <w:b w:val="0"/>
          <w:i w:val="0"/>
          <w:color w:val="222222"/>
          <w:sz w:val="22"/>
        </w:rPr>
        <w:t>30% of the Invoice total is due when the order lands in Cañon City, Colorado.</w:t>
      </w:r>
    </w:p>
    <w:p>
      <w:pPr>
        <w:pStyle w:val="ListBullet"/>
        <w:spacing w:before="0" w:after="60" w:line="240" w:lineRule="auto"/>
      </w:pPr>
      <w:r>
        <w:rPr>
          <w:rFonts w:ascii="Calibri" w:hAnsi="Calibri"/>
          <w:b w:val="0"/>
          <w:i w:val="0"/>
          <w:color w:val="222222"/>
          <w:sz w:val="22"/>
        </w:rPr>
        <w:t>20% of the Invoice total is due on pickup or delivery.</w:t>
      </w:r>
    </w:p>
    <w:p>
      <w:pPr>
        <w:spacing w:before="0" w:after="160" w:line="240" w:lineRule="auto"/>
      </w:pPr>
      <w:r>
        <w:rPr>
          <w:rFonts w:ascii="Calibri" w:hAnsi="Calibri"/>
          <w:b w:val="0"/>
          <w:i w:val="0"/>
          <w:color w:val="222222"/>
          <w:sz w:val="22"/>
        </w:rPr>
        <w:t>Together these equal 100%. No Goods leave Seller, whether by pickup or delivery, until paid in full. If a payment is late, Seller may pause the order until it is current. Colorado sales tax applies as required by law.</w:t>
      </w:r>
    </w:p>
    <w:p>
      <w:pPr>
        <w:spacing w:before="280" w:after="120" w:line="240" w:lineRule="auto"/>
        <w:pBdr>
          <w:bottom w:val="single" w:sz="12" w:space="4" w:color="5a8ba7"/>
        </w:pBdr>
      </w:pPr>
      <w:r>
        <w:rPr>
          <w:rFonts w:ascii="Calibri" w:hAnsi="Calibri"/>
          <w:b/>
          <w:i w:val="0"/>
          <w:color w:val="1A2E3B"/>
          <w:sz w:val="26"/>
        </w:rPr>
        <w:t>7. Measurements and Specifications</w:t>
      </w:r>
    </w:p>
    <w:p>
      <w:pPr>
        <w:spacing w:before="0" w:after="160" w:line="240" w:lineRule="auto"/>
      </w:pPr>
      <w:r>
        <w:rPr>
          <w:rFonts w:ascii="Calibri" w:hAnsi="Calibri"/>
          <w:b w:val="0"/>
          <w:i w:val="0"/>
          <w:color w:val="222222"/>
          <w:sz w:val="22"/>
        </w:rPr>
        <w:t>Buyer is solely responsible for all measurements, quantities, layouts, and specifications. Seller is not liable if Buyer's measurements or specifications are incorrect. Wrong sizes, missing fillers, incorrect appliance openings, or similar issues are Buyer's cost to correct, including any reorder, restocking, or freight charges. Seller may review drawings as a courtesy only. Such review is not a warranty that the Goods will fit.</w:t>
      </w:r>
    </w:p>
    <w:p>
      <w:pPr>
        <w:spacing w:before="280" w:after="120" w:line="240" w:lineRule="auto"/>
        <w:pBdr>
          <w:bottom w:val="single" w:sz="12" w:space="4" w:color="5a8ba7"/>
        </w:pBdr>
      </w:pPr>
      <w:r>
        <w:rPr>
          <w:rFonts w:ascii="Calibri" w:hAnsi="Calibri"/>
          <w:b/>
          <w:i w:val="0"/>
          <w:color w:val="1A2E3B"/>
          <w:sz w:val="26"/>
        </w:rPr>
        <w:t>8. Cancellation and Returns</w:t>
      </w:r>
    </w:p>
    <w:p>
      <w:pPr>
        <w:spacing w:before="0" w:after="160" w:line="240" w:lineRule="auto"/>
      </w:pPr>
      <w:r>
        <w:rPr>
          <w:rFonts w:ascii="Calibri" w:hAnsi="Calibri"/>
          <w:b w:val="0"/>
          <w:i w:val="0"/>
          <w:color w:val="222222"/>
          <w:sz w:val="22"/>
        </w:rPr>
        <w:t>Once the factory order is placed, special-order RTA cabinets are generally not returnable. If cancellation is allowed at all, the deposit will be applied to restocking, freight, and factory charges. Unused stock hardware may be returned only if Seller agrees in writing in advance.</w:t>
      </w:r>
    </w:p>
    <w:p>
      <w:pPr>
        <w:spacing w:before="280" w:after="120" w:line="240" w:lineRule="auto"/>
        <w:pBdr>
          <w:bottom w:val="single" w:sz="12" w:space="4" w:color="5a8ba7"/>
        </w:pBdr>
      </w:pPr>
      <w:r>
        <w:rPr>
          <w:rFonts w:ascii="Calibri" w:hAnsi="Calibri"/>
          <w:b/>
          <w:i w:val="0"/>
          <w:color w:val="1A2E3B"/>
          <w:sz w:val="26"/>
        </w:rPr>
        <w:t>9. Delivery, Pickup, and Inspection</w:t>
      </w:r>
    </w:p>
    <w:p>
      <w:pPr>
        <w:spacing w:before="0" w:after="160" w:line="240" w:lineRule="auto"/>
      </w:pPr>
      <w:r>
        <w:rPr>
          <w:rFonts w:ascii="Calibri" w:hAnsi="Calibri"/>
          <w:b w:val="0"/>
          <w:i w:val="0"/>
          <w:color w:val="222222"/>
          <w:sz w:val="22"/>
        </w:rPr>
        <w:t>Buyer inspects the Goods at pickup or delivery and notes any visible damage on the bill of lading or delivery ticket. Failure to note damage within 48 hours means the Goods are deemed accepted, except for latent defects. Risk of loss passes to Buyer on pickup or on delivery to the site address. Title passes only when Buyer has paid in full.</w:t>
      </w:r>
    </w:p>
    <w:p>
      <w:pPr>
        <w:spacing w:before="280" w:after="120" w:line="240" w:lineRule="auto"/>
        <w:pBdr>
          <w:bottom w:val="single" w:sz="12" w:space="4" w:color="5a8ba7"/>
        </w:pBdr>
      </w:pPr>
      <w:r>
        <w:rPr>
          <w:rFonts w:ascii="Calibri" w:hAnsi="Calibri"/>
          <w:b/>
          <w:i w:val="0"/>
          <w:color w:val="1A2E3B"/>
          <w:sz w:val="26"/>
        </w:rPr>
        <w:t>10. Assembly</w:t>
      </w:r>
    </w:p>
    <w:p>
      <w:pPr>
        <w:spacing w:before="0" w:after="160" w:line="240" w:lineRule="auto"/>
      </w:pPr>
      <w:r>
        <w:rPr>
          <w:rFonts w:ascii="Calibri" w:hAnsi="Calibri"/>
          <w:b w:val="0"/>
          <w:i w:val="0"/>
          <w:color w:val="222222"/>
          <w:sz w:val="22"/>
        </w:rPr>
        <w:t>The Goods are flat-pack. Assembly is by Buyer or Buyer's contractor unless the Quote expressly includes Seller assembly. If Seller assembly is included, it covers assembly only and does not include installation into the building.</w:t>
      </w:r>
    </w:p>
    <w:p>
      <w:pPr>
        <w:spacing w:before="280" w:after="120" w:line="240" w:lineRule="auto"/>
        <w:pBdr>
          <w:bottom w:val="single" w:sz="12" w:space="4" w:color="5a8ba7"/>
        </w:pBdr>
      </w:pPr>
      <w:r>
        <w:rPr>
          <w:rFonts w:ascii="Calibri" w:hAnsi="Calibri"/>
          <w:b/>
          <w:i w:val="0"/>
          <w:color w:val="1A2E3B"/>
          <w:sz w:val="26"/>
        </w:rPr>
        <w:t>11. Warranty and Limitation of Liability</w:t>
      </w:r>
    </w:p>
    <w:p>
      <w:pPr>
        <w:spacing w:before="0" w:after="160" w:line="240" w:lineRule="auto"/>
      </w:pPr>
      <w:r>
        <w:rPr>
          <w:rFonts w:ascii="Calibri" w:hAnsi="Calibri"/>
          <w:b w:val="0"/>
          <w:i w:val="0"/>
          <w:color w:val="222222"/>
          <w:sz w:val="22"/>
        </w:rPr>
        <w:t>Seller passes through any manufacturer warranty that applies to the Goods. Seller warrants it has the right to sell the Goods. Except for that warranty, Seller makes no other warranties. To the extent Colorado law allows, Seller disclaims all implied warranties of merchantability and fitness for a particular purpose. This language is written to cover builders, contractors, and homeowners. A Colorado attorney should confirm treatment under the UCC versus consumer protection rules.</w:t>
      </w:r>
    </w:p>
    <w:p>
      <w:pPr>
        <w:spacing w:before="0" w:after="160" w:line="240" w:lineRule="auto"/>
      </w:pPr>
      <w:r>
        <w:rPr>
          <w:rFonts w:ascii="Calibri" w:hAnsi="Calibri"/>
          <w:b w:val="0"/>
          <w:i w:val="0"/>
          <w:color w:val="222222"/>
          <w:sz w:val="22"/>
        </w:rPr>
        <w:t>Seller's total liability under this Agreement is limited to the amounts Buyer actually paid for the affected Goods. Seller is not liable for consequential, delay, lost-rent, lost-profit, or similar damages.</w:t>
      </w:r>
    </w:p>
    <w:p>
      <w:pPr>
        <w:spacing w:before="280" w:after="120" w:line="240" w:lineRule="auto"/>
        <w:pBdr>
          <w:bottom w:val="single" w:sz="12" w:space="4" w:color="5a8ba7"/>
        </w:pBdr>
      </w:pPr>
      <w:r>
        <w:rPr>
          <w:rFonts w:ascii="Calibri" w:hAnsi="Calibri"/>
          <w:b/>
          <w:i w:val="0"/>
          <w:color w:val="1A2E3B"/>
          <w:sz w:val="26"/>
        </w:rPr>
        <w:t>12. Events Outside Seller's Control</w:t>
      </w:r>
    </w:p>
    <w:p>
      <w:pPr>
        <w:spacing w:before="0" w:after="160" w:line="240" w:lineRule="auto"/>
      </w:pPr>
      <w:r>
        <w:rPr>
          <w:rFonts w:ascii="Calibri" w:hAnsi="Calibri"/>
          <w:b w:val="0"/>
          <w:i w:val="0"/>
          <w:color w:val="222222"/>
          <w:sz w:val="22"/>
        </w:rPr>
        <w:t>Seller is not liable for delays or failures caused by events beyond its reasonable control, including factory issues, ocean freight problems, customs delays, weather, labor disputes, or government actions, provided Seller notifies Buyer promptly.</w:t>
      </w:r>
    </w:p>
    <w:p>
      <w:pPr>
        <w:spacing w:before="280" w:after="120" w:line="240" w:lineRule="auto"/>
        <w:pBdr>
          <w:bottom w:val="single" w:sz="12" w:space="4" w:color="5a8ba7"/>
        </w:pBdr>
      </w:pPr>
      <w:r>
        <w:rPr>
          <w:rFonts w:ascii="Calibri" w:hAnsi="Calibri"/>
          <w:b/>
          <w:i w:val="0"/>
          <w:color w:val="1A2E3B"/>
          <w:sz w:val="26"/>
        </w:rPr>
        <w:t>13. Entire Agreement, Severability, Waiver, and Counterparts</w:t>
      </w:r>
    </w:p>
    <w:p>
      <w:pPr>
        <w:spacing w:before="0" w:after="160" w:line="240" w:lineRule="auto"/>
      </w:pPr>
      <w:r>
        <w:rPr>
          <w:rFonts w:ascii="Calibri" w:hAnsi="Calibri"/>
          <w:b w:val="0"/>
          <w:i w:val="0"/>
          <w:color w:val="222222"/>
          <w:sz w:val="22"/>
        </w:rPr>
        <w:t>This Agreement, together with the Quote and Invoice, is the entire agreement between the parties. It replaces all prior discussions. If any part is found unenforceable, the rest remains in effect. Failure to enforce any term is not a waiver of that term. This Agreement may be signed in counterparts or by electronic signature under the Colorado Uniform Electronic Transactions Act.</w:t>
      </w:r>
    </w:p>
    <w:p>
      <w:pPr>
        <w:spacing w:before="280" w:after="120" w:line="240" w:lineRule="auto"/>
        <w:pBdr>
          <w:bottom w:val="single" w:sz="12" w:space="4" w:color="5a8ba7"/>
        </w:pBdr>
      </w:pPr>
      <w:r>
        <w:rPr>
          <w:rFonts w:ascii="Calibri" w:hAnsi="Calibri"/>
          <w:b/>
          <w:i w:val="0"/>
          <w:color w:val="1A2E3B"/>
          <w:sz w:val="26"/>
        </w:rPr>
        <w:t>14. Governing Law</w:t>
      </w:r>
    </w:p>
    <w:p>
      <w:pPr>
        <w:spacing w:before="0" w:after="160" w:line="240" w:lineRule="auto"/>
      </w:pPr>
      <w:r>
        <w:rPr>
          <w:rFonts w:ascii="Calibri" w:hAnsi="Calibri"/>
          <w:b w:val="0"/>
          <w:i w:val="0"/>
          <w:color w:val="222222"/>
          <w:sz w:val="22"/>
        </w:rPr>
        <w:t>This Agreement is governed by the laws of the State of Colorado, without regard to conflict-of-laws rules.</w:t>
      </w:r>
    </w:p>
    <w:p>
      <w:pPr>
        <w:spacing w:before="280" w:after="120" w:line="240" w:lineRule="auto"/>
        <w:pBdr>
          <w:bottom w:val="single" w:sz="12" w:space="4" w:color="5a8ba7"/>
        </w:pBdr>
      </w:pPr>
      <w:r>
        <w:rPr>
          <w:rFonts w:ascii="Calibri" w:hAnsi="Calibri"/>
          <w:b/>
          <w:i w:val="0"/>
          <w:color w:val="1A2E3B"/>
          <w:sz w:val="26"/>
        </w:rPr>
        <w:t>15. Disputes and Arbitration</w:t>
      </w:r>
    </w:p>
    <w:p>
      <w:pPr>
        <w:spacing w:before="0" w:after="160" w:line="240" w:lineRule="auto"/>
      </w:pPr>
      <w:r>
        <w:rPr>
          <w:rFonts w:ascii="Calibri" w:hAnsi="Calibri"/>
          <w:b w:val="0"/>
          <w:i w:val="0"/>
          <w:color w:val="222222"/>
          <w:sz w:val="22"/>
        </w:rPr>
        <w:t>Any dispute arising under this Agreement will be resolved by binding arbitration in Fremont County, Colorado, under the Colorado Uniform Arbitration Act (C.R.S. § 13-22-201 et seq.). One arbitrator will hear the matter. Each side pays its own attorney fees unless the arbitrator awards otherwise. Either party may bring a claim in small claims court if the amount is within that court's limit. If arbitration is unavailable for any reason, venue is in the state courts of Fremont County, Colorado.</w:t>
      </w:r>
    </w:p>
    <w:p>
      <w:pPr>
        <w:spacing w:before="280" w:after="120" w:line="240" w:lineRule="auto"/>
        <w:pBdr>
          <w:bottom w:val="single" w:sz="12" w:space="4" w:color="5a8ba7"/>
        </w:pBdr>
      </w:pPr>
      <w:r>
        <w:rPr>
          <w:rFonts w:ascii="Calibri" w:hAnsi="Calibri"/>
          <w:b/>
          <w:i w:val="0"/>
          <w:color w:val="1A2E3B"/>
          <w:sz w:val="26"/>
        </w:rPr>
        <w:t>16. Signatures</w:t>
      </w:r>
    </w:p>
    <w:p>
      <w:pPr>
        <w:spacing w:before="0" w:after="40" w:line="240" w:lineRule="auto"/>
      </w:pPr>
      <w:r>
        <w:rPr>
          <w:rFonts w:ascii="Calibri" w:hAnsi="Calibri"/>
          <w:b w:val="0"/>
          <w:i w:val="0"/>
          <w:color w:val="222222"/>
          <w:sz w:val="22"/>
        </w:rPr>
        <w:t>Seller: Fremont Makers LLC</w:t>
      </w:r>
    </w:p>
    <w:p>
      <w:pPr>
        <w:spacing w:before="200" w:after="40" w:line="240" w:lineRule="auto"/>
      </w:pPr>
      <w:r>
        <w:rPr>
          <w:rFonts w:ascii="Calibri" w:hAnsi="Calibri"/>
          <w:b w:val="0"/>
          <w:i w:val="0"/>
          <w:color w:val="222222"/>
          <w:sz w:val="22"/>
        </w:rPr>
        <w:t>Signature  ________________________________</w:t>
      </w:r>
    </w:p>
    <w:p>
      <w:pPr>
        <w:spacing w:before="200" w:after="40" w:line="240" w:lineRule="auto"/>
      </w:pPr>
      <w:r>
        <w:rPr>
          <w:rFonts w:ascii="Calibri" w:hAnsi="Calibri"/>
          <w:b w:val="0"/>
          <w:i w:val="0"/>
          <w:color w:val="222222"/>
          <w:sz w:val="22"/>
        </w:rPr>
        <w:t>Printed name  ________________________________</w:t>
      </w:r>
    </w:p>
    <w:p>
      <w:pPr>
        <w:spacing w:before="200" w:after="40" w:line="240" w:lineRule="auto"/>
      </w:pPr>
      <w:r>
        <w:rPr>
          <w:rFonts w:ascii="Calibri" w:hAnsi="Calibri"/>
          <w:b w:val="0"/>
          <w:i w:val="0"/>
          <w:color w:val="222222"/>
          <w:sz w:val="22"/>
        </w:rPr>
        <w:t>Title  ________________________________</w:t>
      </w:r>
    </w:p>
    <w:p>
      <w:pPr>
        <w:spacing w:before="200" w:after="40" w:line="240" w:lineRule="auto"/>
      </w:pPr>
      <w:r>
        <w:rPr>
          <w:rFonts w:ascii="Calibri" w:hAnsi="Calibri"/>
          <w:b w:val="0"/>
          <w:i w:val="0"/>
          <w:color w:val="222222"/>
          <w:sz w:val="22"/>
        </w:rPr>
        <w:t>Date  ________________________________</w:t>
      </w:r>
    </w:p>
    <w:p>
      <w:pPr>
        <w:spacing w:before="360" w:after="40" w:line="240" w:lineRule="auto"/>
      </w:pPr>
      <w:r>
        <w:rPr>
          <w:rFonts w:ascii="Calibri" w:hAnsi="Calibri"/>
          <w:b/>
          <w:i w:val="0"/>
          <w:color w:val="1A2E3B"/>
          <w:sz w:val="22"/>
        </w:rPr>
        <w:t>Buyer</w:t>
      </w:r>
    </w:p>
    <w:p>
      <w:pPr>
        <w:spacing w:before="200" w:after="40" w:line="240" w:lineRule="auto"/>
      </w:pPr>
      <w:r>
        <w:rPr>
          <w:rFonts w:ascii="Calibri" w:hAnsi="Calibri"/>
          <w:b w:val="0"/>
          <w:i w:val="0"/>
          <w:color w:val="222222"/>
          <w:sz w:val="22"/>
        </w:rPr>
        <w:t>Signature  ________________________________</w:t>
      </w:r>
    </w:p>
    <w:p>
      <w:pPr>
        <w:spacing w:before="200" w:after="40" w:line="240" w:lineRule="auto"/>
      </w:pPr>
      <w:r>
        <w:rPr>
          <w:rFonts w:ascii="Calibri" w:hAnsi="Calibri"/>
          <w:b w:val="0"/>
          <w:i w:val="0"/>
          <w:color w:val="222222"/>
          <w:sz w:val="22"/>
        </w:rPr>
        <w:t>Printed name  ________________________________</w:t>
      </w:r>
    </w:p>
    <w:p>
      <w:pPr>
        <w:spacing w:before="200" w:after="40" w:line="240" w:lineRule="auto"/>
      </w:pPr>
      <w:r>
        <w:rPr>
          <w:rFonts w:ascii="Calibri" w:hAnsi="Calibri"/>
          <w:b w:val="0"/>
          <w:i w:val="0"/>
          <w:color w:val="222222"/>
          <w:sz w:val="22"/>
        </w:rPr>
        <w:t>Title (if company)  ________________________________</w:t>
      </w:r>
    </w:p>
    <w:p>
      <w:pPr>
        <w:spacing w:before="200" w:after="40" w:line="240" w:lineRule="auto"/>
      </w:pPr>
      <w:r>
        <w:rPr>
          <w:rFonts w:ascii="Calibri" w:hAnsi="Calibri"/>
          <w:b w:val="0"/>
          <w:i w:val="0"/>
          <w:color w:val="222222"/>
          <w:sz w:val="22"/>
        </w:rPr>
        <w:t>Date  ________________________________</w:t>
      </w:r>
    </w:p>
    <w:p>
      <w:pPr>
        <w:spacing w:before="360" w:after="0" w:line="240" w:lineRule="auto"/>
      </w:pPr>
      <w:r>
        <w:rPr>
          <w:rFonts w:ascii="Calibri" w:hAnsi="Calibri"/>
          <w:b w:val="0"/>
          <w:i/>
          <w:color w:val="4B4F54"/>
          <w:sz w:val="18"/>
        </w:rPr>
        <w:t>DRAFT  ·  Not for execution  ·  Fremont Makers LLC  ·  719 Main Street, Cañon City, CO 81212</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