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Calibri" w:hAnsi="Calibri"/>
          <w:b/>
          <w:i w:val="0"/>
          <w:color w:val="8A6D20"/>
          <w:sz w:val="20"/>
        </w:rPr>
        <w:t>DRAFT · NOT FOR EXECUTION</w:t>
      </w:r>
    </w:p>
    <w:p>
      <w:pPr>
        <w:spacing w:after="40" w:before="0"/>
        <w:jc w:val="center"/>
      </w:pPr>
      <w:r>
        <w:rPr>
          <w:rFonts w:ascii="Calibri" w:hAnsi="Calibri"/>
          <w:b/>
          <w:i w:val="0"/>
          <w:color w:val="1A2E3B"/>
          <w:sz w:val="36"/>
        </w:rPr>
        <w:t>TJ's Log and Timber</w:t>
      </w:r>
    </w:p>
    <w:p>
      <w:pPr>
        <w:spacing w:after="40" w:before="0"/>
        <w:jc w:val="center"/>
      </w:pPr>
      <w:r>
        <w:rPr>
          <w:rFonts w:ascii="Calibri" w:hAnsi="Calibri"/>
          <w:b/>
          <w:i w:val="0"/>
          <w:color w:val="1A2E3B"/>
          <w:sz w:val="28"/>
        </w:rPr>
        <w:t>Memorandum of Understanding</w:t>
      </w:r>
    </w:p>
    <w:p>
      <w:pPr>
        <w:spacing w:after="80" w:before="0"/>
        <w:jc w:val="center"/>
      </w:pPr>
      <w:r>
        <w:rPr>
          <w:rFonts w:ascii="Calibri" w:hAnsi="Calibri"/>
          <w:b w:val="0"/>
          <w:i/>
          <w:color w:val="5C6B73"/>
          <w:sz w:val="22"/>
        </w:rPr>
        <w:t>Hire 2.0.1 · Two seats, not one · Ideation for Mike Gustafson</w:t>
      </w:r>
    </w:p>
    <w:p>
      <w:pPr>
        <w:spacing w:after="280" w:before="0"/>
        <w:jc w:val="center"/>
      </w:pPr>
      <w:r>
        <w:rPr>
          <w:rFonts w:ascii="Calibri" w:hAnsi="Calibri"/>
          <w:b w:val="0"/>
          <w:i w:val="0"/>
          <w:color w:val="5C6B73"/>
          <w:sz w:val="20"/>
        </w:rPr>
        <w:t>13 October 2026 · Colorado · Park County</w:t>
      </w:r>
    </w:p>
    <w:p>
      <w:pPr>
        <w:spacing w:after="280" w:before="0"/>
      </w:pPr>
      <w:r>
        <w:rPr>
          <w:rFonts w:ascii="Calibri" w:hAnsi="Calibri"/>
          <w:b w:val="0"/>
          <w:i/>
          <w:color w:val="5C6B73"/>
          <w:sz w:val="20"/>
        </w:rPr>
        <w:t>This document was drafted by an AI legal agent as a starting point. It has not been reviewed by a licensed attorney. Before signing or distributing this document, it must be reviewed by a qualified attorney licensed in Colorado. Unbridled Solutions and MC make no representation that this document is legally sufficient or enforceable.</w:t>
      </w:r>
    </w:p>
    <w:p>
      <w:pPr>
        <w:spacing w:after="120" w:before="0"/>
      </w:pPr>
      <w:r>
        <w:rPr>
          <w:rFonts w:ascii="Calibri" w:hAnsi="Calibri"/>
          <w:b/>
          <w:i w:val="0"/>
          <w:color w:val="8A6D20"/>
          <w:sz w:val="26"/>
        </w:rPr>
        <w:t>1. Parties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Company: TJ's Log and Timber, Bailey, Colorado mill. Legal SOS entity name TBD. Stan Bullis, on behalf of the Company.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Mike Gustafson, proposed General Manager.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Cara Tetter (spelling UNCONFIRMED), proposed salesperson / sales manager.</w:t>
      </w:r>
    </w:p>
    <w:p>
      <w:pPr>
        <w:spacing w:after="120" w:before="0"/>
      </w:pPr>
      <w:r>
        <w:rPr>
          <w:rFonts w:ascii="Calibri" w:hAnsi="Calibri"/>
          <w:b/>
          <w:i w:val="0"/>
          <w:color w:val="8A6D20"/>
          <w:sz w:val="26"/>
        </w:rPr>
        <w:t>2. Purpose · Hire 2.0.1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This is a loose, non-binding record of intent. It is written so Mike can see the room we are trying to make: two hires, not one.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The strategy is a US General Manager (Mike) and a sales manager (Cara) working alongside each other, inside a combined salary cap. Stan is less of a fan of a single GM hire. The cap exists so both seats can be filled without stacking two full standalone packages.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The commercial goal is revenue in the $2 million to $3 million range, then backfill production, build, and install. Cara's value is a consultative design-and-build approach and a white-glove walk through the entire build, not kit-only. The opportunity is a concierge path: navigate the whole process with the customer instead of only milling and delivering kits.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This document is ideation for Mike. It is not an employment contract. It does not grant equity. Either side can walk away.</w:t>
      </w:r>
    </w:p>
    <w:p>
      <w:pPr>
        <w:spacing w:after="120" w:before="0"/>
      </w:pPr>
      <w:r>
        <w:rPr>
          <w:rFonts w:ascii="Calibri" w:hAnsi="Calibri"/>
          <w:b/>
          <w:i w:val="0"/>
          <w:color w:val="8A6D20"/>
          <w:sz w:val="26"/>
        </w:rPr>
        <w:t>3. Mike Gustafson · General Manager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Start: 1 December 2026, or sooner by agreement. Title: General Manager. Colorado at-will. Offer letter later. No non-compete.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Base: $100,000 per year, framed on two-hire performance, not a solo GM package.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Plus 2% of all TJ's revenue. Illustration only: $2.0 million produces $40,000; $2.5 million produces $50,000; $3.0 million produces $60,000. No revenue is promised.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Annual bonus equal to 10% of net operating income in a calendar year. NOI definition TBD with counsel (expected: operating profit before owner distributions and this bonus).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Once the Company is profitable in a calendar year, an additional $20,000 true-up to base compensation.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PTO: three weeks total (vacation, sick, and other PTO combined).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Benefits: assumption Mike carries medical elsewhere. Company benefits TBD.</w:t>
      </w:r>
    </w:p>
    <w:p>
      <w:pPr>
        <w:spacing w:after="120" w:before="0"/>
      </w:pPr>
      <w:r>
        <w:rPr>
          <w:rFonts w:ascii="Calibri" w:hAnsi="Calibri"/>
          <w:b/>
          <w:i w:val="0"/>
          <w:color w:val="8A6D20"/>
          <w:sz w:val="26"/>
        </w:rPr>
        <w:t>4. Mike · Future equity option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Not a grant. After the Company is profitable, an option to buy into a 10% to 20% equity position at then-present value. Valuation first. Share price from that valuation. Cap table, unit class, voting, dilution, and buy-sell live in a later Operating Agreement. Majority control stays with current ownership. Do not read 15% as a promise.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Mike may apply 50% of his 10% NOI bonus toward those units at current market value.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Illustration: Company NOI $100,000. Mike 10% = $10,000. Fifty percent applied to equity purchase = $5,000, toward a 10-20% seat at then value.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Escalate: equity plus employment plus value above $50,000 requires attorney review before circulation for signature.</w:t>
      </w:r>
    </w:p>
    <w:p>
      <w:pPr>
        <w:spacing w:after="120" w:before="0"/>
      </w:pPr>
      <w:r>
        <w:rPr>
          <w:rFonts w:ascii="Calibri" w:hAnsi="Calibri"/>
          <w:b/>
          <w:i w:val="0"/>
          <w:color w:val="8A6D20"/>
          <w:sz w:val="26"/>
        </w:rPr>
        <w:t>5. Cara Tetter · Sales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Salesperson / sales manager working alongside Mike. Colorado at-will. Offer letter later. Spelling of last name unconfirmed.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Base $60,000 per year.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2% commission on her sales only, not on all Company revenue.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Plus 10% of design fees. Design fees equal 2% of the customer's total purchase price.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Worked $500,000 sale: Cara 2% of her sale = $10,000. Company design fee 2% = $10,000. Cara 10% of that fee = $1,000. Cara variable on that job = $11,000.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Two weeks PTO per year. Medical benefits TBD.</w:t>
      </w:r>
    </w:p>
    <w:p>
      <w:pPr>
        <w:spacing w:after="120" w:before="0"/>
      </w:pPr>
      <w:r>
        <w:rPr>
          <w:rFonts w:ascii="Calibri" w:hAnsi="Calibri"/>
          <w:b/>
          <w:i w:val="0"/>
          <w:color w:val="8A6D20"/>
          <w:sz w:val="26"/>
        </w:rPr>
        <w:t>6. Salary cap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Mike base $100,000 plus Cara base $60,000 = $160,000 two-hire base cap. This is the 2.0.1 idea: two people inside a cap. The alternative is a single hire (Mike only). Strategy language only. Not a binding headcount covenant.</w:t>
      </w:r>
    </w:p>
    <w:p>
      <w:pPr>
        <w:spacing w:after="120" w:before="0"/>
      </w:pPr>
      <w:r>
        <w:rPr>
          <w:rFonts w:ascii="Calibri" w:hAnsi="Calibri"/>
          <w:b/>
          <w:i w:val="0"/>
          <w:color w:val="8A6D20"/>
          <w:sz w:val="26"/>
        </w:rPr>
        <w:t>7. What this is not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Not an employment contract. Not an Operating Agreement or a grant of units. Not a promise of $2.5 million in revenue. Not a non-compete (Colorado HB 22-1317). Not a commitment to Company-paid medical.</w:t>
      </w:r>
    </w:p>
    <w:p>
      <w:pPr>
        <w:spacing w:after="120" w:before="0"/>
      </w:pPr>
      <w:r>
        <w:rPr>
          <w:rFonts w:ascii="Calibri" w:hAnsi="Calibri"/>
          <w:b/>
          <w:i w:val="0"/>
          <w:color w:val="8A6D20"/>
          <w:sz w:val="26"/>
        </w:rPr>
        <w:t>8. Governing law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Colorado law. Venue: Park County, Colorado (Bailey mill), unless counsel advises otherwise. Legal entity name for TJ's Log and Timber is TBD.</w:t>
      </w:r>
    </w:p>
    <w:p>
      <w:pPr>
        <w:spacing w:after="120" w:before="0"/>
      </w:pPr>
      <w:r>
        <w:rPr>
          <w:rFonts w:ascii="Calibri" w:hAnsi="Calibri"/>
          <w:b/>
          <w:i w:val="0"/>
          <w:color w:val="8A6D20"/>
          <w:sz w:val="26"/>
        </w:rPr>
        <w:t>9. Open items</w:t>
      </w:r>
    </w:p>
    <w:p>
      <w:pPr>
        <w:pStyle w:val="ListBullet"/>
      </w:pPr>
      <w:r>
        <w:rPr>
          <w:rFonts w:ascii="Calibri" w:hAnsi="Calibri"/>
          <w:color w:val="1A2E3B"/>
          <w:sz w:val="22"/>
        </w:rPr>
        <w:t>Confirm Cara's last-name spelling.</w:t>
      </w:r>
    </w:p>
    <w:p>
      <w:pPr>
        <w:pStyle w:val="ListBullet"/>
      </w:pPr>
      <w:r>
        <w:rPr>
          <w:rFonts w:ascii="Calibri" w:hAnsi="Calibri"/>
          <w:color w:val="1A2E3B"/>
          <w:sz w:val="22"/>
        </w:rPr>
        <w:t>Confirm TJ's Colorado SOS entity name.</w:t>
      </w:r>
    </w:p>
    <w:p>
      <w:pPr>
        <w:pStyle w:val="ListBullet"/>
      </w:pPr>
      <w:r>
        <w:rPr>
          <w:rFonts w:ascii="Calibri" w:hAnsi="Calibri"/>
          <w:color w:val="1A2E3B"/>
          <w:sz w:val="22"/>
        </w:rPr>
        <w:t>Define NOI with counsel.</w:t>
      </w:r>
    </w:p>
    <w:p>
      <w:pPr>
        <w:pStyle w:val="ListBullet"/>
      </w:pPr>
      <w:r>
        <w:rPr>
          <w:rFonts w:ascii="Calibri" w:hAnsi="Calibri"/>
          <w:color w:val="1A2E3B"/>
          <w:sz w:val="22"/>
        </w:rPr>
        <w:t>Company benefits for Mike and Cara.</w:t>
      </w:r>
    </w:p>
    <w:p>
      <w:pPr>
        <w:pStyle w:val="ListBullet"/>
      </w:pPr>
      <w:r>
        <w:rPr>
          <w:rFonts w:ascii="Calibri" w:hAnsi="Calibri"/>
          <w:color w:val="1A2E3B"/>
          <w:sz w:val="22"/>
        </w:rPr>
        <w:t>Valuation method and option mechanics (10-20% range).</w:t>
      </w:r>
    </w:p>
    <w:p>
      <w:pPr>
        <w:pStyle w:val="ListBullet"/>
      </w:pPr>
      <w:r>
        <w:rPr>
          <w:rFonts w:ascii="Calibri" w:hAnsi="Calibri"/>
          <w:color w:val="1A2E3B"/>
          <w:sz w:val="22"/>
        </w:rPr>
        <w:t>Start date if sooner than 1 December 2026.</w:t>
      </w:r>
    </w:p>
    <w:p>
      <w:pPr>
        <w:pStyle w:val="ListBullet"/>
      </w:pPr>
      <w:r>
        <w:rPr>
          <w:rFonts w:ascii="Calibri" w:hAnsi="Calibri"/>
          <w:color w:val="1A2E3B"/>
          <w:sz w:val="22"/>
        </w:rPr>
        <w:t>Counsel confirm Park County venue.</w:t>
      </w:r>
    </w:p>
    <w:p>
      <w:pPr>
        <w:pStyle w:val="ListBullet"/>
      </w:pPr>
      <w:r>
        <w:rPr>
          <w:rFonts w:ascii="Calibri" w:hAnsi="Calibri"/>
          <w:color w:val="1A2E3B"/>
          <w:sz w:val="22"/>
        </w:rPr>
        <w:t>Separate offer letters after attorney review.</w:t>
      </w:r>
    </w:p>
    <w:p>
      <w:pPr>
        <w:spacing w:after="120" w:before="0"/>
      </w:pPr>
      <w:r>
        <w:rPr>
          <w:rFonts w:ascii="Calibri" w:hAnsi="Calibri"/>
          <w:b/>
          <w:i w:val="0"/>
          <w:color w:val="8A6D20"/>
          <w:sz w:val="26"/>
        </w:rPr>
        <w:t>10. Non-binding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This memorandum is expressly non-binding. It records current thinking so Mike can see the two-hire path. No party is obligated to proceed. Signatures below are acknowledgments of receipt and discussion only.</w:t>
      </w:r>
    </w:p>
    <w:p>
      <w:pPr>
        <w:spacing w:after="120" w:before="0"/>
      </w:pPr>
      <w:r>
        <w:rPr>
          <w:rFonts w:ascii="Calibri" w:hAnsi="Calibri"/>
          <w:b/>
          <w:i w:val="0"/>
          <w:color w:val="8A6D20"/>
          <w:sz w:val="26"/>
        </w:rPr>
        <w:t>11. Acknowledgment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Stan Bullis, on behalf of TJ's Log and Timber (entity TBD)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Signature: _______________________________     Date: ______________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Mike Gustafson, proposed General Manager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Signature: _______________________________     Date: ______________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Cara Tetter, proposed sales (spelling TBD)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2E3B"/>
          <w:sz w:val="22"/>
        </w:rPr>
        <w:t>Signature: _______________________________     Date: ______________</w:t>
      </w:r>
    </w:p>
    <w:p>
      <w:pPr>
        <w:spacing w:after="0" w:before="0"/>
        <w:jc w:val="center"/>
      </w:pPr>
      <w:r>
        <w:rPr>
          <w:rFonts w:ascii="Calibri" w:hAnsi="Calibri"/>
          <w:b w:val="0"/>
          <w:i w:val="0"/>
          <w:color w:val="5C6B73"/>
          <w:sz w:val="18"/>
        </w:rPr>
        <w:t>DRAFT · 13 Oct 2026 · Not for execution · Attorney review required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