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CHANDIGARH ENGINEERING COLLEGE JHANJERI</w:t>
        <w:br/>
      </w:r>
      <w:r>
        <w:rPr>
          <w:b/>
          <w:sz w:val="22"/>
        </w:rPr>
        <w:t>Department of Computer Science &amp; Engineering / Robotics and Artificial Intelligence</w:t>
        <w:br/>
      </w:r>
      <w:r>
        <w:rPr>
          <w:sz w:val="20"/>
        </w:rPr>
        <w:t>Affiliated to I.K. Gujral Punjab Technical University, Jalandhar (Batch: 2023–2027)</w:t>
      </w:r>
    </w:p>
    <w:p>
      <w:pPr>
        <w:spacing w:after="320"/>
        <w:jc w:val="center"/>
      </w:pPr>
      <w:r>
        <w:rPr>
          <w:b/>
          <w:sz w:val="30"/>
        </w:rPr>
        <w:t>MIDTERM PROJECT REPORT</w:t>
        <w:br/>
      </w:r>
      <w:r>
        <w:rPr>
          <w:b/>
          <w:sz w:val="26"/>
        </w:rPr>
        <w:t>EDGE AI SMART PROSTHETIC HAND WITH ADAPTIVE GRIP LEARNING</w:t>
      </w:r>
    </w:p>
    <w:p>
      <w:pPr>
        <w:spacing w:before="200" w:after="80"/>
      </w:pPr>
      <w:r>
        <w:rPr>
          <w:b/>
          <w:color w:val="0F172A"/>
          <w:sz w:val="24"/>
        </w:rPr>
        <w:t>1. Executive Summary &amp; Milestone Context</w:t>
      </w:r>
    </w:p>
    <w:p>
      <w:pPr>
        <w:spacing w:after="120"/>
        <w:jc w:val="both"/>
      </w:pPr>
      <w:r>
        <w:rPr>
          <w:sz w:val="22"/>
        </w:rPr>
        <w:t>The Semester VII Engineering Clinics curriculum requires the execution of an evidence-based biomechatronics engineering project. Commercial myoelectric hands operate in an open-loop manner, relying on user co-contraction without tactile feedback, causing payload slippage or crush damage. Concurrently, deep learning research models demand excessive computing power and memory storage, preventing on-socket embedded execution.</w:t>
      </w:r>
    </w:p>
    <w:p>
      <w:pPr>
        <w:spacing w:after="120"/>
        <w:jc w:val="both"/>
      </w:pPr>
      <w:r>
        <w:rPr>
          <w:sz w:val="22"/>
        </w:rPr>
        <w:t>Our project addresses this dual problem by engineering an Edge AI Smart Prosthetic Hand that decouples intention recognition from autonomous tactile force regulation. As of the midterm review milestone, the team has successfully completed the mathematical formulation, algorithmic implementation, backend REST service architecture, automated regression testing suite, and an interactive High-DPI virtual dashboard.</w:t>
      </w:r>
    </w:p>
    <w:p>
      <w:pPr>
        <w:spacing w:before="200" w:after="80"/>
      </w:pPr>
      <w:r>
        <w:rPr>
          <w:b/>
          <w:color w:val="0F172A"/>
          <w:sz w:val="24"/>
        </w:rPr>
        <w:t>2. Completed Technical Milestones</w:t>
      </w:r>
    </w:p>
    <w:p>
      <w:pPr>
        <w:spacing w:after="120"/>
        <w:jc w:val="both"/>
      </w:pPr>
      <w:r>
        <w:rPr>
          <w:sz w:val="22"/>
        </w:rPr>
        <w:t>1) Deterministic sEMG Signal Generator: Generates 2-channel sEMG waveforms at 1000 Hz across 4 grip classes with calibrated Gaussian baseline noise. 2) Guarded Time-Domain Feature Extraction: Computes 12 statistical descriptors with division-by-zero guards for N &lt;= 1 and N &lt; 2. 3) Random Forest Intention Classifier: 35 trees, maximum depth 7, trained on 720 synthetic samples. 4) Closed-Loop Tactile Grip Controller: Contact detection (5 N), proportional tracking (50 N setpoint), deadband (3 N), +18% anti-slip reflex boost, and 75 N crush ceiling. 5) FastAPI REST Service: 7 typed endpoints with Pydantic validation (HTTP 422 error handling). 6) React 19 Frontend: High-DPI DPR canvas oscilloscope, 3D kinematic hand visualization, and 27-second continuous demonstration sequence.</w:t>
      </w:r>
    </w:p>
    <w:p>
      <w:pPr>
        <w:spacing w:before="200" w:after="80"/>
      </w:pPr>
      <w:r>
        <w:rPr>
          <w:b/>
          <w:color w:val="0F172A"/>
          <w:sz w:val="24"/>
        </w:rPr>
        <w:t>3. Encountered Technical Bottlenecks &amp; Audit Fixes</w:t>
      </w:r>
    </w:p>
    <w:p>
      <w:pPr>
        <w:spacing w:after="120"/>
        <w:jc w:val="both"/>
      </w:pPr>
      <w:r>
        <w:rPr>
          <w:sz w:val="22"/>
        </w:rPr>
        <w:t>During the pre-midterm code audit, six critical issues were identified and resolved: 1) Division-by-zero in Zero-Crossing Rate on short signals was eliminated with explicit N &lt; 2 guards. 2) Unhandled exceptions returning HTTP 500 were replaced with Pydantic HTTP 422 validation responses. 3) The resting noise calibration parameter was connected to the actual Gaussian noise synthesis loop. 4) Hardcoded latency constants were replaced with real host CPU monotonic timer profiling. 5) Canvas blurriness on Retina screens was resolved via DPR auto-scaling. 6) A DECREASING controller progression state was added to handle over-force conditions.</w:t>
      </w:r>
    </w:p>
    <w:p>
      <w:pPr>
        <w:spacing w:before="200" w:after="80"/>
      </w:pPr>
      <w:r>
        <w:rPr>
          <w:b/>
          <w:color w:val="0F172A"/>
          <w:sz w:val="24"/>
        </w:rPr>
        <w:t>4. Midterm Quantitative Verification Evidence</w:t>
      </w:r>
    </w:p>
    <w:p>
      <w:pPr>
        <w:spacing w:after="120"/>
        <w:jc w:val="both"/>
      </w:pPr>
      <w:r>
        <w:rPr>
          <w:sz w:val="22"/>
        </w:rPr>
        <w:t>1) Automated Pytest Suite: 27 out of 27 automated tests passing in 4.06 seconds. 2) Production Frontend Build: Verified with Vite (13 modules transformed, 0 errors, 669 ms). 3) Classification Accuracy: 100.0% holdout accuracy and 100.0% 5-fold cross-validation accuracy on the synthetic dataset (disclaimer: evaluated on synthetic sEMG, not clinical human data). 4) Host Inference Latency: Measured mean host CPU latency of 1.46 ms +/- 0.08 ms across 50 warmed-up trials. 5) Tactile Force Dynamics: Confirmed deadband stabilization at 49.8 N, +18% anti-slip reflex boost within 20 ms, and strict 75 N safety ceiling clamping.</w:t>
      </w:r>
    </w:p>
    <w:p>
      <w:pPr>
        <w:spacing w:before="200" w:after="80"/>
      </w:pPr>
      <w:r>
        <w:rPr>
          <w:b/>
          <w:color w:val="0F172A"/>
          <w:sz w:val="24"/>
        </w:rPr>
        <w:t>5. Second-Half Work Plan &amp; Hardware Roadmap</w:t>
      </w:r>
    </w:p>
    <w:p>
      <w:pPr>
        <w:spacing w:after="120"/>
        <w:jc w:val="both"/>
      </w:pPr>
      <w:r>
        <w:rPr>
          <w:sz w:val="22"/>
        </w:rPr>
        <w:t>Phase 1: TinyML C firmware translation and benchmarking on ESP32-S3 (240 MHz). Phase 2: Analog Front-End (AFE) PCB design with TI INA333 instrumentation amplifiers and Ag/AgCl dry electrodes. Phase 3: 3D-printed anthropomorphic hand fabrication using PETG/TPU and coreless metal-gear micro-servos. Phase 4: Integration of fingertip piezoresistive FSR sensors and micro-vibration slip accelerometers. Phase 5: Standardized clinical amputee trials (SHAP, Box &amp; Blocks).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