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color w:val="64748B"/>
          <w:sz w:val="17"/>
        </w:rPr>
        <w:t>IEEE International Conference on Robotics &amp; Artificial Intelligence (ICRAI) / Biomedical Engineering</w:t>
        <w:br/>
      </w:r>
    </w:p>
    <w:p>
      <w:pPr>
        <w:spacing w:after="160"/>
        <w:jc w:val="center"/>
      </w:pPr>
      <w:r>
        <w:rPr>
          <w:b/>
          <w:sz w:val="32"/>
        </w:rPr>
        <w:t>Design and Digital Simulation of an Edge AI-Enabled Myoelectric Prosthetic Hand with Adaptive Closed-Loop Grasping</w:t>
      </w:r>
    </w:p>
    <w:p>
      <w:pPr>
        <w:spacing w:after="280"/>
        <w:jc w:val="center"/>
      </w:pPr>
      <w:r>
        <w:rPr>
          <w:b/>
          <w:sz w:val="20"/>
        </w:rPr>
        <w:t>Student Name 1, Student Name 2, Student Name 3, and Dr. Faculty Guide Name (Corresponding Author)</w:t>
        <w:br/>
      </w:r>
      <w:r>
        <w:rPr>
          <w:i/>
          <w:sz w:val="18"/>
        </w:rPr>
        <w:t>Department of Computer Science &amp; Engineering / Robotics and Artificial Intelligence</w:t>
        <w:br/>
        <w:t>Chandigarh Engineering College Jhanjeri, Mohali, Punjab - 140307, India</w:t>
        <w:br/>
        <w:t>Affiliated to I.K. Gujral Punjab Technical University, Jalandhar</w:t>
      </w:r>
    </w:p>
    <w:p>
      <w:pPr>
        <w:spacing w:before="160" w:after="60"/>
      </w:pPr>
      <w:r>
        <w:rPr>
          <w:b/>
          <w:color w:val="0F172A"/>
          <w:sz w:val="22"/>
        </w:rPr>
        <w:t>ABSTRACT</w:t>
      </w:r>
    </w:p>
    <w:p>
      <w:pPr>
        <w:spacing w:after="80"/>
        <w:jc w:val="both"/>
      </w:pPr>
      <w:r>
        <w:rPr>
          <w:sz w:val="20"/>
        </w:rPr>
        <w:t>Commercial myoelectric upper-limb prostheses overwhelmingly rely on open-loop dual-threshold switching, which actuates terminal motors at fixed speeds until mechanical stall occurs. This lack of tactile awareness causes frequent object dropping, accidental crush damage, and amputee cognitive exhaustion from continuous visual supervision. Concurrently, deep neural network research architectures demand high computational memory and introduce latency jitter that prevents embedded on-socket execution. To overcome these limitations, this paper presents the engineering design, algorithmic formulation, and empirical verification of an Edge AI-enabled smart prosthetic hand prototype that decouples supervisory intention recognition from autonomous closed-loop tactile force regulation. Evaluating across 720 synthetic sEMG signal trials at 1000 Hz, a constrained 35-tree Random Forest classifier paired with a guarded 12-dimensional time-domain feature extraction pipeline achieves 100.0% classification accuracy and a Macro-F1 score of 1.0000 on synthetic waveforms. Real host CPU execution latency profiles at 1.40-1.88 ms across 50 warmed-up trials, satisfying sub-10 ms edge constraints. The closed-loop controller incorporates contact detection (5.0 N), deadband hysteresis (3.0 N), an anti-crush ceiling (75.0 N), and an autonomous shear slip reflex boost (+18% / +12 N) that arrests slip within 20 ms. The complete system is verified through 27 passing automated regression tests, compiled via a production-grade Vite/React 19 dashboard, and mapped to a 5-phase embedded ESP32-S3 hardware transition roadmap.</w:t>
      </w:r>
    </w:p>
    <w:p>
      <w:pPr>
        <w:spacing w:after="80"/>
        <w:jc w:val="both"/>
      </w:pPr>
      <w:r>
        <w:rPr>
          <w:sz w:val="20"/>
        </w:rPr>
        <w:t>Index Terms—Surface Electromyography (sEMG), Edge AI, TinyML, Random Forest, Closed-Loop Tactile Control, Anti-Slip Reflex, Bionic Hand, Cyber-Physical Simulation.</w:t>
      </w:r>
    </w:p>
    <w:p>
      <w:pPr>
        <w:spacing w:before="160" w:after="60"/>
      </w:pPr>
      <w:r>
        <w:rPr>
          <w:b/>
          <w:color w:val="0F172A"/>
          <w:sz w:val="22"/>
        </w:rPr>
        <w:t>I. INTRODUCTION</w:t>
      </w:r>
    </w:p>
    <w:p>
      <w:pPr>
        <w:spacing w:after="80"/>
        <w:jc w:val="both"/>
      </w:pPr>
      <w:r>
        <w:rPr>
          <w:sz w:val="20"/>
        </w:rPr>
        <w:t>Trans-radial upper-limb amputations represent a profound clinical impairment, disrupting manual manipulation and occupational autonomy. While commercial myoelectric prostheses are available, their rejection rate remains between 30% and 50%. Commercial bionic hands operate primarily on open-loop dual-site thresholding, lacking tactile feedback. Concurrently, academic deep learning approaches demand heavy GPU compute and memory footprints, preventing on-socket embedded execution.</w:t>
      </w:r>
    </w:p>
    <w:p>
      <w:pPr>
        <w:spacing w:after="80"/>
        <w:jc w:val="both"/>
      </w:pPr>
      <w:r>
        <w:rPr>
          <w:sz w:val="20"/>
        </w:rPr>
        <w:t>This paper presents a decoupled dual-brain architecture where supervisory intention recognition is separated from autonomous high-frequency tactile force regulation.</w:t>
      </w:r>
    </w:p>
    <w:p>
      <w:pPr>
        <w:spacing w:before="160" w:after="60"/>
      </w:pPr>
      <w:r>
        <w:rPr>
          <w:b/>
          <w:color w:val="0F172A"/>
          <w:sz w:val="22"/>
        </w:rPr>
        <w:t>II. RELATED WORK</w:t>
      </w:r>
    </w:p>
    <w:p>
      <w:pPr>
        <w:spacing w:after="80"/>
        <w:jc w:val="both"/>
      </w:pPr>
      <w:r>
        <w:rPr>
          <w:sz w:val="20"/>
        </w:rPr>
        <w:t>Classical myoelectric pattern recognition relies on time-domain statistical features (RMS, MAV, VAR, SSI, ZCR) computed over 150-250 ms sliding analysis windows. Tree ensembles (Random Forest) provide fast non-linear classification with compact flash memory storage (&lt; 200 KB). Research by Kyberd and Liu demonstrates that autonomous slip correction must occur within 20 milliseconds directly at the actuator tier to prevent object drops.</w:t>
      </w:r>
    </w:p>
    <w:p>
      <w:pPr>
        <w:spacing w:before="160" w:after="60"/>
      </w:pPr>
      <w:r>
        <w:rPr>
          <w:b/>
          <w:color w:val="0F172A"/>
          <w:sz w:val="22"/>
        </w:rPr>
        <w:t>III. PROPOSED SYSTEM METHODOLOGY</w:t>
      </w:r>
    </w:p>
    <w:p>
      <w:pPr>
        <w:spacing w:after="80"/>
        <w:jc w:val="both"/>
      </w:pPr>
      <w:r>
        <w:rPr>
          <w:sz w:val="20"/>
        </w:rPr>
        <w:t>The prototype comprises four tiers: 1) Sensory Emulation Layer (1000 Hz sEMG generation from FDS and EDC muscles across 200 ms windows); 2) Edge Intelligence Layer (12D guarded time-domain features, 35-tree Random Forest); 3) Closed-Loop Tactile Control Layer (proportional force regulation, deadband hysteresis, +18% slip reflex boost, 75 N crush ceiling); 4) Telemetry Presentation Layer (FastAPI REST service, React 19 / TypeScript UI).</w:t>
      </w:r>
    </w:p>
    <w:p>
      <w:pPr>
        <w:spacing w:before="160" w:after="60"/>
      </w:pPr>
      <w:r>
        <w:rPr>
          <w:b/>
          <w:color w:val="0F172A"/>
          <w:sz w:val="22"/>
        </w:rPr>
        <w:t>IV. EXPERIMENTAL RESULTS &amp; VERIFICATION</w:t>
      </w:r>
    </w:p>
    <w:p>
      <w:pPr>
        <w:spacing w:after="80"/>
        <w:jc w:val="both"/>
      </w:pPr>
      <w:r>
        <w:rPr>
          <w:sz w:val="20"/>
        </w:rPr>
        <w:t>1) Automated Regression Tests: 27 out of 27 automated tests passing in 4.06 seconds. 2) Production Build: Verified with Vite (0 errors, 669 ms). 3) Classification Accuracy: 100.0% holdout accuracy and 100.0% 5-fold cross-validation accuracy on synthetic signals (Macro-F1: 1.0000; disclaimer: evaluated on synthetic sEMG, not clinical human data). 4) Host Inference Latency: Measured mean latency of 1.46 ms +/- 0.08 ms across 50 warmed-up trials on host CPU. 5) Tactile Dynamics: Confirmed deadband stabilization at 49.8 N, +18% anti-slip reflex boost within 20 ms, and 75 N safety ceiling clamping.</w:t>
      </w:r>
    </w:p>
    <w:p>
      <w:pPr>
        <w:spacing w:before="160" w:after="60"/>
      </w:pPr>
      <w:r>
        <w:rPr>
          <w:b/>
          <w:color w:val="0F172A"/>
          <w:sz w:val="22"/>
        </w:rPr>
        <w:t>V. LIMITATIONS &amp; HARDWARE ROADMAP</w:t>
      </w:r>
    </w:p>
    <w:p>
      <w:pPr>
        <w:spacing w:after="80"/>
        <w:jc w:val="both"/>
      </w:pPr>
      <w:r>
        <w:rPr>
          <w:sz w:val="20"/>
        </w:rPr>
        <w:t>Current limitations include synthetic signal simplicity, single-zone tactile approximation, and software slip triggers. The 5-phase hardware transition roadmap spans: Phase 1: TinyML C porting on ESP32-S3 (240 MHz); Phase 2: Analog Front-End (TI INA333) with Ag/AgCl dry electrodes; Phase 3: 3D anthropomorphic mechanical hand in PETG/TPU; Phase 4: Fingertip piezoresistive FSR array; Phase 5: Standardized amputee clinical trials (SHAP, Box &amp; Blocks).</w:t>
      </w:r>
    </w:p>
    <w:p>
      <w:pPr>
        <w:spacing w:before="160" w:after="60"/>
      </w:pPr>
      <w:r>
        <w:rPr>
          <w:b/>
          <w:color w:val="0F172A"/>
          <w:sz w:val="22"/>
        </w:rPr>
        <w:t>VI. CONCLUSION</w:t>
      </w:r>
    </w:p>
    <w:p>
      <w:pPr>
        <w:spacing w:after="80"/>
        <w:jc w:val="both"/>
      </w:pPr>
      <w:r>
        <w:rPr>
          <w:sz w:val="20"/>
        </w:rPr>
        <w:t>The proposed Edge AI Smart Prosthetic Hand prototype successfully demonstrates that low-latency intention inference and autonomous closed-loop tactile force regulation can be unified into an academically defensible, highly stable software simulation prototype.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