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8"/>
        </w:rPr>
        <w:t>CHANDIGARH ENGINEERING COLLEGE JHANJERI</w:t>
        <w:br/>
      </w:r>
      <w:r>
        <w:rPr>
          <w:b/>
          <w:sz w:val="22"/>
        </w:rPr>
        <w:t>Department of Computer Science &amp; Engineering / Robotics and Artificial Intelligence</w:t>
        <w:br/>
      </w:r>
      <w:r>
        <w:rPr>
          <w:sz w:val="20"/>
        </w:rPr>
        <w:t>Affiliated to I.K. Gujral Punjab Technical University, Jalandhar (Batch: 2023–2027)</w:t>
      </w:r>
    </w:p>
    <w:p>
      <w:pPr>
        <w:spacing w:after="320"/>
        <w:jc w:val="center"/>
      </w:pPr>
      <w:r>
        <w:rPr>
          <w:b/>
          <w:sz w:val="30"/>
        </w:rPr>
        <w:t>PROJECT SYNOPSIS</w:t>
        <w:br/>
      </w:r>
      <w:r>
        <w:rPr>
          <w:b/>
          <w:sz w:val="26"/>
        </w:rPr>
        <w:t>EDGE AI SMART PROSTHETIC HAND WITH ADAPTIVE GRIP LEARNING</w:t>
      </w:r>
    </w:p>
    <w:p>
      <w:pPr>
        <w:spacing w:before="200" w:after="80"/>
      </w:pPr>
      <w:r>
        <w:rPr>
          <w:b/>
          <w:color w:val="0F172A"/>
          <w:sz w:val="24"/>
        </w:rPr>
        <w:t>1. Introduction &amp; Clinical Motivation</w:t>
      </w:r>
    </w:p>
    <w:p>
      <w:pPr>
        <w:spacing w:after="120"/>
        <w:jc w:val="both"/>
      </w:pPr>
      <w:r>
        <w:rPr>
          <w:sz w:val="22"/>
        </w:rPr>
        <w:t>Upper-limb amputations severely impair manual manipulation and quality of life. Commercial myoelectric hands rely primarily on open-loop threshold switching, which lacks tactile feedback and causes high rates of object slippage and crush damage, while imposing extreme visual concentration on users. This project presents an Edge AI-enabled prosthetic hand simulation prototype that decouples intention recognition from autonomous closed-loop tactile force regulation within a sub-2 ms host latency profile.</w:t>
      </w:r>
    </w:p>
    <w:p>
      <w:pPr>
        <w:spacing w:before="200" w:after="80"/>
      </w:pPr>
      <w:r>
        <w:rPr>
          <w:b/>
          <w:color w:val="0F172A"/>
          <w:sz w:val="24"/>
        </w:rPr>
        <w:t>2. Problem Statement &amp; Quantifiable Objectives</w:t>
      </w:r>
    </w:p>
    <w:p>
      <w:pPr>
        <w:spacing w:after="120"/>
        <w:jc w:val="both"/>
      </w:pPr>
      <w:r>
        <w:rPr>
          <w:sz w:val="22"/>
        </w:rPr>
        <w:t>Problem Statement: Existing myoelectric prostheses lack low-latency, embedded-compatible pattern recognition combined with autonomous closed-loop tactile force regulation, leading to frequent object dropping, accidental crush damage, and amputee cognitive exhaustion.</w:t>
      </w:r>
    </w:p>
    <w:p>
      <w:pPr>
        <w:spacing w:after="120"/>
        <w:jc w:val="both"/>
      </w:pPr>
      <w:r>
        <w:rPr>
          <w:sz w:val="22"/>
        </w:rPr>
        <w:t>Key Objectives: 1) Synthesize deterministic 2-channel sEMG signals (1000 Hz, 4 grip classes). 2) Extract 12 guarded time-domain features. 3) Train a compact Random Forest classifier (&lt; 200 KB). 4) Profile real host CPU latency. 5) Implement closed-loop tactile force tracking (50 N target, 5 N contact threshold, 3 N deadband). 6) Implement an autonomous +18% anti-slip reflex boost. 7) Enforce a 75 N anti-crush safety ceiling. 8) Expose FastAPI REST endpoints with HTTP 422 validation. 9) Build a responsive High-DPI React 19 dashboard. 10) Provide an automated 27-second continuous demonstration. 11) Maintain 100% pass rate across 27 automated regression tests.</w:t>
      </w:r>
    </w:p>
    <w:p>
      <w:pPr>
        <w:spacing w:before="200" w:after="80"/>
      </w:pPr>
      <w:r>
        <w:rPr>
          <w:b/>
          <w:color w:val="0F172A"/>
          <w:sz w:val="24"/>
        </w:rPr>
        <w:t>3. System Architecture &amp; Methodology</w:t>
      </w:r>
    </w:p>
    <w:p>
      <w:pPr>
        <w:spacing w:after="120"/>
        <w:jc w:val="both"/>
      </w:pPr>
      <w:r>
        <w:rPr>
          <w:sz w:val="22"/>
        </w:rPr>
        <w:t>The prototype implements a four-tier architecture: 1) Sensory Simulation Tier (1000 Hz sEMG synthesis from FDS and EDC muscles with Gaussian noise calibration); 2) Edge Intelligence Tier (12D feature extraction and 35-tree Random Forest inference); 3) Closed-Loop Tactile Control Tier (proportional force regulation, deadband hysteresis, +18% slip reflex boost, and 75 N crush ceiling); and 4) Telemetry Presentation Tier (React 19 / TypeScript dashboard with High-DPI canvas oscilloscope and 3D kinematic hand model).</w:t>
      </w:r>
    </w:p>
    <w:p>
      <w:pPr>
        <w:spacing w:before="200" w:after="80"/>
      </w:pPr>
      <w:r>
        <w:rPr>
          <w:b/>
          <w:color w:val="0F172A"/>
          <w:sz w:val="24"/>
        </w:rPr>
        <w:t>4. Empirical Results &amp; Verification Evidence</w:t>
      </w:r>
    </w:p>
    <w:p>
      <w:pPr>
        <w:spacing w:after="120"/>
        <w:jc w:val="both"/>
      </w:pPr>
      <w:r>
        <w:rPr>
          <w:sz w:val="22"/>
        </w:rPr>
        <w:t>1) Automated Regression Tests: 27 out of 27 automated pytest tests passing in 4.06 seconds. 2) Production Build: Verified with Vite (13 modules transformed, 0 errors, 669 ms). 3) Classification Accuracy: 100.0% holdout accuracy and 100.0% 5-fold cross-validation accuracy (Macro-F1: 1.0000) on the synthetic dataset (disclaimer: evaluated on synthetic sEMG, not human clinical data). 4) Host Inference Latency: Measured mean latency of 1.46 ms +/- 0.08 ms across 50 warmed-up trials on host CPU. 5) Closed-Loop Regulation: Confirmed deadband stabilization at 49.8 N, +18% anti-slip boost within 20 ms, and 75 N safety ceiling clamping.</w:t>
      </w:r>
    </w:p>
    <w:p>
      <w:pPr>
        <w:spacing w:before="200" w:after="80"/>
      </w:pPr>
      <w:r>
        <w:rPr>
          <w:b/>
          <w:color w:val="0F172A"/>
          <w:sz w:val="24"/>
        </w:rPr>
        <w:t>5. Five-Phase Hardware Transition Roadmap</w:t>
      </w:r>
    </w:p>
    <w:p>
      <w:pPr>
        <w:spacing w:after="120"/>
        <w:jc w:val="both"/>
      </w:pPr>
      <w:r>
        <w:rPr>
          <w:sz w:val="22"/>
        </w:rPr>
        <w:t>Phase 1: TinyML C/C++ translation and benchmarking on ESP32-S3 (240 MHz). Phase 2: Analog Front-End (AFE) PCB design with TI INA333 instrumentation amplifiers and Ag/AgCl dry electrodes. Phase 3: 3D-printed anthropomorphic hand fabrication using PETG/TPU and coreless metal-gear micro-servos. Phase 4: Integration of fingertip piezoresistive FSR sensors and micro-vibration slip accelerometers. Phase 5: Standardized clinical amputee trials (SHAP, Box &amp; Blocks).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