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540898876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70892D73" w14:textId="56428C79" w:rsidR="00B25AF3" w:rsidRDefault="00B25AF3">
          <w:pPr>
            <w:pStyle w:val="NoSpacing"/>
            <w:rPr>
              <w:sz w:val="2"/>
            </w:rPr>
          </w:pPr>
        </w:p>
        <w:p w14:paraId="59A17A27" w14:textId="77777777" w:rsidR="00B25AF3" w:rsidRDefault="00B25A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D8213B" wp14:editId="587F9FF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AACFA00" w14:textId="45A0F44D" w:rsidR="00B25AF3" w:rsidRDefault="00B25AF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Heroes of pymoli purchasing </w:t>
                                    </w:r>
                                  </w:p>
                                </w:sdtContent>
                              </w:sdt>
                              <w:p w14:paraId="48FF9343" w14:textId="42E77C86" w:rsidR="00B25AF3" w:rsidRDefault="00B25AF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 Quantita</w:t>
                                    </w:r>
                                    <w:r w:rsidR="0094333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tive Analysis of Purchasing by Demographic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FC15333" w14:textId="77777777" w:rsidR="00B25AF3" w:rsidRDefault="00B25AF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2D821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AACFA00" w14:textId="45A0F44D" w:rsidR="00B25AF3" w:rsidRDefault="00B25AF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Heroes of pymoli purchasing </w:t>
                              </w:r>
                            </w:p>
                          </w:sdtContent>
                        </w:sdt>
                        <w:p w14:paraId="48FF9343" w14:textId="42E77C86" w:rsidR="00B25AF3" w:rsidRDefault="00B25AF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 Quantita</w:t>
                              </w:r>
                              <w:r w:rsidR="0094333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tive Analysis of Purchasing by Demographic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FC15333" w14:textId="77777777" w:rsidR="00B25AF3" w:rsidRDefault="00B25AF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3287DCE" wp14:editId="336F0EB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190519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947C3D" wp14:editId="496F10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D9CC4A" w14:textId="474C5B08" w:rsidR="00B25AF3" w:rsidRDefault="00B25AF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4333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By Chris Lichliter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77F2932" w14:textId="3EF35CCB" w:rsidR="00B25AF3" w:rsidRDefault="0094333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The Plebe Slayer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947C3D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DD9CC4A" w14:textId="474C5B08" w:rsidR="00B25AF3" w:rsidRDefault="00B25AF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4333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By Chris Lichliter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77F2932" w14:textId="3EF35CCB" w:rsidR="00B25AF3" w:rsidRDefault="0094333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The Plebe Slayer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B439539" w14:textId="44D3C8AE" w:rsidR="00B25AF3" w:rsidRDefault="00B25AF3">
          <w:r>
            <w:br w:type="page"/>
          </w:r>
        </w:p>
      </w:sdtContent>
    </w:sdt>
    <w:p w14:paraId="5AEBCC95" w14:textId="6EEF492B" w:rsidR="00D00A3D" w:rsidRPr="0012280B" w:rsidRDefault="00D00A3D" w:rsidP="0012280B">
      <w:pPr>
        <w:pStyle w:val="Heading1"/>
        <w:rPr>
          <w:color w:val="00B050"/>
        </w:rPr>
      </w:pPr>
      <w:r w:rsidRPr="00584003">
        <w:rPr>
          <w:color w:val="00B050"/>
        </w:rPr>
        <w:lastRenderedPageBreak/>
        <w:t>Background</w:t>
      </w:r>
    </w:p>
    <w:p w14:paraId="2A0C3C7F" w14:textId="1881AB35" w:rsidR="00EB1918" w:rsidRDefault="00D00A3D" w:rsidP="00492301">
      <w:pPr>
        <w:pStyle w:val="NoSpacing"/>
      </w:pPr>
      <w:r>
        <w:t xml:space="preserve">In the game Heroes of </w:t>
      </w:r>
      <w:proofErr w:type="spellStart"/>
      <w:r>
        <w:t>PyMoli</w:t>
      </w:r>
      <w:proofErr w:type="spellEnd"/>
      <w:r>
        <w:t>, 1, 163 players can purchase from a catalogue of 179 unique items to help advance their characters. Of these players, 576 players have purchased 780 items for a total of $2379.77</w:t>
      </w:r>
      <w:r w:rsidR="00584003">
        <w:t xml:space="preserve">. </w:t>
      </w:r>
      <w:r w:rsidR="00EB1918">
        <w:t>These items have an average price of just $3.05.</w:t>
      </w:r>
    </w:p>
    <w:p w14:paraId="5D8E9372" w14:textId="5FDFDC1D" w:rsidR="00D00A3D" w:rsidRDefault="00584003" w:rsidP="00492301">
      <w:pPr>
        <w:pStyle w:val="NoSpacing"/>
      </w:pPr>
      <w:r>
        <w:t xml:space="preserve">The following report aims seeks to discover trends from the </w:t>
      </w:r>
      <w:proofErr w:type="gramStart"/>
      <w:r>
        <w:t>49.%</w:t>
      </w:r>
      <w:proofErr w:type="gramEnd"/>
      <w:r>
        <w:t xml:space="preserve"> of the players who purchase items, and the sales of each item. These trends should inform the best marketing strategies to pursue in order to increase sales.</w:t>
      </w:r>
    </w:p>
    <w:p w14:paraId="2E950557" w14:textId="5E481AE4" w:rsidR="00584003" w:rsidRDefault="00584003" w:rsidP="00584003">
      <w:pPr>
        <w:pStyle w:val="Heading1"/>
        <w:rPr>
          <w:color w:val="00B050"/>
        </w:rPr>
      </w:pPr>
      <w:r w:rsidRPr="00584003">
        <w:rPr>
          <w:color w:val="00B050"/>
        </w:rPr>
        <w:t>Data</w:t>
      </w:r>
    </w:p>
    <w:p w14:paraId="0F3C741F" w14:textId="164F9AF0" w:rsidR="00584003" w:rsidRPr="00567991" w:rsidRDefault="00567991" w:rsidP="00567991">
      <w:pPr>
        <w:pStyle w:val="Heading2"/>
      </w:pPr>
      <w:r w:rsidRPr="00567991">
        <w:t>Gender Analysis</w:t>
      </w:r>
    </w:p>
    <w:p w14:paraId="057FE01F" w14:textId="688B6817" w:rsidR="00492301" w:rsidRDefault="00EB1918" w:rsidP="0012280B">
      <w:pPr>
        <w:pStyle w:val="NoSpacing"/>
      </w:pPr>
      <w:r>
        <w:t>In our data, we first broke down the 576 players who bought items by their gender.</w:t>
      </w:r>
    </w:p>
    <w:p w14:paraId="4725170B" w14:textId="77777777" w:rsidR="0012280B" w:rsidRDefault="0012280B" w:rsidP="0012280B">
      <w:pPr>
        <w:pStyle w:val="NoSpacing"/>
      </w:pPr>
    </w:p>
    <w:tbl>
      <w:tblPr>
        <w:tblW w:w="9626" w:type="dxa"/>
        <w:tblLook w:val="04A0" w:firstRow="1" w:lastRow="0" w:firstColumn="1" w:lastColumn="0" w:noHBand="0" w:noVBand="1"/>
      </w:tblPr>
      <w:tblGrid>
        <w:gridCol w:w="4252"/>
        <w:gridCol w:w="2977"/>
        <w:gridCol w:w="2397"/>
      </w:tblGrid>
      <w:tr w:rsidR="0012280B" w:rsidRPr="00EB1918" w14:paraId="0CB9EEFD" w14:textId="77777777" w:rsidTr="00EB1918">
        <w:trPr>
          <w:trHeight w:val="147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42741956" w14:textId="77777777" w:rsidR="00EB1918" w:rsidRPr="00EB1918" w:rsidRDefault="00EB1918" w:rsidP="0012280B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1918">
              <w:rPr>
                <w:rFonts w:ascii="Calibri" w:eastAsia="Times New Roman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7AFCD1B4" w14:textId="77777777" w:rsidR="00EB1918" w:rsidRPr="00EB1918" w:rsidRDefault="00EB1918" w:rsidP="0012280B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1918">
              <w:rPr>
                <w:rFonts w:ascii="Calibri" w:eastAsia="Times New Roman" w:hAnsi="Calibri" w:cs="Calibri"/>
                <w:b/>
                <w:bCs/>
                <w:color w:val="000000"/>
              </w:rPr>
              <w:t>Unique Players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5005E1F2" w14:textId="77777777" w:rsidR="00EB1918" w:rsidRPr="00EB1918" w:rsidRDefault="00EB1918" w:rsidP="0012280B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1918">
              <w:rPr>
                <w:rFonts w:ascii="Calibri" w:eastAsia="Times New Roman" w:hAnsi="Calibri" w:cs="Calibri"/>
                <w:b/>
                <w:bCs/>
                <w:color w:val="000000"/>
              </w:rPr>
              <w:t>% of Players</w:t>
            </w:r>
          </w:p>
        </w:tc>
      </w:tr>
      <w:tr w:rsidR="0012280B" w:rsidRPr="00EB1918" w14:paraId="1956B2E5" w14:textId="77777777" w:rsidTr="00EB1918">
        <w:trPr>
          <w:trHeight w:val="147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0CDE" w14:textId="77777777" w:rsidR="00EB1918" w:rsidRPr="00EB1918" w:rsidRDefault="00EB1918" w:rsidP="0012280B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1918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79E3" w14:textId="77777777" w:rsidR="00EB1918" w:rsidRPr="00EB1918" w:rsidRDefault="00EB1918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EB1918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E01E" w14:textId="77777777" w:rsidR="00EB1918" w:rsidRPr="00EB1918" w:rsidRDefault="00EB1918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EB1918">
              <w:rPr>
                <w:rFonts w:ascii="Calibri" w:eastAsia="Times New Roman" w:hAnsi="Calibri" w:cs="Calibri"/>
                <w:color w:val="000000"/>
              </w:rPr>
              <w:t>84.03%</w:t>
            </w:r>
          </w:p>
        </w:tc>
      </w:tr>
      <w:tr w:rsidR="0012280B" w:rsidRPr="00EB1918" w14:paraId="5D938D37" w14:textId="77777777" w:rsidTr="00EB1918">
        <w:trPr>
          <w:trHeight w:val="147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C66C" w14:textId="77777777" w:rsidR="00EB1918" w:rsidRPr="00EB1918" w:rsidRDefault="00EB1918" w:rsidP="0012280B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1918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DECC" w14:textId="77777777" w:rsidR="00EB1918" w:rsidRPr="00EB1918" w:rsidRDefault="00EB1918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EB1918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0F7A" w14:textId="77777777" w:rsidR="00EB1918" w:rsidRPr="00EB1918" w:rsidRDefault="00EB1918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EB1918">
              <w:rPr>
                <w:rFonts w:ascii="Calibri" w:eastAsia="Times New Roman" w:hAnsi="Calibri" w:cs="Calibri"/>
                <w:color w:val="000000"/>
              </w:rPr>
              <w:t>14.06%</w:t>
            </w:r>
          </w:p>
        </w:tc>
      </w:tr>
      <w:tr w:rsidR="0012280B" w:rsidRPr="00EB1918" w14:paraId="39DB728F" w14:textId="77777777" w:rsidTr="00EB1918">
        <w:trPr>
          <w:trHeight w:val="147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6547" w14:textId="77777777" w:rsidR="00EB1918" w:rsidRPr="00EB1918" w:rsidRDefault="00EB1918" w:rsidP="0012280B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1918">
              <w:rPr>
                <w:rFonts w:ascii="Calibri" w:eastAsia="Times New Roman" w:hAnsi="Calibri" w:cs="Calibri"/>
                <w:b/>
                <w:bCs/>
                <w:color w:val="000000"/>
              </w:rPr>
              <w:t>Other / Non-Disclosed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16A8" w14:textId="77777777" w:rsidR="00EB1918" w:rsidRPr="00EB1918" w:rsidRDefault="00EB1918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EB191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F7E8" w14:textId="77777777" w:rsidR="00EB1918" w:rsidRPr="00EB1918" w:rsidRDefault="00EB1918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EB1918">
              <w:rPr>
                <w:rFonts w:ascii="Calibri" w:eastAsia="Times New Roman" w:hAnsi="Calibri" w:cs="Calibri"/>
                <w:color w:val="000000"/>
              </w:rPr>
              <w:t>1.91%</w:t>
            </w:r>
          </w:p>
        </w:tc>
      </w:tr>
    </w:tbl>
    <w:p w14:paraId="6BDCC17C" w14:textId="77777777" w:rsidR="0012280B" w:rsidRDefault="0012280B" w:rsidP="0012280B">
      <w:pPr>
        <w:pStyle w:val="NoSpacing"/>
      </w:pPr>
    </w:p>
    <w:p w14:paraId="5B503339" w14:textId="2C37985C" w:rsidR="00492301" w:rsidRDefault="00492301" w:rsidP="0012280B">
      <w:pPr>
        <w:pStyle w:val="NoSpacing"/>
      </w:pPr>
      <w:r>
        <w:t>Here we can see that most players are male, but at 14.06%, the female population should not be ignored. The players who specified other or did not disclose their gender is a small population, and the</w:t>
      </w:r>
      <w:r w:rsidR="00883053">
        <w:t xml:space="preserve"> trends of these 11 players might not be a good representation of future players purchasing habits.</w:t>
      </w:r>
    </w:p>
    <w:p w14:paraId="6240BC79" w14:textId="77777777" w:rsidR="0012280B" w:rsidRDefault="0012280B" w:rsidP="0012280B">
      <w:pPr>
        <w:pStyle w:val="NoSpacing"/>
      </w:pPr>
    </w:p>
    <w:tbl>
      <w:tblPr>
        <w:tblW w:w="9630" w:type="dxa"/>
        <w:tblInd w:w="-5" w:type="dxa"/>
        <w:tblLook w:val="04A0" w:firstRow="1" w:lastRow="0" w:firstColumn="1" w:lastColumn="0" w:noHBand="0" w:noVBand="1"/>
      </w:tblPr>
      <w:tblGrid>
        <w:gridCol w:w="2250"/>
        <w:gridCol w:w="1440"/>
        <w:gridCol w:w="1440"/>
        <w:gridCol w:w="1620"/>
        <w:gridCol w:w="1530"/>
        <w:gridCol w:w="1350"/>
      </w:tblGrid>
      <w:tr w:rsidR="00883053" w:rsidRPr="00883053" w14:paraId="007B8BC2" w14:textId="77777777" w:rsidTr="00883053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1005772A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3053">
              <w:rPr>
                <w:rFonts w:ascii="Calibri" w:eastAsia="Times New Roman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3CB94C64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3053">
              <w:rPr>
                <w:rFonts w:ascii="Calibri" w:eastAsia="Times New Roman" w:hAnsi="Calibri" w:cs="Calibri"/>
                <w:b/>
                <w:bCs/>
                <w:color w:val="000000"/>
              </w:rPr>
              <w:t>Total Purchases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2BB472C5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3053">
              <w:rPr>
                <w:rFonts w:ascii="Calibri" w:eastAsia="Times New Roman" w:hAnsi="Calibri" w:cs="Calibri"/>
                <w:b/>
                <w:bCs/>
                <w:color w:val="000000"/>
              </w:rPr>
              <w:t>Purchases per Player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44A3AC42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3053">
              <w:rPr>
                <w:rFonts w:ascii="Calibri" w:eastAsia="Times New Roman" w:hAnsi="Calibri" w:cs="Calibri"/>
                <w:b/>
                <w:bCs/>
                <w:color w:val="000000"/>
              </w:rPr>
              <w:t>Avg Purchase Price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56143EC3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3053">
              <w:rPr>
                <w:rFonts w:ascii="Calibri" w:eastAsia="Times New Roman" w:hAnsi="Calibri" w:cs="Calibri"/>
                <w:b/>
                <w:bCs/>
                <w:color w:val="000000"/>
              </w:rPr>
              <w:t>Avg Spent per Player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61B8900F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3053">
              <w:rPr>
                <w:rFonts w:ascii="Calibri" w:eastAsia="Times New Roman" w:hAnsi="Calibri" w:cs="Calibri"/>
                <w:b/>
                <w:bCs/>
                <w:color w:val="000000"/>
              </w:rPr>
              <w:t>Total Spent</w:t>
            </w:r>
          </w:p>
        </w:tc>
      </w:tr>
      <w:tr w:rsidR="00883053" w:rsidRPr="00883053" w14:paraId="0216143E" w14:textId="77777777" w:rsidTr="00883053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5211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88305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1FAE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883053">
              <w:rPr>
                <w:rFonts w:ascii="Calibri" w:eastAsia="Times New Roman" w:hAnsi="Calibri" w:cs="Calibri"/>
                <w:color w:val="000000"/>
              </w:rPr>
              <w:t>652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42D1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883053">
              <w:rPr>
                <w:rFonts w:ascii="Calibri" w:eastAsia="Times New Roman" w:hAnsi="Calibri" w:cs="Calibri"/>
                <w:color w:val="000000"/>
              </w:rPr>
              <w:t>1.35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4409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883053">
              <w:rPr>
                <w:rFonts w:ascii="Calibri" w:eastAsia="Times New Roman" w:hAnsi="Calibri" w:cs="Calibri"/>
                <w:color w:val="000000"/>
              </w:rPr>
              <w:t>$3.02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EDB5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883053">
              <w:rPr>
                <w:rFonts w:ascii="Calibri" w:eastAsia="Times New Roman" w:hAnsi="Calibri" w:cs="Calibri"/>
                <w:color w:val="000000"/>
              </w:rPr>
              <w:t>$4.07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E377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3053">
              <w:rPr>
                <w:rFonts w:ascii="Calibri" w:eastAsia="Times New Roman" w:hAnsi="Calibri" w:cs="Calibri"/>
                <w:b/>
                <w:bCs/>
                <w:color w:val="000000"/>
              </w:rPr>
              <w:t>$1967.64</w:t>
            </w:r>
          </w:p>
        </w:tc>
      </w:tr>
      <w:tr w:rsidR="00883053" w:rsidRPr="00883053" w14:paraId="0AB2CCE3" w14:textId="77777777" w:rsidTr="00883053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47FF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88305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C155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883053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8D22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883053">
              <w:rPr>
                <w:rFonts w:ascii="Calibri" w:eastAsia="Times New Roman" w:hAnsi="Calibri" w:cs="Calibri"/>
                <w:color w:val="000000"/>
              </w:rPr>
              <w:t>1.40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0E1F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883053">
              <w:rPr>
                <w:rFonts w:ascii="Calibri" w:eastAsia="Times New Roman" w:hAnsi="Calibri" w:cs="Calibri"/>
                <w:color w:val="000000"/>
              </w:rPr>
              <w:t>$3.20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7AA6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883053">
              <w:rPr>
                <w:rFonts w:ascii="Calibri" w:eastAsia="Times New Roman" w:hAnsi="Calibri" w:cs="Calibri"/>
                <w:color w:val="000000"/>
              </w:rPr>
              <w:t>$4.47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25C5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3053">
              <w:rPr>
                <w:rFonts w:ascii="Calibri" w:eastAsia="Times New Roman" w:hAnsi="Calibri" w:cs="Calibri"/>
                <w:b/>
                <w:bCs/>
                <w:color w:val="000000"/>
              </w:rPr>
              <w:t>$361.94</w:t>
            </w:r>
          </w:p>
        </w:tc>
      </w:tr>
      <w:tr w:rsidR="00883053" w:rsidRPr="00883053" w14:paraId="7D0A9E8C" w14:textId="77777777" w:rsidTr="00883053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DD89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883053">
              <w:rPr>
                <w:rFonts w:ascii="Calibri" w:eastAsia="Times New Roman" w:hAnsi="Calibri" w:cs="Calibri"/>
                <w:color w:val="000000"/>
              </w:rPr>
              <w:t>Other / Non-Disclosed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85AC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88305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D41A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883053">
              <w:rPr>
                <w:rFonts w:ascii="Calibri" w:eastAsia="Times New Roman" w:hAnsi="Calibri" w:cs="Calibri"/>
                <w:color w:val="000000"/>
              </w:rPr>
              <w:t>1.36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C144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883053">
              <w:rPr>
                <w:rFonts w:ascii="Calibri" w:eastAsia="Times New Roman" w:hAnsi="Calibri" w:cs="Calibri"/>
                <w:color w:val="000000"/>
              </w:rPr>
              <w:t>$3.35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FCAF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883053">
              <w:rPr>
                <w:rFonts w:ascii="Calibri" w:eastAsia="Times New Roman" w:hAnsi="Calibri" w:cs="Calibri"/>
                <w:color w:val="000000"/>
              </w:rPr>
              <w:t>$4.56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9B25" w14:textId="77777777" w:rsidR="00883053" w:rsidRPr="00883053" w:rsidRDefault="00883053" w:rsidP="0012280B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3053">
              <w:rPr>
                <w:rFonts w:ascii="Calibri" w:eastAsia="Times New Roman" w:hAnsi="Calibri" w:cs="Calibri"/>
                <w:b/>
                <w:bCs/>
                <w:color w:val="000000"/>
              </w:rPr>
              <w:t>$50.19</w:t>
            </w:r>
          </w:p>
        </w:tc>
      </w:tr>
    </w:tbl>
    <w:p w14:paraId="7B9C09F9" w14:textId="77777777" w:rsidR="0012280B" w:rsidRDefault="0012280B" w:rsidP="0012280B">
      <w:pPr>
        <w:pStyle w:val="NoSpacing"/>
      </w:pPr>
    </w:p>
    <w:p w14:paraId="52EF9595" w14:textId="74F1CEEB" w:rsidR="00883053" w:rsidRDefault="00883053" w:rsidP="0012280B">
      <w:pPr>
        <w:pStyle w:val="NoSpacing"/>
      </w:pPr>
      <w:r>
        <w:t xml:space="preserve">From the above table, </w:t>
      </w:r>
      <w:proofErr w:type="gramStart"/>
      <w:r>
        <w:t>it is clear that sales</w:t>
      </w:r>
      <w:proofErr w:type="gramEnd"/>
      <w:r>
        <w:t xml:space="preserve"> are largely male driven. Their purchases make up 82.68% of all sales. However, the average female player</w:t>
      </w:r>
      <w:r w:rsidR="00567991">
        <w:t xml:space="preserve"> buys slightly more items, which are also more expensive. The average female player generates 9.83% more sales than the average male.</w:t>
      </w:r>
    </w:p>
    <w:p w14:paraId="7818C7D9" w14:textId="4546FC0C" w:rsidR="00567991" w:rsidRDefault="00567991" w:rsidP="0012280B">
      <w:pPr>
        <w:pStyle w:val="Heading2"/>
      </w:pPr>
      <w:r>
        <w:t>Age Analysis</w:t>
      </w:r>
    </w:p>
    <w:p w14:paraId="44B6FF11" w14:textId="0FD37027" w:rsidR="0012280B" w:rsidRDefault="00567991" w:rsidP="0012280B">
      <w:pPr>
        <w:pStyle w:val="NoSpacing"/>
      </w:pPr>
      <w:r>
        <w:t>In looking at the ages of players, we organized players into eight different groups.</w:t>
      </w:r>
    </w:p>
    <w:tbl>
      <w:tblPr>
        <w:tblpPr w:leftFromText="187" w:rightFromText="187" w:vertAnchor="text" w:horzAnchor="margin" w:tblpY="138"/>
        <w:tblW w:w="4045" w:type="dxa"/>
        <w:tblLook w:val="04A0" w:firstRow="1" w:lastRow="0" w:firstColumn="1" w:lastColumn="0" w:noHBand="0" w:noVBand="1"/>
      </w:tblPr>
      <w:tblGrid>
        <w:gridCol w:w="985"/>
        <w:gridCol w:w="1530"/>
        <w:gridCol w:w="1530"/>
      </w:tblGrid>
      <w:tr w:rsidR="00612EEC" w:rsidRPr="00567991" w14:paraId="2FB059EC" w14:textId="77777777" w:rsidTr="00612EEC">
        <w:trPr>
          <w:trHeight w:val="30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6D60F144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7991">
              <w:rPr>
                <w:rFonts w:ascii="Calibri" w:eastAsia="Times New Roman" w:hAnsi="Calibri" w:cs="Calibri"/>
                <w:b/>
                <w:bCs/>
                <w:color w:val="000000"/>
              </w:rPr>
              <w:t>Age Group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3B14BDFB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7991">
              <w:rPr>
                <w:rFonts w:ascii="Calibri" w:eastAsia="Times New Roman" w:hAnsi="Calibri" w:cs="Calibri"/>
                <w:b/>
                <w:bCs/>
                <w:color w:val="000000"/>
              </w:rPr>
              <w:t>Number of Players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25C91ED3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7991">
              <w:rPr>
                <w:rFonts w:ascii="Calibri" w:eastAsia="Times New Roman" w:hAnsi="Calibri" w:cs="Calibri"/>
                <w:b/>
                <w:bCs/>
                <w:color w:val="000000"/>
              </w:rPr>
              <w:t>% of Players</w:t>
            </w:r>
          </w:p>
        </w:tc>
      </w:tr>
      <w:tr w:rsidR="00612EEC" w:rsidRPr="00567991" w14:paraId="4FC2D40E" w14:textId="77777777" w:rsidTr="00612EE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8156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&lt;10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8879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67B2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2.95%</w:t>
            </w:r>
          </w:p>
        </w:tc>
      </w:tr>
      <w:tr w:rsidR="00612EEC" w:rsidRPr="00567991" w14:paraId="095BCE64" w14:textId="77777777" w:rsidTr="00612EE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065D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10-14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D921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9B6F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3.82%</w:t>
            </w:r>
          </w:p>
        </w:tc>
      </w:tr>
      <w:tr w:rsidR="00612EEC" w:rsidRPr="00567991" w14:paraId="3A473EDB" w14:textId="77777777" w:rsidTr="00612EE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765F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15-19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DC26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7C24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18.58%</w:t>
            </w:r>
          </w:p>
        </w:tc>
      </w:tr>
      <w:tr w:rsidR="00612EEC" w:rsidRPr="00567991" w14:paraId="13659326" w14:textId="77777777" w:rsidTr="00612EE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1FDD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20-24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45FD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D98B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44.79%</w:t>
            </w:r>
          </w:p>
        </w:tc>
      </w:tr>
      <w:tr w:rsidR="00612EEC" w:rsidRPr="00567991" w14:paraId="6A5DA4C4" w14:textId="77777777" w:rsidTr="00612EE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D0A0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25-29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7055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1711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13.37%</w:t>
            </w:r>
          </w:p>
        </w:tc>
      </w:tr>
      <w:tr w:rsidR="00612EEC" w:rsidRPr="00567991" w14:paraId="6F2A54D9" w14:textId="77777777" w:rsidTr="00612EE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D8E2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30-34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1C3C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043D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9.03%</w:t>
            </w:r>
          </w:p>
        </w:tc>
      </w:tr>
      <w:tr w:rsidR="00612EEC" w:rsidRPr="00567991" w14:paraId="11B8880D" w14:textId="77777777" w:rsidTr="00612EE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0DFB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35-39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277A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7699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5.38%</w:t>
            </w:r>
          </w:p>
        </w:tc>
      </w:tr>
      <w:tr w:rsidR="00612EEC" w:rsidRPr="00567991" w14:paraId="3FDAE718" w14:textId="77777777" w:rsidTr="00612EEC">
        <w:trPr>
          <w:trHeight w:val="37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2499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40+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0588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074D" w14:textId="77777777" w:rsidR="00612EEC" w:rsidRPr="00567991" w:rsidRDefault="00612EEC" w:rsidP="00612EEC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67991">
              <w:rPr>
                <w:rFonts w:ascii="Calibri" w:eastAsia="Times New Roman" w:hAnsi="Calibri" w:cs="Calibri"/>
                <w:color w:val="000000"/>
              </w:rPr>
              <w:t>2.08%</w:t>
            </w:r>
          </w:p>
        </w:tc>
      </w:tr>
    </w:tbl>
    <w:p w14:paraId="3D823B92" w14:textId="77777777" w:rsidR="00612EEC" w:rsidRDefault="00612EEC" w:rsidP="0012280B">
      <w:pPr>
        <w:pStyle w:val="NoSpacing"/>
      </w:pPr>
    </w:p>
    <w:p w14:paraId="0037E1A9" w14:textId="77777777" w:rsidR="00612EEC" w:rsidRPr="00567991" w:rsidRDefault="0087739C" w:rsidP="0012280B">
      <w:pPr>
        <w:pStyle w:val="NoSpacing"/>
      </w:pPr>
      <w:r>
        <w:t xml:space="preserve">This table shows that the largest group of players are aged 20-24. There is also a sharp decline between age groups 15-19, and 10-14. It is unclear if this is due to the appeal of the </w:t>
      </w:r>
      <w:r w:rsidR="00612EEC">
        <w:t>items</w:t>
      </w:r>
      <w:r>
        <w:t xml:space="preserve"> to each group, or the ability </w:t>
      </w:r>
      <w:r w:rsidR="00612EEC">
        <w:t>of younger players to purchase items. Players older than our key demographic should have the ability of purchasing items, so it is assumed that the items are not appealing to them.</w:t>
      </w:r>
      <w:r w:rsidR="0012280B">
        <w:br w:type="textWrapping" w:clear="all"/>
      </w:r>
    </w:p>
    <w:tbl>
      <w:tblPr>
        <w:tblW w:w="9820" w:type="dxa"/>
        <w:tblLook w:val="04A0" w:firstRow="1" w:lastRow="0" w:firstColumn="1" w:lastColumn="0" w:noHBand="0" w:noVBand="1"/>
      </w:tblPr>
      <w:tblGrid>
        <w:gridCol w:w="1100"/>
        <w:gridCol w:w="1560"/>
        <w:gridCol w:w="2060"/>
        <w:gridCol w:w="1880"/>
        <w:gridCol w:w="1160"/>
        <w:gridCol w:w="2060"/>
      </w:tblGrid>
      <w:tr w:rsidR="00612EEC" w:rsidRPr="00612EEC" w14:paraId="319A7BB8" w14:textId="77777777" w:rsidTr="00612EEC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7AD8C60A" w14:textId="77777777" w:rsidR="00612EEC" w:rsidRPr="00612EEC" w:rsidRDefault="00612EEC" w:rsidP="00612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2EE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Age Group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69326FEF" w14:textId="77777777" w:rsidR="00612EEC" w:rsidRPr="00612EEC" w:rsidRDefault="00612EEC" w:rsidP="00612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2EEC">
              <w:rPr>
                <w:rFonts w:ascii="Calibri" w:eastAsia="Times New Roman" w:hAnsi="Calibri" w:cs="Calibri"/>
                <w:b/>
                <w:bCs/>
                <w:color w:val="000000"/>
              </w:rPr>
              <w:t>Total Purchases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4EFD0741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2EEC">
              <w:rPr>
                <w:rFonts w:ascii="Calibri" w:eastAsia="Times New Roman" w:hAnsi="Calibri" w:cs="Calibri"/>
                <w:b/>
                <w:bCs/>
                <w:color w:val="000000"/>
              </w:rPr>
              <w:t>Purchases per Player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5C0C23E0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2EEC">
              <w:rPr>
                <w:rFonts w:ascii="Calibri" w:eastAsia="Times New Roman" w:hAnsi="Calibri" w:cs="Calibri"/>
                <w:b/>
                <w:bCs/>
                <w:color w:val="000000"/>
              </w:rPr>
              <w:t>Avg Purchase Price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58C92B5B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2EEC">
              <w:rPr>
                <w:rFonts w:ascii="Calibri" w:eastAsia="Times New Roman" w:hAnsi="Calibri" w:cs="Calibri"/>
                <w:b/>
                <w:bCs/>
                <w:color w:val="000000"/>
              </w:rPr>
              <w:t>Total Spent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389119E0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2EEC">
              <w:rPr>
                <w:rFonts w:ascii="Calibri" w:eastAsia="Times New Roman" w:hAnsi="Calibri" w:cs="Calibri"/>
                <w:b/>
                <w:bCs/>
                <w:color w:val="000000"/>
              </w:rPr>
              <w:t>Avg Spent per Player</w:t>
            </w:r>
          </w:p>
        </w:tc>
      </w:tr>
      <w:tr w:rsidR="00612EEC" w:rsidRPr="00612EEC" w14:paraId="5A478D6C" w14:textId="77777777" w:rsidTr="00612EE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176A" w14:textId="77777777" w:rsidR="00612EEC" w:rsidRPr="00612EEC" w:rsidRDefault="00612EEC" w:rsidP="0061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&lt;10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019E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E881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1.35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A277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$3.35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5D9C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$77.13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1439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$4.54</w:t>
            </w:r>
          </w:p>
        </w:tc>
      </w:tr>
      <w:tr w:rsidR="00612EEC" w:rsidRPr="00612EEC" w14:paraId="6CA9AEB9" w14:textId="77777777" w:rsidTr="00612EE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435A" w14:textId="77777777" w:rsidR="00612EEC" w:rsidRPr="00612EEC" w:rsidRDefault="00612EEC" w:rsidP="0061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10-14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8261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7CEE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B16B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$2.96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327B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$82.78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8601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$3.76</w:t>
            </w:r>
          </w:p>
        </w:tc>
      </w:tr>
      <w:tr w:rsidR="00612EEC" w:rsidRPr="00612EEC" w14:paraId="647740C7" w14:textId="77777777" w:rsidTr="00612EE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F1A8" w14:textId="77777777" w:rsidR="00612EEC" w:rsidRPr="00612EEC" w:rsidRDefault="00612EEC" w:rsidP="0061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15-19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9D02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53E8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C09F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$3.04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8FB2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$412.89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63EC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$3.86</w:t>
            </w:r>
          </w:p>
        </w:tc>
      </w:tr>
      <w:tr w:rsidR="00612EEC" w:rsidRPr="00612EEC" w14:paraId="1E706C19" w14:textId="77777777" w:rsidTr="00612EE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0FCC" w14:textId="77777777" w:rsidR="00612EEC" w:rsidRPr="00612EEC" w:rsidRDefault="00612EEC" w:rsidP="0061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20-24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E878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F187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88C8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$3.05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467C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$1114.06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D71F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$4.32</w:t>
            </w:r>
          </w:p>
        </w:tc>
      </w:tr>
      <w:tr w:rsidR="00612EEC" w:rsidRPr="00612EEC" w14:paraId="482218D4" w14:textId="77777777" w:rsidTr="00612EE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B886" w14:textId="77777777" w:rsidR="00612EEC" w:rsidRPr="00612EEC" w:rsidRDefault="00612EEC" w:rsidP="0061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25-29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C46B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319C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1.31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075D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$2.90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3E85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$293.00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55F3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$3.81</w:t>
            </w:r>
          </w:p>
        </w:tc>
      </w:tr>
      <w:tr w:rsidR="00612EEC" w:rsidRPr="00612EEC" w14:paraId="1526B37B" w14:textId="77777777" w:rsidTr="00612EE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56C7" w14:textId="77777777" w:rsidR="00612EEC" w:rsidRPr="00612EEC" w:rsidRDefault="00612EEC" w:rsidP="0061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30-34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015C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03EF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1.40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B5AE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$2.93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7D20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$214.00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EED8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$4.12</w:t>
            </w:r>
          </w:p>
        </w:tc>
      </w:tr>
      <w:tr w:rsidR="00612EEC" w:rsidRPr="00612EEC" w14:paraId="0FA07695" w14:textId="77777777" w:rsidTr="00612EE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3574" w14:textId="77777777" w:rsidR="00612EEC" w:rsidRPr="00612EEC" w:rsidRDefault="00612EEC" w:rsidP="0061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35-39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465B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F922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72A8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$3.60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60AF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$147.67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089E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$4.76</w:t>
            </w:r>
          </w:p>
        </w:tc>
      </w:tr>
      <w:tr w:rsidR="00612EEC" w:rsidRPr="00612EEC" w14:paraId="4A85F35B" w14:textId="77777777" w:rsidTr="00612EE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FC29" w14:textId="77777777" w:rsidR="00612EEC" w:rsidRPr="00612EEC" w:rsidRDefault="00612EEC" w:rsidP="0061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40+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760D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C3AA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1CD0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$2.94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5190C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$38.24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D81E" w14:textId="77777777" w:rsidR="00612EEC" w:rsidRPr="00612EEC" w:rsidRDefault="00612EEC" w:rsidP="0061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EEC">
              <w:rPr>
                <w:rFonts w:ascii="Calibri" w:eastAsia="Times New Roman" w:hAnsi="Calibri" w:cs="Calibri"/>
                <w:color w:val="000000"/>
              </w:rPr>
              <w:t>$3.19</w:t>
            </w:r>
          </w:p>
        </w:tc>
      </w:tr>
    </w:tbl>
    <w:p w14:paraId="32C41978" w14:textId="5A0450B2" w:rsidR="00567991" w:rsidRDefault="00567991" w:rsidP="0012280B">
      <w:pPr>
        <w:pStyle w:val="NoSpacing"/>
      </w:pPr>
    </w:p>
    <w:p w14:paraId="7298B299" w14:textId="0B784FD1" w:rsidR="00875735" w:rsidRPr="00567991" w:rsidRDefault="00875735" w:rsidP="0012280B">
      <w:pPr>
        <w:pStyle w:val="NoSpacing"/>
      </w:pPr>
      <w:r>
        <w:t>While the 20-24 age group makes up 44.79% of all players, they also buy more items than any other age group. This group also spends the third most on average, behind players aged 35-39, and players under ten. However, these groups represent smaller shares of the population (5.38% and 2.95%). The next two groups with the greatest overall spending are ages 15-19 ($412.89</w:t>
      </w:r>
      <w:r w:rsidR="00162D74">
        <w:t>) and 25-29 ($293.00). These group are also the next two most populous, and sandwich our key demographic.</w:t>
      </w:r>
    </w:p>
    <w:sectPr w:rsidR="00875735" w:rsidRPr="00567991" w:rsidSect="00B25A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0B"/>
    <w:rsid w:val="000349AB"/>
    <w:rsid w:val="0012280B"/>
    <w:rsid w:val="00162D74"/>
    <w:rsid w:val="00492301"/>
    <w:rsid w:val="00567991"/>
    <w:rsid w:val="00584003"/>
    <w:rsid w:val="00612EEC"/>
    <w:rsid w:val="00804DC1"/>
    <w:rsid w:val="00875735"/>
    <w:rsid w:val="0087739C"/>
    <w:rsid w:val="00883053"/>
    <w:rsid w:val="00943339"/>
    <w:rsid w:val="00B25AF3"/>
    <w:rsid w:val="00C06A0B"/>
    <w:rsid w:val="00D00A3D"/>
    <w:rsid w:val="00EB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5486"/>
  <w15:chartTrackingRefBased/>
  <w15:docId w15:val="{88C2BC97-C926-4AF7-AB27-077AF611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A3D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5A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5AF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00A3D"/>
    <w:rPr>
      <w:rFonts w:eastAsiaTheme="majorEastAsia" w:cstheme="majorBidi"/>
      <w:color w:val="1F3864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991"/>
    <w:rPr>
      <w:rFonts w:asciiTheme="majorHAnsi" w:eastAsiaTheme="majorEastAsia" w:hAnsiTheme="majorHAnsi" w:cstheme="majorBidi"/>
      <w:color w:val="C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Chris Lichliter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Heroes of pymoli purchasing</dc:title>
  <dc:subject>A Quantitative Analysis of Purchasing by Demographic</dc:subject>
  <dc:creator>Christopher Lichliter</dc:creator>
  <cp:keywords/>
  <dc:description/>
  <cp:lastModifiedBy>Christopher Lichliter</cp:lastModifiedBy>
  <cp:revision>2</cp:revision>
  <dcterms:created xsi:type="dcterms:W3CDTF">2020-04-19T01:04:00Z</dcterms:created>
  <dcterms:modified xsi:type="dcterms:W3CDTF">2020-04-19T03:33:00Z</dcterms:modified>
  <cp:category>The Plebe Slayer</cp:category>
</cp:coreProperties>
</file>