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color w:val="C8102E"/>
          <w:sz w:val="18"/>
        </w:rPr>
        <w:t>EQUITY RESEARCH  |  PRE-EARNINGS PREVIEW</w:t>
      </w:r>
    </w:p>
    <w:p>
      <w:pPr>
        <w:spacing w:after="0"/>
      </w:pPr>
      <w:r>
        <w:rPr>
          <w:b/>
          <w:color w:val="0A2A43"/>
          <w:sz w:val="40"/>
        </w:rPr>
        <w:t>Tesla, Inc. (TSLA.US)</w:t>
      </w:r>
    </w:p>
    <w:p>
      <w:pPr>
        <w:spacing w:after="160"/>
        <w:pBdr>
          <w:bottom w:val="single" w:sz="12" w:space="4" w:color="0A2A43"/>
        </w:pBdr>
      </w:pPr>
      <w:r>
        <w:rPr>
          <w:i/>
          <w:color w:val="555F6D"/>
          <w:sz w:val="24"/>
        </w:rPr>
        <w:t>Q1 2026 Earnings Preview — Auto Margins, AI Narrative, and Robotaxi Optionality Into the Print</w:t>
      </w:r>
    </w:p>
    <w:tbl>
      <w:tblPr>
        <w:tblW w:type="auto" w:w="0"/>
        <w:tblLayout w:type="autofit"/>
        <w:tblLook w:firstColumn="1" w:firstRow="1" w:lastColumn="0" w:lastRow="0" w:noHBand="0" w:noVBand="1" w:val="04A0"/>
      </w:tblPr>
      <w:tblGrid>
        <w:gridCol w:w="2436"/>
        <w:gridCol w:w="2436"/>
        <w:gridCol w:w="2436"/>
        <w:gridCol w:w="2436"/>
      </w:tblGrid>
      <w:tr>
        <w:tc>
          <w:tcPr>
            <w:tcW w:type="dxa" w:w="2436"/>
          </w:tcPr>
          <w:p>
            <w:r/>
            <w:r>
              <w:rPr>
                <w:b/>
                <w:color w:val="555F6D"/>
                <w:sz w:val="18"/>
              </w:rPr>
              <w:t>Report Date</w:t>
              <w:br/>
            </w:r>
            <w:r>
              <w:rPr>
                <w:sz w:val="20"/>
              </w:rPr>
              <w:t>2026-04-22</w:t>
            </w:r>
          </w:p>
        </w:tc>
        <w:tc>
          <w:tcPr>
            <w:tcW w:type="dxa" w:w="2436"/>
          </w:tcPr>
          <w:p>
            <w:r/>
            <w:r>
              <w:rPr>
                <w:b/>
                <w:color w:val="555F6D"/>
                <w:sz w:val="18"/>
              </w:rPr>
              <w:t>Event</w:t>
              <w:br/>
            </w:r>
            <w:r>
              <w:rPr>
                <w:sz w:val="20"/>
              </w:rPr>
              <w:t>Q1 2026 Earnings — Post-Close Today</w:t>
            </w:r>
          </w:p>
        </w:tc>
        <w:tc>
          <w:tcPr>
            <w:tcW w:type="dxa" w:w="2436"/>
          </w:tcPr>
          <w:p>
            <w:r/>
            <w:r>
              <w:rPr>
                <w:b/>
                <w:color w:val="555F6D"/>
                <w:sz w:val="18"/>
              </w:rPr>
              <w:t>Last Price</w:t>
              <w:br/>
            </w:r>
            <w:r>
              <w:rPr>
                <w:b/>
                <w:sz w:val="20"/>
              </w:rPr>
              <w:t>$391.06</w:t>
            </w:r>
          </w:p>
        </w:tc>
        <w:tc>
          <w:tcPr>
            <w:tcW w:type="dxa" w:w="2436"/>
          </w:tcPr>
          <w:p>
            <w:r/>
            <w:r>
              <w:rPr>
                <w:b/>
                <w:color w:val="555F6D"/>
                <w:sz w:val="18"/>
              </w:rPr>
              <w:t>Rating Stance</w:t>
              <w:br/>
            </w:r>
            <w:r>
              <w:rPr>
                <w:b/>
                <w:color w:val="C8102E"/>
                <w:sz w:val="20"/>
              </w:rPr>
              <w:t>MARKET PERFORM — Into the Print</w:t>
            </w:r>
          </w:p>
        </w:tc>
      </w:tr>
    </w:tbl>
    <w:p>
      <w:pPr>
        <w:spacing w:after="80"/>
      </w:pPr>
    </w:p>
    <w:p>
      <w:pPr>
        <w:spacing w:before="280" w:after="120"/>
        <w:pBdr>
          <w:bottom w:val="single" w:sz="8" w:space="4" w:color="0A2A43"/>
        </w:pBdr>
      </w:pPr>
      <w:r>
        <w:rPr>
          <w:b/>
          <w:color w:val="0A2A43"/>
          <w:sz w:val="30"/>
        </w:rPr>
        <w:t>Executive Summary</w:t>
      </w:r>
    </w:p>
    <w:p>
      <w:pPr>
        <w:spacing w:after="80"/>
      </w:pPr>
      <w:r>
        <w:rPr>
          <w:b w:val="0"/>
          <w:i w:val="0"/>
          <w:sz w:val="21"/>
        </w:rPr>
        <w:t>Tesla reports Q1 2026 results after the close on Wednesday, 22 April 2026, with a Q&amp;A webcast at 5:30 p.m. ET. The print lands into a tape that has rebuilt roughly half of the Q1 drawdown — shares closed at $391.06 (-20.2% off the 16-Dec-2025 peak of $489.88, -10.7% YTD, +5.8% vs. the 20-day average). Early post-market tape read is flat-to-slightly-negative ($388.99, -0.5% vs. regular-session close) ahead of the release, and realized 90-day vol sits at ~39%, framing a ~6-8% implied one-day move.</w:t>
      </w:r>
    </w:p>
    <w:p>
      <w:pPr>
        <w:spacing w:after="80"/>
      </w:pPr>
      <w:r>
        <w:rPr>
          <w:b w:val="0"/>
          <w:i w:val="0"/>
          <w:sz w:val="21"/>
        </w:rPr>
        <w:t>Tesla's own 2 April 2026 8-K already disclosed the Q1 hardware line: 408,386 vehicles produced, 358,023 delivered, 8.8 GWh of energy storage deployed. That removes the first-order surprise from deliveries and pushes the narrative onto (1) auto gross margin ex-credits, (2) energy storage gross margin and throughput, (3) FSD/Robotaxi commercial readiness (Austin rollout + two new Texas cities this week), and (4) capex/opex trajectory around the AI infrastructure build. Our bias is that consensus under-appreciates the mix drag from the Q1 delivery step-down (-14.4% QoQ) while over-weighting the "AI optionality" bridge; risk/reward looks balanced for a same-day view and skews favorable only on a 12-month horizon if robotaxi commercialization clears its next milestone.</w:t>
      </w:r>
    </w:p>
    <w:p>
      <w:pPr>
        <w:spacing w:before="200" w:after="60"/>
      </w:pPr>
      <w:r>
        <w:rPr>
          <w:b/>
          <w:color w:val="0A2A43"/>
          <w:sz w:val="24"/>
        </w:rPr>
        <w:t>Pre-Print Thesis — What We Are Looking For</w:t>
      </w:r>
    </w:p>
    <w:tbl>
      <w:tblPr>
        <w:tblStyle w:val="TableGrid"/>
        <w:tblW w:type="auto" w:w="0"/>
        <w:tblLook w:firstColumn="1" w:firstRow="1" w:lastColumn="0" w:lastRow="0" w:noHBand="0" w:noVBand="1" w:val="04A0"/>
      </w:tblPr>
      <w:tblGrid>
        <w:gridCol w:w="9746"/>
      </w:tblGrid>
      <w:tr>
        <w:tc>
          <w:tcPr>
            <w:tcW w:type="dxa" w:w="9746"/>
            <w:shd w:val="clear" w:color="auto" w:fill="F2F5F9"/>
          </w:tcPr>
          <w:p>
            <w:r/>
            <w:r>
              <w:rPr>
                <w:b/>
                <w:color w:val="0A2A43"/>
                <w:sz w:val="21"/>
              </w:rPr>
              <w:t xml:space="preserve">Core view: </w:t>
            </w:r>
            <w:r>
              <w:rPr>
                <w:sz w:val="21"/>
              </w:rPr>
              <w:t>the Q1 print is a margin-quality test more than a volume test. Hardware numbers are already in the market; the second-derivative of auto gross margin (ex-regulatory-credits) and the commentary on FY2026 delivery trajectory are the swing variables. Bull case requires margin holding the line near 15% auto GM ex-credits AND credible robotaxi revenue disclosure; bear case is margin compression below ~13% AND a cautious FY delivery tone.</w:t>
            </w:r>
          </w:p>
        </w:tc>
      </w:tr>
    </w:tbl>
    <w:p>
      <w:pPr>
        <w:spacing w:before="280" w:after="120"/>
        <w:pBdr>
          <w:bottom w:val="single" w:sz="8" w:space="4" w:color="0A2A43"/>
        </w:pBdr>
      </w:pPr>
      <w:r>
        <w:rPr>
          <w:b/>
          <w:color w:val="0A2A43"/>
          <w:sz w:val="30"/>
        </w:rPr>
        <w:t>Event Setup</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0A2A43"/>
            <w:vAlign w:val="center"/>
          </w:tcPr>
          <w:p>
            <w:r/>
            <w:r>
              <w:rPr>
                <w:b/>
                <w:color w:val="FFFFFF"/>
                <w:sz w:val="20"/>
              </w:rPr>
              <w:t>Item</w:t>
            </w:r>
          </w:p>
        </w:tc>
        <w:tc>
          <w:tcPr>
            <w:tcW w:type="dxa" w:w="4873"/>
            <w:shd w:val="clear" w:color="auto" w:fill="0A2A43"/>
            <w:vAlign w:val="center"/>
          </w:tcPr>
          <w:p>
            <w:r/>
            <w:r>
              <w:rPr>
                <w:b/>
                <w:color w:val="FFFFFF"/>
                <w:sz w:val="20"/>
              </w:rPr>
              <w:t>Detail</w:t>
            </w:r>
          </w:p>
        </w:tc>
      </w:tr>
      <w:tr>
        <w:tc>
          <w:tcPr>
            <w:tcW w:type="dxa" w:w="4873"/>
          </w:tcPr>
          <w:p>
            <w:r/>
            <w:r>
              <w:rPr>
                <w:b/>
                <w:sz w:val="20"/>
              </w:rPr>
              <w:t>Report date</w:t>
            </w:r>
          </w:p>
        </w:tc>
        <w:tc>
          <w:tcPr>
            <w:tcW w:type="dxa" w:w="4873"/>
          </w:tcPr>
          <w:p>
            <w:r/>
            <w:r>
              <w:rPr>
                <w:sz w:val="20"/>
              </w:rPr>
              <w:t>Wednesday, 22 April 2026 (post-market close)</w:t>
            </w:r>
          </w:p>
        </w:tc>
      </w:tr>
      <w:tr>
        <w:tc>
          <w:tcPr>
            <w:tcW w:type="dxa" w:w="4873"/>
          </w:tcPr>
          <w:p>
            <w:r/>
            <w:r>
              <w:rPr>
                <w:b/>
                <w:sz w:val="20"/>
              </w:rPr>
              <w:t>Earnings call</w:t>
            </w:r>
          </w:p>
        </w:tc>
        <w:tc>
          <w:tcPr>
            <w:tcW w:type="dxa" w:w="4873"/>
          </w:tcPr>
          <w:p>
            <w:r/>
            <w:r>
              <w:rPr>
                <w:sz w:val="20"/>
              </w:rPr>
              <w:t>5:30 p.m. ET (4:30 p.m. CT) — Q&amp;A webcast at ir.tesla.com</w:t>
            </w:r>
          </w:p>
        </w:tc>
      </w:tr>
      <w:tr>
        <w:tc>
          <w:tcPr>
            <w:tcW w:type="dxa" w:w="4873"/>
          </w:tcPr>
          <w:p>
            <w:r/>
            <w:r>
              <w:rPr>
                <w:b/>
                <w:sz w:val="20"/>
              </w:rPr>
              <w:t>Filings expected</w:t>
            </w:r>
          </w:p>
        </w:tc>
        <w:tc>
          <w:tcPr>
            <w:tcW w:type="dxa" w:w="4873"/>
          </w:tcPr>
          <w:p>
            <w:r/>
            <w:r>
              <w:rPr>
                <w:sz w:val="20"/>
              </w:rPr>
              <w:t>Q1 2026 Update letter, 8-K with press release, 10-Q thereafter</w:t>
            </w:r>
          </w:p>
        </w:tc>
      </w:tr>
      <w:tr>
        <w:tc>
          <w:tcPr>
            <w:tcW w:type="dxa" w:w="4873"/>
          </w:tcPr>
          <w:p>
            <w:r/>
            <w:r>
              <w:rPr>
                <w:b/>
                <w:sz w:val="20"/>
              </w:rPr>
              <w:t>Pre-release disclosed</w:t>
            </w:r>
          </w:p>
        </w:tc>
        <w:tc>
          <w:tcPr>
            <w:tcW w:type="dxa" w:w="4873"/>
          </w:tcPr>
          <w:p>
            <w:r/>
            <w:r>
              <w:rPr>
                <w:sz w:val="20"/>
              </w:rPr>
              <w:t>Q1 production/deliveries/deployments (8-K dated 2 Apr 2026)</w:t>
            </w:r>
          </w:p>
        </w:tc>
      </w:tr>
      <w:tr>
        <w:tc>
          <w:tcPr>
            <w:tcW w:type="dxa" w:w="4873"/>
          </w:tcPr>
          <w:p>
            <w:r/>
            <w:r>
              <w:rPr>
                <w:b/>
                <w:sz w:val="20"/>
              </w:rPr>
              <w:t>Current quarter focus</w:t>
            </w:r>
          </w:p>
        </w:tc>
        <w:tc>
          <w:tcPr>
            <w:tcW w:type="dxa" w:w="4873"/>
          </w:tcPr>
          <w:p>
            <w:r/>
            <w:r>
              <w:rPr>
                <w:sz w:val="20"/>
              </w:rPr>
              <w:t>Auto GM ex-credits, energy GM, robotaxi/FSD, capex, FY guidance tone</w:t>
            </w:r>
          </w:p>
        </w:tc>
      </w:tr>
      <w:tr>
        <w:tc>
          <w:tcPr>
            <w:tcW w:type="dxa" w:w="4873"/>
          </w:tcPr>
          <w:p>
            <w:r/>
            <w:r>
              <w:rPr>
                <w:b/>
                <w:sz w:val="20"/>
              </w:rPr>
              <w:t>Last quarter framing</w:t>
            </w:r>
          </w:p>
        </w:tc>
        <w:tc>
          <w:tcPr>
            <w:tcW w:type="dxa" w:w="4873"/>
          </w:tcPr>
          <w:p>
            <w:r/>
            <w:r>
              <w:rPr>
                <w:sz w:val="20"/>
              </w:rPr>
              <w:t>Q4 2025 results released 28 Jan 2026; FY2025 10-K filed 29 Jan 2026</w:t>
            </w:r>
          </w:p>
        </w:tc>
      </w:tr>
    </w:tbl>
    <w:p>
      <w:pPr>
        <w:spacing w:after="0"/>
      </w:pPr>
    </w:p>
    <w:p>
      <w:pPr>
        <w:spacing w:before="280" w:after="120"/>
        <w:pBdr>
          <w:bottom w:val="single" w:sz="8" w:space="4" w:color="0A2A43"/>
        </w:pBdr>
      </w:pPr>
      <w:r>
        <w:rPr>
          <w:b/>
          <w:color w:val="0A2A43"/>
          <w:sz w:val="30"/>
        </w:rPr>
        <w:t>Q1 2026 Hardware — Already on the Tape</w:t>
      </w:r>
    </w:p>
    <w:p>
      <w:pPr>
        <w:spacing w:after="80"/>
      </w:pPr>
      <w:r>
        <w:rPr>
          <w:b w:val="0"/>
          <w:i w:val="0"/>
          <w:sz w:val="21"/>
        </w:rPr>
        <w:t>Tesla pre-announced Q1 operational metrics on 2 April 2026. The below is the verified SEC disclosure, not an estimate.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shd w:val="clear" w:color="auto" w:fill="0A2A43"/>
            <w:vAlign w:val="center"/>
          </w:tcPr>
          <w:p>
            <w:r/>
            <w:r>
              <w:rPr>
                <w:b/>
                <w:color w:val="FFFFFF"/>
                <w:sz w:val="20"/>
              </w:rPr>
              <w:t>Metric</w:t>
            </w:r>
          </w:p>
        </w:tc>
        <w:tc>
          <w:tcPr>
            <w:tcW w:type="dxa" w:w="1949"/>
            <w:shd w:val="clear" w:color="auto" w:fill="0A2A43"/>
            <w:vAlign w:val="center"/>
          </w:tcPr>
          <w:p>
            <w:r/>
            <w:r>
              <w:rPr>
                <w:b/>
                <w:color w:val="FFFFFF"/>
                <w:sz w:val="20"/>
              </w:rPr>
              <w:t>Q1 2026</w:t>
            </w:r>
          </w:p>
        </w:tc>
        <w:tc>
          <w:tcPr>
            <w:tcW w:type="dxa" w:w="1949"/>
            <w:shd w:val="clear" w:color="auto" w:fill="0A2A43"/>
            <w:vAlign w:val="center"/>
          </w:tcPr>
          <w:p>
            <w:r/>
            <w:r>
              <w:rPr>
                <w:b/>
                <w:color w:val="FFFFFF"/>
                <w:sz w:val="20"/>
              </w:rPr>
              <w:t>Q4 2025</w:t>
            </w:r>
          </w:p>
        </w:tc>
        <w:tc>
          <w:tcPr>
            <w:tcW w:type="dxa" w:w="1949"/>
            <w:shd w:val="clear" w:color="auto" w:fill="0A2A43"/>
            <w:vAlign w:val="center"/>
          </w:tcPr>
          <w:p>
            <w:r/>
            <w:r>
              <w:rPr>
                <w:b/>
                <w:color w:val="FFFFFF"/>
                <w:sz w:val="20"/>
              </w:rPr>
              <w:t>QoQ</w:t>
            </w:r>
          </w:p>
        </w:tc>
        <w:tc>
          <w:tcPr>
            <w:tcW w:type="dxa" w:w="1949"/>
            <w:shd w:val="clear" w:color="auto" w:fill="0A2A43"/>
            <w:vAlign w:val="center"/>
          </w:tcPr>
          <w:p>
            <w:r/>
            <w:r>
              <w:rPr>
                <w:b/>
                <w:color w:val="FFFFFF"/>
                <w:sz w:val="20"/>
              </w:rPr>
              <w:t>FY 2025 (ref.)</w:t>
            </w:r>
          </w:p>
        </w:tc>
      </w:tr>
      <w:tr>
        <w:tc>
          <w:tcPr>
            <w:tcW w:type="dxa" w:w="1949"/>
          </w:tcPr>
          <w:p>
            <w:r/>
            <w:r>
              <w:rPr>
                <w:b/>
                <w:sz w:val="20"/>
              </w:rPr>
              <w:t>Production — Model 3/Y</w:t>
            </w:r>
          </w:p>
        </w:tc>
        <w:tc>
          <w:tcPr>
            <w:tcW w:type="dxa" w:w="1949"/>
          </w:tcPr>
          <w:p>
            <w:r/>
            <w:r>
              <w:rPr>
                <w:sz w:val="20"/>
              </w:rPr>
              <w:t>394,611</w:t>
            </w:r>
          </w:p>
        </w:tc>
        <w:tc>
          <w:tcPr>
            <w:tcW w:type="dxa" w:w="1949"/>
          </w:tcPr>
          <w:p>
            <w:r/>
            <w:r>
              <w:rPr>
                <w:sz w:val="20"/>
              </w:rPr>
              <w:t>422,652</w:t>
            </w:r>
          </w:p>
        </w:tc>
        <w:tc>
          <w:tcPr>
            <w:tcW w:type="dxa" w:w="1949"/>
          </w:tcPr>
          <w:p>
            <w:r/>
            <w:r>
              <w:rPr>
                <w:sz w:val="20"/>
              </w:rPr>
              <w:t>-6.6%</w:t>
            </w:r>
          </w:p>
        </w:tc>
        <w:tc>
          <w:tcPr>
            <w:tcW w:type="dxa" w:w="1949"/>
          </w:tcPr>
          <w:p>
            <w:r/>
            <w:r>
              <w:rPr>
                <w:sz w:val="20"/>
              </w:rPr>
              <w:t>1,600,767</w:t>
            </w:r>
          </w:p>
        </w:tc>
      </w:tr>
      <w:tr>
        <w:tc>
          <w:tcPr>
            <w:tcW w:type="dxa" w:w="1949"/>
          </w:tcPr>
          <w:p>
            <w:r/>
            <w:r>
              <w:rPr>
                <w:b/>
                <w:sz w:val="20"/>
              </w:rPr>
              <w:t>Production — Other</w:t>
            </w:r>
          </w:p>
        </w:tc>
        <w:tc>
          <w:tcPr>
            <w:tcW w:type="dxa" w:w="1949"/>
          </w:tcPr>
          <w:p>
            <w:r/>
            <w:r>
              <w:rPr>
                <w:sz w:val="20"/>
              </w:rPr>
              <w:t>13,775</w:t>
            </w:r>
          </w:p>
        </w:tc>
        <w:tc>
          <w:tcPr>
            <w:tcW w:type="dxa" w:w="1949"/>
          </w:tcPr>
          <w:p>
            <w:r/>
            <w:r>
              <w:rPr>
                <w:sz w:val="20"/>
              </w:rPr>
              <w:t>11,706</w:t>
            </w:r>
          </w:p>
        </w:tc>
        <w:tc>
          <w:tcPr>
            <w:tcW w:type="dxa" w:w="1949"/>
          </w:tcPr>
          <w:p>
            <w:r/>
            <w:r>
              <w:rPr>
                <w:sz w:val="20"/>
              </w:rPr>
              <w:t>+17.7%</w:t>
            </w:r>
          </w:p>
        </w:tc>
        <w:tc>
          <w:tcPr>
            <w:tcW w:type="dxa" w:w="1949"/>
          </w:tcPr>
          <w:p>
            <w:r/>
            <w:r>
              <w:rPr>
                <w:sz w:val="20"/>
              </w:rPr>
              <w:t>53,900</w:t>
            </w:r>
          </w:p>
        </w:tc>
      </w:tr>
      <w:tr>
        <w:tc>
          <w:tcPr>
            <w:tcW w:type="dxa" w:w="1949"/>
          </w:tcPr>
          <w:p>
            <w:r/>
            <w:r>
              <w:rPr>
                <w:b/>
                <w:sz w:val="20"/>
              </w:rPr>
              <w:t>Production — Total</w:t>
            </w:r>
          </w:p>
        </w:tc>
        <w:tc>
          <w:tcPr>
            <w:tcW w:type="dxa" w:w="1949"/>
          </w:tcPr>
          <w:p>
            <w:r/>
            <w:r>
              <w:rPr>
                <w:sz w:val="20"/>
              </w:rPr>
              <w:t>408,386</w:t>
            </w:r>
          </w:p>
        </w:tc>
        <w:tc>
          <w:tcPr>
            <w:tcW w:type="dxa" w:w="1949"/>
          </w:tcPr>
          <w:p>
            <w:r/>
            <w:r>
              <w:rPr>
                <w:sz w:val="20"/>
              </w:rPr>
              <w:t>434,358</w:t>
            </w:r>
          </w:p>
        </w:tc>
        <w:tc>
          <w:tcPr>
            <w:tcW w:type="dxa" w:w="1949"/>
          </w:tcPr>
          <w:p>
            <w:r/>
            <w:r>
              <w:rPr>
                <w:sz w:val="20"/>
              </w:rPr>
              <w:t>-6.0%</w:t>
            </w:r>
          </w:p>
        </w:tc>
        <w:tc>
          <w:tcPr>
            <w:tcW w:type="dxa" w:w="1949"/>
          </w:tcPr>
          <w:p>
            <w:r/>
            <w:r>
              <w:rPr>
                <w:sz w:val="20"/>
              </w:rPr>
              <w:t>1,654,667</w:t>
            </w:r>
          </w:p>
        </w:tc>
      </w:tr>
      <w:tr>
        <w:tc>
          <w:tcPr>
            <w:tcW w:type="dxa" w:w="1949"/>
          </w:tcPr>
          <w:p>
            <w:r/>
            <w:r>
              <w:rPr>
                <w:b/>
                <w:sz w:val="20"/>
              </w:rPr>
              <w:t>Deliveries — Model 3/Y</w:t>
            </w:r>
          </w:p>
        </w:tc>
        <w:tc>
          <w:tcPr>
            <w:tcW w:type="dxa" w:w="1949"/>
          </w:tcPr>
          <w:p>
            <w:r/>
            <w:r>
              <w:rPr>
                <w:sz w:val="20"/>
              </w:rPr>
              <w:t>341,893</w:t>
            </w:r>
          </w:p>
        </w:tc>
        <w:tc>
          <w:tcPr>
            <w:tcW w:type="dxa" w:w="1949"/>
          </w:tcPr>
          <w:p>
            <w:r/>
            <w:r>
              <w:rPr>
                <w:sz w:val="20"/>
              </w:rPr>
              <w:t>406,585</w:t>
            </w:r>
          </w:p>
        </w:tc>
        <w:tc>
          <w:tcPr>
            <w:tcW w:type="dxa" w:w="1949"/>
          </w:tcPr>
          <w:p>
            <w:r/>
            <w:r>
              <w:rPr>
                <w:sz w:val="20"/>
              </w:rPr>
              <w:t>-15.9%</w:t>
            </w:r>
          </w:p>
        </w:tc>
        <w:tc>
          <w:tcPr>
            <w:tcW w:type="dxa" w:w="1949"/>
          </w:tcPr>
          <w:p>
            <w:r/>
            <w:r>
              <w:rPr>
                <w:sz w:val="20"/>
              </w:rPr>
              <w:t>1,585,279</w:t>
            </w:r>
          </w:p>
        </w:tc>
      </w:tr>
      <w:tr>
        <w:tc>
          <w:tcPr>
            <w:tcW w:type="dxa" w:w="1949"/>
          </w:tcPr>
          <w:p>
            <w:r/>
            <w:r>
              <w:rPr>
                <w:b/>
                <w:sz w:val="20"/>
              </w:rPr>
              <w:t>Deliveries — Other</w:t>
            </w:r>
          </w:p>
        </w:tc>
        <w:tc>
          <w:tcPr>
            <w:tcW w:type="dxa" w:w="1949"/>
          </w:tcPr>
          <w:p>
            <w:r/>
            <w:r>
              <w:rPr>
                <w:sz w:val="20"/>
              </w:rPr>
              <w:t>16,130</w:t>
            </w:r>
          </w:p>
        </w:tc>
        <w:tc>
          <w:tcPr>
            <w:tcW w:type="dxa" w:w="1949"/>
          </w:tcPr>
          <w:p>
            <w:r/>
            <w:r>
              <w:rPr>
                <w:sz w:val="20"/>
              </w:rPr>
              <w:t>11,642</w:t>
            </w:r>
          </w:p>
        </w:tc>
        <w:tc>
          <w:tcPr>
            <w:tcW w:type="dxa" w:w="1949"/>
          </w:tcPr>
          <w:p>
            <w:r/>
            <w:r>
              <w:rPr>
                <w:sz w:val="20"/>
              </w:rPr>
              <w:t>+38.6%</w:t>
            </w:r>
          </w:p>
        </w:tc>
        <w:tc>
          <w:tcPr>
            <w:tcW w:type="dxa" w:w="1949"/>
          </w:tcPr>
          <w:p>
            <w:r/>
            <w:r>
              <w:rPr>
                <w:sz w:val="20"/>
              </w:rPr>
              <w:t>50,850</w:t>
            </w:r>
          </w:p>
        </w:tc>
      </w:tr>
      <w:tr>
        <w:tc>
          <w:tcPr>
            <w:tcW w:type="dxa" w:w="1949"/>
          </w:tcPr>
          <w:p>
            <w:r/>
            <w:r>
              <w:rPr>
                <w:b/>
                <w:sz w:val="20"/>
              </w:rPr>
              <w:t>Deliveries — Total</w:t>
            </w:r>
          </w:p>
        </w:tc>
        <w:tc>
          <w:tcPr>
            <w:tcW w:type="dxa" w:w="1949"/>
          </w:tcPr>
          <w:p>
            <w:r/>
            <w:r>
              <w:rPr>
                <w:sz w:val="20"/>
              </w:rPr>
              <w:t>358,023</w:t>
            </w:r>
          </w:p>
        </w:tc>
        <w:tc>
          <w:tcPr>
            <w:tcW w:type="dxa" w:w="1949"/>
          </w:tcPr>
          <w:p>
            <w:r/>
            <w:r>
              <w:rPr>
                <w:sz w:val="20"/>
              </w:rPr>
              <w:t>418,227</w:t>
            </w:r>
          </w:p>
        </w:tc>
        <w:tc>
          <w:tcPr>
            <w:tcW w:type="dxa" w:w="1949"/>
          </w:tcPr>
          <w:p>
            <w:r/>
            <w:r>
              <w:rPr>
                <w:sz w:val="20"/>
              </w:rPr>
              <w:t>-14.4%</w:t>
            </w:r>
          </w:p>
        </w:tc>
        <w:tc>
          <w:tcPr>
            <w:tcW w:type="dxa" w:w="1949"/>
          </w:tcPr>
          <w:p>
            <w:r/>
            <w:r>
              <w:rPr>
                <w:sz w:val="20"/>
              </w:rPr>
              <w:t>1,636,129</w:t>
            </w:r>
          </w:p>
        </w:tc>
      </w:tr>
      <w:tr>
        <w:tc>
          <w:tcPr>
            <w:tcW w:type="dxa" w:w="1949"/>
          </w:tcPr>
          <w:p>
            <w:r/>
            <w:r>
              <w:rPr>
                <w:b/>
                <w:sz w:val="20"/>
              </w:rPr>
              <w:t>Operating-lease share</w:t>
            </w:r>
          </w:p>
        </w:tc>
        <w:tc>
          <w:tcPr>
            <w:tcW w:type="dxa" w:w="1949"/>
          </w:tcPr>
          <w:p>
            <w:r/>
            <w:r>
              <w:rPr>
                <w:sz w:val="20"/>
              </w:rPr>
              <w:t>1%</w:t>
            </w:r>
          </w:p>
        </w:tc>
        <w:tc>
          <w:tcPr>
            <w:tcW w:type="dxa" w:w="1949"/>
          </w:tcPr>
          <w:p>
            <w:r/>
            <w:r>
              <w:rPr>
                <w:sz w:val="20"/>
              </w:rPr>
              <w:t>3%</w:t>
            </w:r>
          </w:p>
        </w:tc>
        <w:tc>
          <w:tcPr>
            <w:tcW w:type="dxa" w:w="1949"/>
          </w:tcPr>
          <w:p>
            <w:r/>
            <w:r>
              <w:rPr>
                <w:sz w:val="20"/>
              </w:rPr>
              <w:t>-2pp</w:t>
            </w:r>
          </w:p>
        </w:tc>
        <w:tc>
          <w:tcPr>
            <w:tcW w:type="dxa" w:w="1949"/>
          </w:tcPr>
          <w:p>
            <w:r/>
            <w:r>
              <w:rPr>
                <w:sz w:val="20"/>
              </w:rPr>
              <w:t>—</w:t>
            </w:r>
          </w:p>
        </w:tc>
      </w:tr>
      <w:tr>
        <w:tc>
          <w:tcPr>
            <w:tcW w:type="dxa" w:w="1949"/>
          </w:tcPr>
          <w:p>
            <w:r/>
            <w:r>
              <w:rPr>
                <w:b/>
                <w:sz w:val="20"/>
              </w:rPr>
              <w:t>Energy storage deployed (GWh)</w:t>
            </w:r>
          </w:p>
        </w:tc>
        <w:tc>
          <w:tcPr>
            <w:tcW w:type="dxa" w:w="1949"/>
          </w:tcPr>
          <w:p>
            <w:r/>
            <w:r>
              <w:rPr>
                <w:sz w:val="20"/>
              </w:rPr>
              <w:t>8.8</w:t>
            </w:r>
          </w:p>
        </w:tc>
        <w:tc>
          <w:tcPr>
            <w:tcW w:type="dxa" w:w="1949"/>
          </w:tcPr>
          <w:p>
            <w:r/>
            <w:r>
              <w:rPr>
                <w:sz w:val="20"/>
              </w:rPr>
              <w:t>14.2</w:t>
            </w:r>
          </w:p>
        </w:tc>
        <w:tc>
          <w:tcPr>
            <w:tcW w:type="dxa" w:w="1949"/>
          </w:tcPr>
          <w:p>
            <w:r/>
            <w:r>
              <w:rPr>
                <w:sz w:val="20"/>
              </w:rPr>
              <w:t>-38.0%</w:t>
            </w:r>
          </w:p>
        </w:tc>
        <w:tc>
          <w:tcPr>
            <w:tcW w:type="dxa" w:w="1949"/>
          </w:tcPr>
          <w:p>
            <w:r/>
            <w:r>
              <w:rPr>
                <w:sz w:val="20"/>
              </w:rPr>
              <w:t>46.7</w:t>
            </w:r>
          </w:p>
        </w:tc>
      </w:tr>
    </w:tbl>
    <w:p>
      <w:pPr>
        <w:spacing w:after="80"/>
      </w:pPr>
      <w:r>
        <w:rPr>
          <w:b/>
          <w:i w:val="0"/>
          <w:sz w:val="21"/>
        </w:rPr>
        <w:t>Readthroughs:</w:t>
      </w:r>
    </w:p>
    <w:p>
      <w:pPr>
        <w:pStyle w:val="ListBullet"/>
        <w:spacing w:after="40"/>
        <w:ind w:left="360"/>
      </w:pPr>
      <w:r>
        <w:rPr>
          <w:sz w:val="21"/>
        </w:rPr>
        <w:t>Production &gt; Deliveries by 50,363 units — the largest Q1 inventory build in several quarters, creating a headwind for Q2 unless absorbed via ASP action or export mix.</w:t>
      </w:r>
    </w:p>
    <w:p>
      <w:pPr>
        <w:pStyle w:val="ListBullet"/>
        <w:spacing w:after="40"/>
        <w:ind w:left="360"/>
      </w:pPr>
      <w:r>
        <w:rPr>
          <w:sz w:val="21"/>
        </w:rPr>
        <w:t>Model 3/Y deliveries -15.9% QoQ reflects normal Q1 seasonality plus the noted California EV market softness (Tesla CA sales -24% per press coverage). Watch management's framing of "demand vs. inventory drawdown."</w:t>
      </w:r>
    </w:p>
    <w:p>
      <w:pPr>
        <w:pStyle w:val="ListBullet"/>
        <w:spacing w:after="40"/>
        <w:ind w:left="360"/>
      </w:pPr>
      <w:r>
        <w:rPr>
          <w:sz w:val="21"/>
        </w:rPr>
        <w:t>"Other Models" deliveries +38.6% QoQ (16,130 units) — consistent with Cybertruck/Model S/X mix improvement, but the absolute number is still too small to materially move group ASP.</w:t>
      </w:r>
    </w:p>
    <w:p>
      <w:pPr>
        <w:pStyle w:val="ListBullet"/>
        <w:spacing w:after="40"/>
        <w:ind w:left="360"/>
      </w:pPr>
      <w:r>
        <w:rPr>
          <w:sz w:val="21"/>
        </w:rPr>
        <w:t>Energy storage 8.8 GWh is a -38% QoQ step-down after a record 14.2 GWh Q4; full-year trajectory requires H2 reacceleration to sustain a &gt;50 GWh FY2026 run-rate.</w:t>
      </w:r>
    </w:p>
    <w:p>
      <w:pPr>
        <w:pStyle w:val="ListBullet"/>
        <w:spacing w:after="40"/>
        <w:ind w:left="360"/>
      </w:pPr>
      <w:r>
        <w:rPr>
          <w:sz w:val="21"/>
        </w:rPr>
        <w:t>Operating-lease share fell to 1% (from 3% in Q4 2025). This is a modest P&amp;L positive: fewer lease-accounted units means more units recognized as outright-sale revenue in the current period.</w:t>
      </w:r>
    </w:p>
    <w:p>
      <w:pPr>
        <w:spacing w:before="280" w:after="120"/>
        <w:pBdr>
          <w:bottom w:val="single" w:sz="8" w:space="4" w:color="0A2A43"/>
        </w:pBdr>
      </w:pPr>
      <w:r>
        <w:rPr>
          <w:b/>
          <w:color w:val="0A2A43"/>
          <w:sz w:val="30"/>
        </w:rPr>
        <w:t>Five Questions That Move the Stock Tonight</w:t>
      </w:r>
    </w:p>
    <w:p>
      <w:pPr>
        <w:spacing w:before="120" w:after="40"/>
      </w:pPr>
      <w:r>
        <w:rPr>
          <w:b/>
          <w:color w:val="C8102E"/>
          <w:sz w:val="22"/>
        </w:rPr>
        <w:t xml:space="preserve">Q1. </w:t>
      </w:r>
      <w:r>
        <w:rPr>
          <w:b/>
          <w:color w:val="0A2A43"/>
          <w:sz w:val="22"/>
        </w:rPr>
        <w:t>Auto gross margin ex-regulatory-credits — where does it print?</w:t>
      </w:r>
    </w:p>
    <w:p>
      <w:pPr>
        <w:spacing w:after="80"/>
      </w:pPr>
      <w:r>
        <w:rPr>
          <w:b w:val="0"/>
          <w:i w:val="0"/>
          <w:sz w:val="21"/>
        </w:rPr>
        <w:t>This is the single most important P&amp;L line. Q1 delivery mix (Model 3/Y down, cheaper trims likely over-indexed as inventory cleared) is a negative; lower operating-lease share is a mild positive. A print at or above ~15% would reset the bear narrative on structural pricing; below ~13% would confirm the "AI/robotaxi valuation only" thesis and likely pressure the multiple. Bloomberg/FactSet consensus prints have been ranging roughly 13-14% in published previews.</w:t>
      </w:r>
    </w:p>
    <w:p>
      <w:pPr>
        <w:spacing w:before="120" w:after="40"/>
      </w:pPr>
      <w:r>
        <w:rPr>
          <w:b/>
          <w:color w:val="C8102E"/>
          <w:sz w:val="22"/>
        </w:rPr>
        <w:t xml:space="preserve">Q2. </w:t>
      </w:r>
      <w:r>
        <w:rPr>
          <w:b/>
          <w:color w:val="0A2A43"/>
          <w:sz w:val="22"/>
        </w:rPr>
        <w:t>FY2026 delivery tone — growth vs. flat?</w:t>
      </w:r>
    </w:p>
    <w:p>
      <w:pPr>
        <w:spacing w:after="80"/>
      </w:pPr>
      <w:r>
        <w:rPr>
          <w:b w:val="0"/>
          <w:i w:val="0"/>
          <w:sz w:val="21"/>
        </w:rPr>
        <w:t>Tesla removed explicit numeric guidance several quarters ago, so the language matters. Prior letter language around "return to growth" vs. "varied demand dynamics" is the key tell. Given Q1 deliveries imply a ~1.43M annualized run-rate (below FY2025's 1.636M), a credible bridge to FY growth requires Model Y refresh pull-through, lower-priced platform clarity, or export ramp color.</w:t>
      </w:r>
    </w:p>
    <w:p>
      <w:pPr>
        <w:spacing w:before="120" w:after="40"/>
      </w:pPr>
      <w:r>
        <w:rPr>
          <w:b/>
          <w:color w:val="C8102E"/>
          <w:sz w:val="22"/>
        </w:rPr>
        <w:t xml:space="preserve">Q3. </w:t>
      </w:r>
      <w:r>
        <w:rPr>
          <w:b/>
          <w:color w:val="0A2A43"/>
          <w:sz w:val="22"/>
        </w:rPr>
        <w:t>Robotaxi — unit economics and city expansion cadence</w:t>
      </w:r>
    </w:p>
    <w:p>
      <w:pPr>
        <w:spacing w:after="80"/>
      </w:pPr>
      <w:r>
        <w:rPr>
          <w:b w:val="0"/>
          <w:i w:val="0"/>
          <w:sz w:val="21"/>
        </w:rPr>
        <w:t>News flow confirms robotaxi expansion to two additional Texas cities this week. The market wants to see (a) monetized rides, (b) vehicle hours per day, (c) safety driver status, and (d) a credible path to a scaled-vehicle fleet. Revenue disclosure (even as "other services") would be the most market-moving single data point tonight.</w:t>
      </w:r>
    </w:p>
    <w:p>
      <w:pPr>
        <w:spacing w:before="120" w:after="40"/>
      </w:pPr>
      <w:r>
        <w:rPr>
          <w:b/>
          <w:color w:val="C8102E"/>
          <w:sz w:val="22"/>
        </w:rPr>
        <w:t xml:space="preserve">Q4. </w:t>
      </w:r>
      <w:r>
        <w:rPr>
          <w:b/>
          <w:color w:val="0A2A43"/>
          <w:sz w:val="22"/>
        </w:rPr>
        <w:t>Energy storage — margin trajectory after record Q4</w:t>
      </w:r>
    </w:p>
    <w:p>
      <w:pPr>
        <w:spacing w:after="80"/>
      </w:pPr>
      <w:r>
        <w:rPr>
          <w:b w:val="0"/>
          <w:i w:val="0"/>
          <w:sz w:val="21"/>
        </w:rPr>
        <w:t>Q4 2025 was a record at 14.2 GWh and this segment has been the real earnings positive surprise through 2025. Q1's 8.8 GWh is a seasonal step-down; what matters is (a) the full-year order book update, (b) Lathrop/Shanghai Megapack capacity utilization, and (c) segment gross margin holding above 25%.</w:t>
      </w:r>
    </w:p>
    <w:p>
      <w:pPr>
        <w:spacing w:before="120" w:after="40"/>
      </w:pPr>
      <w:r>
        <w:rPr>
          <w:b/>
          <w:color w:val="C8102E"/>
          <w:sz w:val="22"/>
        </w:rPr>
        <w:t xml:space="preserve">Q5. </w:t>
      </w:r>
      <w:r>
        <w:rPr>
          <w:b/>
          <w:color w:val="0A2A43"/>
          <w:sz w:val="22"/>
        </w:rPr>
        <w:t>Capex and AI infrastructure spend — 2026 FCF shape</w:t>
      </w:r>
    </w:p>
    <w:p>
      <w:pPr>
        <w:spacing w:after="80"/>
      </w:pPr>
      <w:r>
        <w:rPr>
          <w:b w:val="0"/>
          <w:i w:val="0"/>
          <w:sz w:val="21"/>
        </w:rPr>
        <w:t>Tesla has signaled continued investment in Dojo/training infrastructure. A raised capex plan would pressure near-term FCF and challenge the already-thin margin of safety on valuation. Look for FY2026 capex framing and, critically, the gap between capex and operating cash flow.</w:t>
      </w:r>
    </w:p>
    <w:p>
      <w:r>
        <w:br w:type="page"/>
      </w:r>
    </w:p>
    <w:p>
      <w:pPr>
        <w:spacing w:before="280" w:after="120"/>
        <w:pBdr>
          <w:bottom w:val="single" w:sz="8" w:space="4" w:color="0A2A43"/>
        </w:pBdr>
      </w:pPr>
      <w:r>
        <w:rPr>
          <w:b/>
          <w:color w:val="0A2A43"/>
          <w:sz w:val="30"/>
        </w:rPr>
        <w:t>Scenario Framework — Post-Print Price Paths</w:t>
      </w:r>
    </w:p>
    <w:p>
      <w:pPr>
        <w:spacing w:after="80"/>
      </w:pPr>
      <w:r>
        <w:rPr>
          <w:b w:val="0"/>
          <w:i w:val="0"/>
          <w:sz w:val="21"/>
        </w:rPr>
        <w:t>Based on today's $391.06 close, 39% realized 90-day vol, and the distribution of sell-side previews surfaced in news flow today, we frame three scenarios for the one-day reaction and 4-week follow-through:</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152"/>
            <w:shd w:val="clear" w:color="auto" w:fill="0A2A43"/>
            <w:vAlign w:val="center"/>
          </w:tcPr>
          <w:p>
            <w:r/>
            <w:r>
              <w:rPr>
                <w:b/>
                <w:color w:val="FFFFFF"/>
                <w:sz w:val="20"/>
              </w:rPr>
              <w:t>Scenario</w:t>
            </w:r>
          </w:p>
        </w:tc>
        <w:tc>
          <w:tcPr>
            <w:tcW w:type="dxa" w:w="720"/>
            <w:shd w:val="clear" w:color="auto" w:fill="0A2A43"/>
            <w:vAlign w:val="center"/>
          </w:tcPr>
          <w:p>
            <w:r/>
            <w:r>
              <w:rPr>
                <w:b/>
                <w:color w:val="FFFFFF"/>
                <w:sz w:val="20"/>
              </w:rPr>
              <w:t>Prob.</w:t>
            </w:r>
          </w:p>
        </w:tc>
        <w:tc>
          <w:tcPr>
            <w:tcW w:type="dxa" w:w="3456"/>
            <w:shd w:val="clear" w:color="auto" w:fill="0A2A43"/>
            <w:vAlign w:val="center"/>
          </w:tcPr>
          <w:p>
            <w:r/>
            <w:r>
              <w:rPr>
                <w:b/>
                <w:color w:val="FFFFFF"/>
                <w:sz w:val="20"/>
              </w:rPr>
              <w:t>Print signal</w:t>
            </w:r>
          </w:p>
        </w:tc>
        <w:tc>
          <w:tcPr>
            <w:tcW w:type="dxa" w:w="1296"/>
            <w:shd w:val="clear" w:color="auto" w:fill="0A2A43"/>
            <w:vAlign w:val="center"/>
          </w:tcPr>
          <w:p>
            <w:r/>
            <w:r>
              <w:rPr>
                <w:b/>
                <w:color w:val="FFFFFF"/>
                <w:sz w:val="20"/>
              </w:rPr>
              <w:t>1-day move</w:t>
            </w:r>
          </w:p>
        </w:tc>
        <w:tc>
          <w:tcPr>
            <w:tcW w:type="dxa" w:w="1440"/>
            <w:shd w:val="clear" w:color="auto" w:fill="0A2A43"/>
            <w:vAlign w:val="center"/>
          </w:tcPr>
          <w:p>
            <w:r/>
            <w:r>
              <w:rPr>
                <w:b/>
                <w:color w:val="FFFFFF"/>
                <w:sz w:val="20"/>
              </w:rPr>
              <w:t>4-week target</w:t>
            </w:r>
          </w:p>
        </w:tc>
        <w:tc>
          <w:tcPr>
            <w:tcW w:type="dxa" w:w="2160"/>
            <w:shd w:val="clear" w:color="auto" w:fill="0A2A43"/>
            <w:vAlign w:val="center"/>
          </w:tcPr>
          <w:p>
            <w:r/>
            <w:r>
              <w:rPr>
                <w:b/>
                <w:color w:val="FFFFFF"/>
                <w:sz w:val="20"/>
              </w:rPr>
              <w:t>Key trigger</w:t>
            </w:r>
          </w:p>
        </w:tc>
      </w:tr>
      <w:tr>
        <w:tc>
          <w:tcPr>
            <w:tcW w:type="dxa" w:w="1152"/>
          </w:tcPr>
          <w:p>
            <w:r/>
            <w:r>
              <w:rPr>
                <w:b/>
                <w:sz w:val="20"/>
              </w:rPr>
              <w:t>Bull</w:t>
            </w:r>
          </w:p>
        </w:tc>
        <w:tc>
          <w:tcPr>
            <w:tcW w:type="dxa" w:w="720"/>
          </w:tcPr>
          <w:p>
            <w:r/>
            <w:r>
              <w:rPr>
                <w:sz w:val="20"/>
              </w:rPr>
              <w:t>25%</w:t>
            </w:r>
          </w:p>
        </w:tc>
        <w:tc>
          <w:tcPr>
            <w:tcW w:type="dxa" w:w="3456"/>
          </w:tcPr>
          <w:p>
            <w:r/>
            <w:r>
              <w:rPr>
                <w:sz w:val="20"/>
              </w:rPr>
              <w:t>Auto GM ex-credits ≥15%, robotaxi revenue disclosed, constructive FY tone</w:t>
            </w:r>
          </w:p>
        </w:tc>
        <w:tc>
          <w:tcPr>
            <w:tcW w:type="dxa" w:w="1296"/>
          </w:tcPr>
          <w:p>
            <w:r/>
            <w:r>
              <w:rPr>
                <w:sz w:val="20"/>
              </w:rPr>
              <w:t>+8% to +12%</w:t>
            </w:r>
          </w:p>
        </w:tc>
        <w:tc>
          <w:tcPr>
            <w:tcW w:type="dxa" w:w="1440"/>
          </w:tcPr>
          <w:p>
            <w:r/>
            <w:r>
              <w:rPr>
                <w:sz w:val="20"/>
              </w:rPr>
              <w:t>$440–$465</w:t>
            </w:r>
          </w:p>
        </w:tc>
        <w:tc>
          <w:tcPr>
            <w:tcW w:type="dxa" w:w="2160"/>
          </w:tcPr>
          <w:p>
            <w:r/>
            <w:r>
              <w:rPr>
                <w:sz w:val="20"/>
              </w:rPr>
              <w:t>Margin beat + robotaxi monetization data</w:t>
            </w:r>
          </w:p>
        </w:tc>
      </w:tr>
      <w:tr>
        <w:tc>
          <w:tcPr>
            <w:tcW w:type="dxa" w:w="1152"/>
          </w:tcPr>
          <w:p>
            <w:r/>
            <w:r>
              <w:rPr>
                <w:b/>
                <w:sz w:val="20"/>
              </w:rPr>
              <w:t>Base</w:t>
            </w:r>
          </w:p>
        </w:tc>
        <w:tc>
          <w:tcPr>
            <w:tcW w:type="dxa" w:w="720"/>
          </w:tcPr>
          <w:p>
            <w:r/>
            <w:r>
              <w:rPr>
                <w:sz w:val="20"/>
              </w:rPr>
              <w:t>50%</w:t>
            </w:r>
          </w:p>
        </w:tc>
        <w:tc>
          <w:tcPr>
            <w:tcW w:type="dxa" w:w="3456"/>
          </w:tcPr>
          <w:p>
            <w:r/>
            <w:r>
              <w:rPr>
                <w:sz w:val="20"/>
              </w:rPr>
              <w:t>Auto GM 13–14.5%, qualitative robotaxi update, balanced FY language</w:t>
            </w:r>
          </w:p>
        </w:tc>
        <w:tc>
          <w:tcPr>
            <w:tcW w:type="dxa" w:w="1296"/>
          </w:tcPr>
          <w:p>
            <w:r/>
            <w:r>
              <w:rPr>
                <w:sz w:val="20"/>
              </w:rPr>
              <w:t>-2% to +3%</w:t>
            </w:r>
          </w:p>
        </w:tc>
        <w:tc>
          <w:tcPr>
            <w:tcW w:type="dxa" w:w="1440"/>
          </w:tcPr>
          <w:p>
            <w:r/>
            <w:r>
              <w:rPr>
                <w:sz w:val="20"/>
              </w:rPr>
              <w:t>$380–$410</w:t>
            </w:r>
          </w:p>
        </w:tc>
        <w:tc>
          <w:tcPr>
            <w:tcW w:type="dxa" w:w="2160"/>
          </w:tcPr>
          <w:p>
            <w:r/>
            <w:r>
              <w:rPr>
                <w:sz w:val="20"/>
              </w:rPr>
              <w:t>In-line print; narrative stays unchanged</w:t>
            </w:r>
          </w:p>
        </w:tc>
      </w:tr>
      <w:tr>
        <w:tc>
          <w:tcPr>
            <w:tcW w:type="dxa" w:w="1152"/>
          </w:tcPr>
          <w:p>
            <w:r/>
            <w:r>
              <w:rPr>
                <w:b/>
                <w:sz w:val="20"/>
              </w:rPr>
              <w:t>Bear</w:t>
            </w:r>
          </w:p>
        </w:tc>
        <w:tc>
          <w:tcPr>
            <w:tcW w:type="dxa" w:w="720"/>
          </w:tcPr>
          <w:p>
            <w:r/>
            <w:r>
              <w:rPr>
                <w:sz w:val="20"/>
              </w:rPr>
              <w:t>25%</w:t>
            </w:r>
          </w:p>
        </w:tc>
        <w:tc>
          <w:tcPr>
            <w:tcW w:type="dxa" w:w="3456"/>
          </w:tcPr>
          <w:p>
            <w:r/>
            <w:r>
              <w:rPr>
                <w:sz w:val="20"/>
              </w:rPr>
              <w:t>Auto GM &lt;13%, capex guided higher, cautious FY delivery tone</w:t>
            </w:r>
          </w:p>
        </w:tc>
        <w:tc>
          <w:tcPr>
            <w:tcW w:type="dxa" w:w="1296"/>
          </w:tcPr>
          <w:p>
            <w:r/>
            <w:r>
              <w:rPr>
                <w:sz w:val="20"/>
              </w:rPr>
              <w:t>-7% to -10%</w:t>
            </w:r>
          </w:p>
        </w:tc>
        <w:tc>
          <w:tcPr>
            <w:tcW w:type="dxa" w:w="1440"/>
          </w:tcPr>
          <w:p>
            <w:r/>
            <w:r>
              <w:rPr>
                <w:sz w:val="20"/>
              </w:rPr>
              <w:t>$340–$360</w:t>
            </w:r>
          </w:p>
        </w:tc>
        <w:tc>
          <w:tcPr>
            <w:tcW w:type="dxa" w:w="2160"/>
          </w:tcPr>
          <w:p>
            <w:r/>
            <w:r>
              <w:rPr>
                <w:sz w:val="20"/>
              </w:rPr>
              <w:t>Margin miss + capex creep</w:t>
            </w:r>
          </w:p>
        </w:tc>
      </w:tr>
    </w:tbl>
    <w:p>
      <w:pPr>
        <w:spacing w:after="80"/>
      </w:pPr>
      <w:r>
        <w:rPr>
          <w:b/>
          <w:i w:val="0"/>
          <w:sz w:val="21"/>
        </w:rPr>
        <w:t>Asymmetric observations:</w:t>
      </w:r>
    </w:p>
    <w:p>
      <w:pPr>
        <w:pStyle w:val="ListBullet"/>
        <w:spacing w:after="40"/>
        <w:ind w:left="360"/>
      </w:pPr>
      <w:r>
        <w:rPr>
          <w:sz w:val="21"/>
        </w:rPr>
        <w:t>Skew is slightly negative into the print: 90-day drawdown from peak (-20%) + bearish 200-day MA break noted in today's technical coverage + post-market tape leaning down.</w:t>
      </w:r>
    </w:p>
    <w:p>
      <w:pPr>
        <w:pStyle w:val="ListBullet"/>
        <w:spacing w:after="40"/>
        <w:ind w:left="360"/>
      </w:pPr>
      <w:r>
        <w:rPr>
          <w:sz w:val="21"/>
        </w:rPr>
        <w:t>However, positioning risk cuts both ways — options-implied move is sized for a sharp surprise in either direction. An in-line print with a single credible robotaxi data point could catalyze the bull path.</w:t>
      </w:r>
    </w:p>
    <w:p>
      <w:pPr>
        <w:pStyle w:val="ListBullet"/>
        <w:spacing w:after="40"/>
        <w:ind w:left="360"/>
      </w:pPr>
      <w:r>
        <w:rPr>
          <w:sz w:val="21"/>
        </w:rPr>
        <w:t>The 4-week path is more sensitive to FY tone than to Q1 numbers themselves, because Q1 hardware is already disclosed.</w:t>
      </w:r>
    </w:p>
    <w:p>
      <w:pPr>
        <w:spacing w:before="280" w:after="120"/>
        <w:pBdr>
          <w:bottom w:val="single" w:sz="8" w:space="4" w:color="0A2A43"/>
        </w:pBdr>
      </w:pPr>
      <w:r>
        <w:rPr>
          <w:b/>
          <w:color w:val="0A2A43"/>
          <w:sz w:val="30"/>
        </w:rPr>
        <w:t>Stock Positioning &amp; Technicals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0A2A43"/>
            <w:vAlign w:val="center"/>
          </w:tcPr>
          <w:p>
            <w:r/>
            <w:r>
              <w:rPr>
                <w:b/>
                <w:color w:val="FFFFFF"/>
                <w:sz w:val="20"/>
              </w:rPr>
              <w:t>Indicator</w:t>
            </w:r>
          </w:p>
        </w:tc>
        <w:tc>
          <w:tcPr>
            <w:tcW w:type="dxa" w:w="3249"/>
            <w:shd w:val="clear" w:color="auto" w:fill="0A2A43"/>
            <w:vAlign w:val="center"/>
          </w:tcPr>
          <w:p>
            <w:r/>
            <w:r>
              <w:rPr>
                <w:b/>
                <w:color w:val="FFFFFF"/>
                <w:sz w:val="20"/>
              </w:rPr>
              <w:t>Value</w:t>
            </w:r>
          </w:p>
        </w:tc>
        <w:tc>
          <w:tcPr>
            <w:tcW w:type="dxa" w:w="3249"/>
            <w:shd w:val="clear" w:color="auto" w:fill="0A2A43"/>
            <w:vAlign w:val="center"/>
          </w:tcPr>
          <w:p>
            <w:r/>
            <w:r>
              <w:rPr>
                <w:b/>
                <w:color w:val="FFFFFF"/>
                <w:sz w:val="20"/>
              </w:rPr>
              <w:t>Read</w:t>
            </w:r>
          </w:p>
        </w:tc>
      </w:tr>
      <w:tr>
        <w:tc>
          <w:tcPr>
            <w:tcW w:type="dxa" w:w="3249"/>
          </w:tcPr>
          <w:p>
            <w:r/>
            <w:r>
              <w:rPr>
                <w:b/>
                <w:sz w:val="20"/>
              </w:rPr>
              <w:t>Last price</w:t>
            </w:r>
          </w:p>
        </w:tc>
        <w:tc>
          <w:tcPr>
            <w:tcW w:type="dxa" w:w="3249"/>
          </w:tcPr>
          <w:p>
            <w:r/>
            <w:r>
              <w:rPr>
                <w:sz w:val="20"/>
              </w:rPr>
              <w:t>$391.06</w:t>
            </w:r>
          </w:p>
        </w:tc>
        <w:tc>
          <w:tcPr>
            <w:tcW w:type="dxa" w:w="3249"/>
          </w:tcPr>
          <w:p>
            <w:r/>
            <w:r>
              <w:rPr>
                <w:sz w:val="20"/>
              </w:rPr>
              <w:t>Regular-session close, 2026-04-22</w:t>
            </w:r>
          </w:p>
        </w:tc>
      </w:tr>
      <w:tr>
        <w:tc>
          <w:tcPr>
            <w:tcW w:type="dxa" w:w="3249"/>
          </w:tcPr>
          <w:p>
            <w:r/>
            <w:r>
              <w:rPr>
                <w:b/>
                <w:sz w:val="20"/>
              </w:rPr>
              <w:t>Prior close</w:t>
            </w:r>
          </w:p>
        </w:tc>
        <w:tc>
          <w:tcPr>
            <w:tcW w:type="dxa" w:w="3249"/>
          </w:tcPr>
          <w:p>
            <w:r/>
            <w:r>
              <w:rPr>
                <w:sz w:val="20"/>
              </w:rPr>
              <w:t>$386.42</w:t>
            </w:r>
          </w:p>
        </w:tc>
        <w:tc>
          <w:tcPr>
            <w:tcW w:type="dxa" w:w="3249"/>
          </w:tcPr>
          <w:p>
            <w:r/>
            <w:r>
              <w:rPr>
                <w:sz w:val="20"/>
              </w:rPr>
              <w:t>+1.20% on the day into the print</w:t>
            </w:r>
          </w:p>
        </w:tc>
      </w:tr>
      <w:tr>
        <w:tc>
          <w:tcPr>
            <w:tcW w:type="dxa" w:w="3249"/>
          </w:tcPr>
          <w:p>
            <w:r/>
            <w:r>
              <w:rPr>
                <w:b/>
                <w:sz w:val="20"/>
              </w:rPr>
              <w:t>Pre-market last</w:t>
            </w:r>
          </w:p>
        </w:tc>
        <w:tc>
          <w:tcPr>
            <w:tcW w:type="dxa" w:w="3249"/>
          </w:tcPr>
          <w:p>
            <w:r/>
            <w:r>
              <w:rPr>
                <w:sz w:val="20"/>
              </w:rPr>
              <w:t>$386.76</w:t>
            </w:r>
          </w:p>
        </w:tc>
        <w:tc>
          <w:tcPr>
            <w:tcW w:type="dxa" w:w="3249"/>
          </w:tcPr>
          <w:p>
            <w:r/>
            <w:r>
              <w:rPr>
                <w:sz w:val="20"/>
              </w:rPr>
              <w:t>Flat to prior close</w:t>
            </w:r>
          </w:p>
        </w:tc>
      </w:tr>
      <w:tr>
        <w:tc>
          <w:tcPr>
            <w:tcW w:type="dxa" w:w="3249"/>
          </w:tcPr>
          <w:p>
            <w:r/>
            <w:r>
              <w:rPr>
                <w:b/>
                <w:sz w:val="20"/>
              </w:rPr>
              <w:t>Post-market last</w:t>
            </w:r>
          </w:p>
        </w:tc>
        <w:tc>
          <w:tcPr>
            <w:tcW w:type="dxa" w:w="3249"/>
          </w:tcPr>
          <w:p>
            <w:r/>
            <w:r>
              <w:rPr>
                <w:sz w:val="20"/>
              </w:rPr>
              <w:t>$388.99</w:t>
            </w:r>
          </w:p>
        </w:tc>
        <w:tc>
          <w:tcPr>
            <w:tcW w:type="dxa" w:w="3249"/>
          </w:tcPr>
          <w:p>
            <w:r/>
            <w:r>
              <w:rPr>
                <w:sz w:val="20"/>
              </w:rPr>
              <w:t>-0.53% vs. regular close — modestly defensive tape</w:t>
            </w:r>
          </w:p>
        </w:tc>
      </w:tr>
      <w:tr>
        <w:tc>
          <w:tcPr>
            <w:tcW w:type="dxa" w:w="3249"/>
          </w:tcPr>
          <w:p>
            <w:r/>
            <w:r>
              <w:rPr>
                <w:b/>
                <w:sz w:val="20"/>
              </w:rPr>
              <w:t>20-day MA</w:t>
            </w:r>
          </w:p>
        </w:tc>
        <w:tc>
          <w:tcPr>
            <w:tcW w:type="dxa" w:w="3249"/>
          </w:tcPr>
          <w:p>
            <w:r/>
            <w:r>
              <w:rPr>
                <w:sz w:val="20"/>
              </w:rPr>
              <w:t>$369.71</w:t>
            </w:r>
          </w:p>
        </w:tc>
        <w:tc>
          <w:tcPr>
            <w:tcW w:type="dxa" w:w="3249"/>
          </w:tcPr>
          <w:p>
            <w:r/>
            <w:r>
              <w:rPr>
                <w:sz w:val="20"/>
              </w:rPr>
              <w:t>Price +5.8% above — short-term momentum positive</w:t>
            </w:r>
          </w:p>
        </w:tc>
      </w:tr>
      <w:tr>
        <w:tc>
          <w:tcPr>
            <w:tcW w:type="dxa" w:w="3249"/>
          </w:tcPr>
          <w:p>
            <w:r/>
            <w:r>
              <w:rPr>
                <w:b/>
                <w:sz w:val="20"/>
              </w:rPr>
              <w:t>50-day MA</w:t>
            </w:r>
          </w:p>
        </w:tc>
        <w:tc>
          <w:tcPr>
            <w:tcW w:type="dxa" w:w="3249"/>
          </w:tcPr>
          <w:p>
            <w:r/>
            <w:r>
              <w:rPr>
                <w:sz w:val="20"/>
              </w:rPr>
              <w:t>$389.22</w:t>
            </w:r>
          </w:p>
        </w:tc>
        <w:tc>
          <w:tcPr>
            <w:tcW w:type="dxa" w:w="3249"/>
          </w:tcPr>
          <w:p>
            <w:r/>
            <w:r>
              <w:rPr>
                <w:sz w:val="20"/>
              </w:rPr>
              <w:t>Price +0.5% above — balanced</w:t>
            </w:r>
          </w:p>
        </w:tc>
      </w:tr>
      <w:tr>
        <w:tc>
          <w:tcPr>
            <w:tcW w:type="dxa" w:w="3249"/>
          </w:tcPr>
          <w:p>
            <w:r/>
            <w:r>
              <w:rPr>
                <w:b/>
                <w:sz w:val="20"/>
              </w:rPr>
              <w:t>90-day range</w:t>
            </w:r>
          </w:p>
        </w:tc>
        <w:tc>
          <w:tcPr>
            <w:tcW w:type="dxa" w:w="3249"/>
          </w:tcPr>
          <w:p>
            <w:r/>
            <w:r>
              <w:rPr>
                <w:sz w:val="20"/>
              </w:rPr>
              <w:t>$337.24 – $498.83</w:t>
            </w:r>
          </w:p>
        </w:tc>
        <w:tc>
          <w:tcPr>
            <w:tcW w:type="dxa" w:w="3249"/>
          </w:tcPr>
          <w:p>
            <w:r/>
            <w:r>
              <w:rPr>
                <w:sz w:val="20"/>
              </w:rPr>
              <w:t>Current sits at 51% of 90d range</w:t>
            </w:r>
          </w:p>
        </w:tc>
      </w:tr>
      <w:tr>
        <w:tc>
          <w:tcPr>
            <w:tcW w:type="dxa" w:w="3249"/>
          </w:tcPr>
          <w:p>
            <w:r/>
            <w:r>
              <w:rPr>
                <w:b/>
                <w:sz w:val="20"/>
              </w:rPr>
              <w:t>90d return</w:t>
            </w:r>
          </w:p>
        </w:tc>
        <w:tc>
          <w:tcPr>
            <w:tcW w:type="dxa" w:w="3249"/>
          </w:tcPr>
          <w:p>
            <w:r/>
            <w:r>
              <w:rPr>
                <w:sz w:val="20"/>
              </w:rPr>
              <w:t>-12.5%</w:t>
            </w:r>
          </w:p>
        </w:tc>
        <w:tc>
          <w:tcPr>
            <w:tcW w:type="dxa" w:w="3249"/>
          </w:tcPr>
          <w:p>
            <w:r/>
            <w:r>
              <w:rPr>
                <w:sz w:val="20"/>
              </w:rPr>
              <w:t>Underperformance vs. broad market</w:t>
            </w:r>
          </w:p>
        </w:tc>
      </w:tr>
      <w:tr>
        <w:tc>
          <w:tcPr>
            <w:tcW w:type="dxa" w:w="3249"/>
          </w:tcPr>
          <w:p>
            <w:r/>
            <w:r>
              <w:rPr>
                <w:b/>
                <w:sz w:val="20"/>
              </w:rPr>
              <w:t>30d return</w:t>
            </w:r>
          </w:p>
        </w:tc>
        <w:tc>
          <w:tcPr>
            <w:tcW w:type="dxa" w:w="3249"/>
          </w:tcPr>
          <w:p>
            <w:r/>
            <w:r>
              <w:rPr>
                <w:sz w:val="20"/>
              </w:rPr>
              <w:t>-4.1%</w:t>
            </w:r>
          </w:p>
        </w:tc>
        <w:tc>
          <w:tcPr>
            <w:tcW w:type="dxa" w:w="3249"/>
          </w:tcPr>
          <w:p>
            <w:r/>
            <w:r>
              <w:rPr>
                <w:sz w:val="20"/>
              </w:rPr>
              <w:t>Consolidation after March rebound</w:t>
            </w:r>
          </w:p>
        </w:tc>
      </w:tr>
      <w:tr>
        <w:tc>
          <w:tcPr>
            <w:tcW w:type="dxa" w:w="3249"/>
          </w:tcPr>
          <w:p>
            <w:r/>
            <w:r>
              <w:rPr>
                <w:b/>
                <w:sz w:val="20"/>
              </w:rPr>
              <w:t>YTD return (from 2026-01-02)</w:t>
            </w:r>
          </w:p>
        </w:tc>
        <w:tc>
          <w:tcPr>
            <w:tcW w:type="dxa" w:w="3249"/>
          </w:tcPr>
          <w:p>
            <w:r/>
            <w:r>
              <w:rPr>
                <w:sz w:val="20"/>
              </w:rPr>
              <w:t>-10.7%</w:t>
            </w:r>
          </w:p>
        </w:tc>
        <w:tc>
          <w:tcPr>
            <w:tcW w:type="dxa" w:w="3249"/>
          </w:tcPr>
          <w:p>
            <w:r/>
            <w:r>
              <w:rPr>
                <w:sz w:val="20"/>
              </w:rPr>
              <w:t>Weak YTD setup</w:t>
            </w:r>
          </w:p>
        </w:tc>
      </w:tr>
      <w:tr>
        <w:tc>
          <w:tcPr>
            <w:tcW w:type="dxa" w:w="3249"/>
          </w:tcPr>
          <w:p>
            <w:r/>
            <w:r>
              <w:rPr>
                <w:b/>
                <w:sz w:val="20"/>
              </w:rPr>
              <w:t>Drawdown from 12/16/2025 peak</w:t>
            </w:r>
          </w:p>
        </w:tc>
        <w:tc>
          <w:tcPr>
            <w:tcW w:type="dxa" w:w="3249"/>
          </w:tcPr>
          <w:p>
            <w:r/>
            <w:r>
              <w:rPr>
                <w:sz w:val="20"/>
              </w:rPr>
              <w:t>-20.2%</w:t>
            </w:r>
          </w:p>
        </w:tc>
        <w:tc>
          <w:tcPr>
            <w:tcW w:type="dxa" w:w="3249"/>
          </w:tcPr>
          <w:p>
            <w:r/>
            <w:r>
              <w:rPr>
                <w:sz w:val="20"/>
              </w:rPr>
              <w:t>Still in technical correction territory</w:t>
            </w:r>
          </w:p>
        </w:tc>
      </w:tr>
      <w:tr>
        <w:tc>
          <w:tcPr>
            <w:tcW w:type="dxa" w:w="3249"/>
          </w:tcPr>
          <w:p>
            <w:r/>
            <w:r>
              <w:rPr>
                <w:b/>
                <w:sz w:val="20"/>
              </w:rPr>
              <w:t>Realized vol (90d, annualized)</w:t>
            </w:r>
          </w:p>
        </w:tc>
        <w:tc>
          <w:tcPr>
            <w:tcW w:type="dxa" w:w="3249"/>
          </w:tcPr>
          <w:p>
            <w:r/>
            <w:r>
              <w:rPr>
                <w:sz w:val="20"/>
              </w:rPr>
              <w:t>39.1%</w:t>
            </w:r>
          </w:p>
        </w:tc>
        <w:tc>
          <w:tcPr>
            <w:tcW w:type="dxa" w:w="3249"/>
          </w:tcPr>
          <w:p>
            <w:r/>
            <w:r>
              <w:rPr>
                <w:sz w:val="20"/>
              </w:rPr>
              <w:t>Consistent with ~6–8% implied 1-day move</w:t>
            </w:r>
          </w:p>
        </w:tc>
      </w:tr>
      <w:tr>
        <w:tc>
          <w:tcPr>
            <w:tcW w:type="dxa" w:w="3249"/>
          </w:tcPr>
          <w:p>
            <w:r/>
            <w:r>
              <w:rPr>
                <w:b/>
                <w:sz w:val="20"/>
              </w:rPr>
              <w:t>20-day avg volume</w:t>
            </w:r>
          </w:p>
        </w:tc>
        <w:tc>
          <w:tcPr>
            <w:tcW w:type="dxa" w:w="3249"/>
          </w:tcPr>
          <w:p>
            <w:r/>
            <w:r>
              <w:rPr>
                <w:sz w:val="20"/>
              </w:rPr>
              <w:t>65.5M shares</w:t>
            </w:r>
          </w:p>
        </w:tc>
        <w:tc>
          <w:tcPr>
            <w:tcW w:type="dxa" w:w="3249"/>
          </w:tcPr>
          <w:p>
            <w:r/>
            <w:r>
              <w:rPr>
                <w:sz w:val="20"/>
              </w:rPr>
              <w:t>Healthy liquidity for event</w:t>
            </w:r>
          </w:p>
        </w:tc>
      </w:tr>
    </w:tbl>
    <w:p>
      <w:pPr>
        <w:spacing w:before="200" w:after="60"/>
      </w:pPr>
      <w:r>
        <w:rPr>
          <w:b/>
          <w:color w:val="0A2A43"/>
          <w:sz w:val="24"/>
        </w:rPr>
        <w:t>Levels to watch</w:t>
      </w:r>
    </w:p>
    <w:p>
      <w:pPr>
        <w:pStyle w:val="ListBullet"/>
        <w:spacing w:after="40"/>
        <w:ind w:left="360"/>
      </w:pPr>
      <w:r>
        <w:rPr>
          <w:sz w:val="21"/>
        </w:rPr>
        <w:t>Upside: $416 (30-day high) → $440 (50% retracement of Dec peak-to-trough) → $465 (gap-fill).</w:t>
      </w:r>
    </w:p>
    <w:p>
      <w:pPr>
        <w:pStyle w:val="ListBullet"/>
        <w:spacing w:after="40"/>
        <w:ind w:left="360"/>
      </w:pPr>
      <w:r>
        <w:rPr>
          <w:sz w:val="21"/>
        </w:rPr>
        <w:t>Downside: $369 (20-day MA) → $343 (90-day low cluster) → $337 (2026 swing low).</w:t>
      </w:r>
    </w:p>
    <w:p>
      <w:pPr>
        <w:pStyle w:val="ListBullet"/>
        <w:spacing w:after="40"/>
        <w:ind w:left="360"/>
      </w:pPr>
      <w:r>
        <w:rPr>
          <w:sz w:val="21"/>
        </w:rPr>
        <w:t>Loss of $369 on a margin miss would open a quick flush to the $343 support shelf.</w:t>
      </w:r>
    </w:p>
    <w:p>
      <w:pPr>
        <w:spacing w:before="280" w:after="120"/>
        <w:pBdr>
          <w:bottom w:val="single" w:sz="8" w:space="4" w:color="0A2A43"/>
        </w:pBdr>
      </w:pPr>
      <w:r>
        <w:rPr>
          <w:b/>
          <w:color w:val="0A2A43"/>
          <w:sz w:val="30"/>
        </w:rPr>
        <w:t>Valuation — Rich Baseline, Narrative-Dependent</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0A2A43"/>
            <w:vAlign w:val="center"/>
          </w:tcPr>
          <w:p>
            <w:r/>
            <w:r>
              <w:rPr>
                <w:b/>
                <w:color w:val="FFFFFF"/>
                <w:sz w:val="20"/>
              </w:rPr>
              <w:t>Metric</w:t>
            </w:r>
          </w:p>
        </w:tc>
        <w:tc>
          <w:tcPr>
            <w:tcW w:type="dxa" w:w="3249"/>
            <w:shd w:val="clear" w:color="auto" w:fill="0A2A43"/>
            <w:vAlign w:val="center"/>
          </w:tcPr>
          <w:p>
            <w:r/>
            <w:r>
              <w:rPr>
                <w:b/>
                <w:color w:val="FFFFFF"/>
                <w:sz w:val="20"/>
              </w:rPr>
              <w:t>TSLA</w:t>
            </w:r>
          </w:p>
        </w:tc>
        <w:tc>
          <w:tcPr>
            <w:tcW w:type="dxa" w:w="3249"/>
            <w:shd w:val="clear" w:color="auto" w:fill="0A2A43"/>
            <w:vAlign w:val="center"/>
          </w:tcPr>
          <w:p>
            <w:r/>
            <w:r>
              <w:rPr>
                <w:b/>
                <w:color w:val="FFFFFF"/>
                <w:sz w:val="20"/>
              </w:rPr>
              <w:t>Commentary</w:t>
            </w:r>
          </w:p>
        </w:tc>
      </w:tr>
      <w:tr>
        <w:tc>
          <w:tcPr>
            <w:tcW w:type="dxa" w:w="3249"/>
          </w:tcPr>
          <w:p>
            <w:r/>
            <w:r>
              <w:rPr>
                <w:b/>
                <w:sz w:val="20"/>
              </w:rPr>
              <w:t>Market cap</w:t>
            </w:r>
          </w:p>
        </w:tc>
        <w:tc>
          <w:tcPr>
            <w:tcW w:type="dxa" w:w="3249"/>
          </w:tcPr>
          <w:p>
            <w:r/>
            <w:r>
              <w:rPr>
                <w:sz w:val="20"/>
              </w:rPr>
              <w:t>$1.466 trillion</w:t>
            </w:r>
          </w:p>
        </w:tc>
        <w:tc>
          <w:tcPr>
            <w:tcW w:type="dxa" w:w="3249"/>
          </w:tcPr>
          <w:p>
            <w:r/>
            <w:r>
              <w:rPr>
                <w:sz w:val="20"/>
              </w:rPr>
              <w:t>Mega-cap auto + AI hybrid; premium to any auto peer</w:t>
            </w:r>
          </w:p>
        </w:tc>
      </w:tr>
      <w:tr>
        <w:tc>
          <w:tcPr>
            <w:tcW w:type="dxa" w:w="3249"/>
          </w:tcPr>
          <w:p>
            <w:r/>
            <w:r>
              <w:rPr>
                <w:b/>
                <w:sz w:val="20"/>
              </w:rPr>
              <w:t>P/E TTM</w:t>
            </w:r>
          </w:p>
        </w:tc>
        <w:tc>
          <w:tcPr>
            <w:tcW w:type="dxa" w:w="3249"/>
          </w:tcPr>
          <w:p>
            <w:r/>
            <w:r>
              <w:rPr>
                <w:sz w:val="20"/>
              </w:rPr>
              <w:t>386.49x</w:t>
            </w:r>
          </w:p>
        </w:tc>
        <w:tc>
          <w:tcPr>
            <w:tcW w:type="dxa" w:w="3249"/>
          </w:tcPr>
          <w:p>
            <w:r/>
            <w:r>
              <w:rPr>
                <w:sz w:val="20"/>
              </w:rPr>
              <w:t>Requires substantial forward earnings growth to be defensible on DCF</w:t>
            </w:r>
          </w:p>
        </w:tc>
      </w:tr>
      <w:tr>
        <w:tc>
          <w:tcPr>
            <w:tcW w:type="dxa" w:w="3249"/>
          </w:tcPr>
          <w:p>
            <w:r/>
            <w:r>
              <w:rPr>
                <w:b/>
                <w:sz w:val="20"/>
              </w:rPr>
              <w:t>P/B</w:t>
            </w:r>
          </w:p>
        </w:tc>
        <w:tc>
          <w:tcPr>
            <w:tcW w:type="dxa" w:w="3249"/>
          </w:tcPr>
          <w:p>
            <w:r/>
            <w:r>
              <w:rPr>
                <w:sz w:val="20"/>
              </w:rPr>
              <w:t>17.85x</w:t>
            </w:r>
          </w:p>
        </w:tc>
        <w:tc>
          <w:tcPr>
            <w:tcW w:type="dxa" w:w="3249"/>
          </w:tcPr>
          <w:p>
            <w:r/>
            <w:r>
              <w:rPr>
                <w:sz w:val="20"/>
              </w:rPr>
              <w:t>Price-to-book reflects intangible asset optionality, not hard-asset yield</w:t>
            </w:r>
          </w:p>
        </w:tc>
      </w:tr>
      <w:tr>
        <w:tc>
          <w:tcPr>
            <w:tcW w:type="dxa" w:w="3249"/>
          </w:tcPr>
          <w:p>
            <w:r/>
            <w:r>
              <w:rPr>
                <w:b/>
                <w:sz w:val="20"/>
              </w:rPr>
              <w:t>Turnover rate</w:t>
            </w:r>
          </w:p>
        </w:tc>
        <w:tc>
          <w:tcPr>
            <w:tcW w:type="dxa" w:w="3249"/>
          </w:tcPr>
          <w:p>
            <w:r/>
            <w:r>
              <w:rPr>
                <w:sz w:val="20"/>
              </w:rPr>
              <w:t>0.34%</w:t>
            </w:r>
          </w:p>
        </w:tc>
        <w:tc>
          <w:tcPr>
            <w:tcW w:type="dxa" w:w="3249"/>
          </w:tcPr>
          <w:p>
            <w:r/>
            <w:r>
              <w:rPr>
                <w:sz w:val="20"/>
              </w:rPr>
              <w:t>Consistent with deep float, heavy institutional ownership</w:t>
            </w:r>
          </w:p>
        </w:tc>
      </w:tr>
    </w:tbl>
    <w:p>
      <w:pPr>
        <w:spacing w:after="80"/>
      </w:pPr>
      <w:r>
        <w:rPr>
          <w:b w:val="0"/>
          <w:i w:val="0"/>
          <w:sz w:val="21"/>
        </w:rPr>
        <w:t>The 386x trailing P/E is not a number that can be bridged by the auto business alone — it is priced as an AI/robotics/autonomy option with a real vehicle business attached. The market-cap math is effectively asking: "At what probability does Tesla own meaningful share of an autonomous mobility and humanoid robotics market by 2030+?" Near-term earnings prints primarily serve to validate (or invalidate) the operational capacity required to fund the optionality, rather than to justify the multiple directly.</w:t>
      </w:r>
    </w:p>
    <w:p>
      <w:pPr>
        <w:spacing w:after="80"/>
      </w:pPr>
      <w:r>
        <w:rPr>
          <w:b/>
          <w:i w:val="0"/>
          <w:sz w:val="21"/>
        </w:rPr>
        <w:t>Implication:</w:t>
      </w:r>
    </w:p>
    <w:p>
      <w:pPr>
        <w:pStyle w:val="ListBullet"/>
        <w:spacing w:after="40"/>
        <w:ind w:left="360"/>
      </w:pPr>
      <w:r>
        <w:rPr>
          <w:sz w:val="21"/>
        </w:rPr>
        <w:t>A small beat on in-quarter metrics can carry a disproportionate share reaction if it lets the narrative-path remain intact.</w:t>
      </w:r>
    </w:p>
    <w:p>
      <w:pPr>
        <w:pStyle w:val="ListBullet"/>
        <w:spacing w:after="40"/>
        <w:ind w:left="360"/>
      </w:pPr>
      <w:r>
        <w:rPr>
          <w:sz w:val="21"/>
        </w:rPr>
        <w:t>A small miss that undermines the narrative (e.g., capex rising while robotaxi commercialization slips) can compound — magnitude of fundamental miss and magnitude of share reaction are typically asymmetric.</w:t>
      </w:r>
    </w:p>
    <w:p>
      <w:pPr>
        <w:pStyle w:val="ListBullet"/>
        <w:spacing w:after="40"/>
        <w:ind w:left="360"/>
      </w:pPr>
      <w:r>
        <w:rPr>
          <w:sz w:val="21"/>
        </w:rPr>
        <w:t>For a fundamentals-first investor, the current multiple demands either (a) credible EPS power doubling on a 3-year view, or (b) tangible, dated robotaxi revenue scale-up.</w:t>
      </w:r>
    </w:p>
    <w:p>
      <w:r>
        <w:br w:type="page"/>
      </w:r>
    </w:p>
    <w:p>
      <w:pPr>
        <w:spacing w:before="280" w:after="120"/>
        <w:pBdr>
          <w:bottom w:val="single" w:sz="8" w:space="4" w:color="0A2A43"/>
        </w:pBdr>
      </w:pPr>
      <w:r>
        <w:rPr>
          <w:b/>
          <w:color w:val="0A2A43"/>
          <w:sz w:val="30"/>
        </w:rPr>
        <w:t>Same-Day News &amp; Sentiment Feed</w:t>
      </w:r>
    </w:p>
    <w:p>
      <w:pPr>
        <w:spacing w:after="80"/>
      </w:pPr>
      <w:r>
        <w:rPr>
          <w:b w:val="0"/>
          <w:i w:val="0"/>
          <w:sz w:val="21"/>
        </w:rPr>
        <w:t>Selected TSLA-specific headlines from the 22-Apr-2026 news flow (longbridge feed). The sell-side and media setup into the print skews cautious, with a minority of constructive voices on robotaxi:</w:t>
      </w:r>
    </w:p>
    <w:tbl>
      <w:tblPr>
        <w:tblStyle w:val="LightGrid-Accent1"/>
        <w:tblW w:type="auto" w:w="0"/>
        <w:tblLook w:firstColumn="1" w:firstRow="1" w:lastColumn="0" w:lastRow="0" w:noHBand="0" w:noVBand="1" w:val="04A0"/>
      </w:tblPr>
      <w:tblGrid>
        <w:gridCol w:w="3249"/>
        <w:gridCol w:w="3249"/>
        <w:gridCol w:w="3249"/>
      </w:tblGrid>
      <w:tr>
        <w:tc>
          <w:tcPr>
            <w:tcW w:type="dxa" w:w="1296"/>
            <w:shd w:val="clear" w:color="auto" w:fill="0A2A43"/>
            <w:vAlign w:val="center"/>
          </w:tcPr>
          <w:p>
            <w:r/>
            <w:r>
              <w:rPr>
                <w:b/>
                <w:color w:val="FFFFFF"/>
                <w:sz w:val="20"/>
              </w:rPr>
              <w:t>Time (UTC)</w:t>
            </w:r>
          </w:p>
        </w:tc>
        <w:tc>
          <w:tcPr>
            <w:tcW w:type="dxa" w:w="6480"/>
            <w:shd w:val="clear" w:color="auto" w:fill="0A2A43"/>
            <w:vAlign w:val="center"/>
          </w:tcPr>
          <w:p>
            <w:r/>
            <w:r>
              <w:rPr>
                <w:b/>
                <w:color w:val="FFFFFF"/>
                <w:sz w:val="20"/>
              </w:rPr>
              <w:t>Headline</w:t>
            </w:r>
          </w:p>
        </w:tc>
        <w:tc>
          <w:tcPr>
            <w:tcW w:type="dxa" w:w="1872"/>
            <w:shd w:val="clear" w:color="auto" w:fill="0A2A43"/>
            <w:vAlign w:val="center"/>
          </w:tcPr>
          <w:p>
            <w:r/>
            <w:r>
              <w:rPr>
                <w:b/>
                <w:color w:val="FFFFFF"/>
                <w:sz w:val="20"/>
              </w:rPr>
              <w:t>Lean</w:t>
            </w:r>
          </w:p>
        </w:tc>
      </w:tr>
      <w:tr>
        <w:tc>
          <w:tcPr>
            <w:tcW w:type="dxa" w:w="1296"/>
          </w:tcPr>
          <w:p>
            <w:r/>
            <w:r>
              <w:rPr>
                <w:b/>
                <w:sz w:val="20"/>
              </w:rPr>
              <w:t>13:51</w:t>
            </w:r>
          </w:p>
        </w:tc>
        <w:tc>
          <w:tcPr>
            <w:tcW w:type="dxa" w:w="6480"/>
          </w:tcPr>
          <w:p>
            <w:r/>
            <w:r>
              <w:rPr>
                <w:sz w:val="20"/>
              </w:rPr>
              <w:t>SpaceX has obtained a right to a deal to acquire AI coding tool Cursor</w:t>
            </w:r>
          </w:p>
        </w:tc>
        <w:tc>
          <w:tcPr>
            <w:tcW w:type="dxa" w:w="1872"/>
          </w:tcPr>
          <w:p>
            <w:r/>
            <w:r>
              <w:rPr>
                <w:sz w:val="20"/>
              </w:rPr>
              <w:t>Neutral</w:t>
            </w:r>
          </w:p>
        </w:tc>
      </w:tr>
      <w:tr>
        <w:tc>
          <w:tcPr>
            <w:tcW w:type="dxa" w:w="1296"/>
          </w:tcPr>
          <w:p>
            <w:r/>
            <w:r>
              <w:rPr>
                <w:b/>
                <w:sz w:val="20"/>
              </w:rPr>
              <w:t>13:32</w:t>
            </w:r>
          </w:p>
        </w:tc>
        <w:tc>
          <w:tcPr>
            <w:tcW w:type="dxa" w:w="6480"/>
          </w:tcPr>
          <w:p>
            <w:r/>
            <w:r>
              <w:rPr>
                <w:sz w:val="20"/>
              </w:rPr>
              <w:t>Tesla's Business Is at a Historic Crossroads, but What About Its Stock Price?</w:t>
            </w:r>
          </w:p>
        </w:tc>
        <w:tc>
          <w:tcPr>
            <w:tcW w:type="dxa" w:w="1872"/>
          </w:tcPr>
          <w:p>
            <w:r/>
            <w:r>
              <w:rPr>
                <w:sz w:val="20"/>
              </w:rPr>
              <w:t>Caution</w:t>
            </w:r>
          </w:p>
        </w:tc>
      </w:tr>
      <w:tr>
        <w:tc>
          <w:tcPr>
            <w:tcW w:type="dxa" w:w="1296"/>
          </w:tcPr>
          <w:p>
            <w:r/>
            <w:r>
              <w:rPr>
                <w:b/>
                <w:sz w:val="20"/>
              </w:rPr>
              <w:t>12:49</w:t>
            </w:r>
          </w:p>
        </w:tc>
        <w:tc>
          <w:tcPr>
            <w:tcW w:type="dxa" w:w="6480"/>
          </w:tcPr>
          <w:p>
            <w:r/>
            <w:r>
              <w:rPr>
                <w:sz w:val="20"/>
              </w:rPr>
              <w:t>Tesla Earnings Are Imminent; These Most Accurate Analysts Revise Forecasts Ahead Of Earnings Call</w:t>
            </w:r>
          </w:p>
        </w:tc>
        <w:tc>
          <w:tcPr>
            <w:tcW w:type="dxa" w:w="1872"/>
          </w:tcPr>
          <w:p>
            <w:r/>
            <w:r>
              <w:rPr>
                <w:sz w:val="20"/>
              </w:rPr>
              <w:t>Mixed</w:t>
            </w:r>
          </w:p>
        </w:tc>
      </w:tr>
      <w:tr>
        <w:tc>
          <w:tcPr>
            <w:tcW w:type="dxa" w:w="1296"/>
          </w:tcPr>
          <w:p>
            <w:r/>
            <w:r>
              <w:rPr>
                <w:b/>
                <w:sz w:val="20"/>
              </w:rPr>
              <w:t>11:32</w:t>
            </w:r>
          </w:p>
        </w:tc>
        <w:tc>
          <w:tcPr>
            <w:tcW w:type="dxa" w:w="6480"/>
          </w:tcPr>
          <w:p>
            <w:r/>
            <w:r>
              <w:rPr>
                <w:sz w:val="20"/>
              </w:rPr>
              <w:t>Tesla Is Bringing Its Robotaxis to 2 New Texas Cities. Does That Make TSLA Stock a Buy Here?</w:t>
            </w:r>
          </w:p>
        </w:tc>
        <w:tc>
          <w:tcPr>
            <w:tcW w:type="dxa" w:w="1872"/>
          </w:tcPr>
          <w:p>
            <w:r/>
            <w:r>
              <w:rPr>
                <w:sz w:val="20"/>
              </w:rPr>
              <w:t>Constructive</w:t>
            </w:r>
          </w:p>
        </w:tc>
      </w:tr>
      <w:tr>
        <w:tc>
          <w:tcPr>
            <w:tcW w:type="dxa" w:w="1296"/>
          </w:tcPr>
          <w:p>
            <w:r/>
            <w:r>
              <w:rPr>
                <w:b/>
                <w:sz w:val="20"/>
              </w:rPr>
              <w:t>11:05</w:t>
            </w:r>
          </w:p>
        </w:tc>
        <w:tc>
          <w:tcPr>
            <w:tcW w:type="dxa" w:w="6480"/>
          </w:tcPr>
          <w:p>
            <w:r/>
            <w:r>
              <w:rPr>
                <w:sz w:val="20"/>
              </w:rPr>
              <w:t>Tesla joins race to lead voice assistant tech in Chinese EV market</w:t>
            </w:r>
          </w:p>
        </w:tc>
        <w:tc>
          <w:tcPr>
            <w:tcW w:type="dxa" w:w="1872"/>
          </w:tcPr>
          <w:p>
            <w:r/>
            <w:r>
              <w:rPr>
                <w:sz w:val="20"/>
              </w:rPr>
              <w:t>Constructive (long-run)</w:t>
            </w:r>
          </w:p>
        </w:tc>
      </w:tr>
      <w:tr>
        <w:tc>
          <w:tcPr>
            <w:tcW w:type="dxa" w:w="1296"/>
          </w:tcPr>
          <w:p>
            <w:r/>
            <w:r>
              <w:rPr>
                <w:b/>
                <w:sz w:val="20"/>
              </w:rPr>
              <w:t>10:38</w:t>
            </w:r>
          </w:p>
        </w:tc>
        <w:tc>
          <w:tcPr>
            <w:tcW w:type="dxa" w:w="6480"/>
          </w:tcPr>
          <w:p>
            <w:r/>
            <w:r>
              <w:rPr>
                <w:sz w:val="20"/>
              </w:rPr>
              <w:t>Last-Minute Analyst Warning: "Sell" Tesla Stock; Predicts Big Earnings Miss and 95% Downside Risk in 2026</w:t>
            </w:r>
          </w:p>
        </w:tc>
        <w:tc>
          <w:tcPr>
            <w:tcW w:type="dxa" w:w="1872"/>
          </w:tcPr>
          <w:p>
            <w:r/>
            <w:r>
              <w:rPr>
                <w:sz w:val="20"/>
              </w:rPr>
              <w:t>Bearish extreme</w:t>
            </w:r>
          </w:p>
        </w:tc>
      </w:tr>
      <w:tr>
        <w:tc>
          <w:tcPr>
            <w:tcW w:type="dxa" w:w="1296"/>
          </w:tcPr>
          <w:p>
            <w:r/>
            <w:r>
              <w:rPr>
                <w:b/>
                <w:sz w:val="20"/>
              </w:rPr>
              <w:t>08:28</w:t>
            </w:r>
          </w:p>
        </w:tc>
        <w:tc>
          <w:tcPr>
            <w:tcW w:type="dxa" w:w="6480"/>
          </w:tcPr>
          <w:p>
            <w:r/>
            <w:r>
              <w:rPr>
                <w:sz w:val="20"/>
              </w:rPr>
              <w:t>Tesla Stock (TSLA) Rises Ahead of Q1 Earnings as Samsung Ramps Up Chip Supply</w:t>
            </w:r>
          </w:p>
        </w:tc>
        <w:tc>
          <w:tcPr>
            <w:tcW w:type="dxa" w:w="1872"/>
          </w:tcPr>
          <w:p>
            <w:r/>
            <w:r>
              <w:rPr>
                <w:sz w:val="20"/>
              </w:rPr>
              <w:t>Constructive</w:t>
            </w:r>
          </w:p>
        </w:tc>
      </w:tr>
      <w:tr>
        <w:tc>
          <w:tcPr>
            <w:tcW w:type="dxa" w:w="1296"/>
          </w:tcPr>
          <w:p>
            <w:r/>
            <w:r>
              <w:rPr>
                <w:b/>
                <w:sz w:val="20"/>
              </w:rPr>
              <w:t>08:02</w:t>
            </w:r>
          </w:p>
        </w:tc>
        <w:tc>
          <w:tcPr>
            <w:tcW w:type="dxa" w:w="6480"/>
          </w:tcPr>
          <w:p>
            <w:r/>
            <w:r>
              <w:rPr>
                <w:sz w:val="20"/>
              </w:rPr>
              <w:t>It's Tesla Earnings Night Again: The Three Things the Market Cares About Most</w:t>
            </w:r>
          </w:p>
        </w:tc>
        <w:tc>
          <w:tcPr>
            <w:tcW w:type="dxa" w:w="1872"/>
          </w:tcPr>
          <w:p>
            <w:r/>
            <w:r>
              <w:rPr>
                <w:sz w:val="20"/>
              </w:rPr>
              <w:t>Neutral</w:t>
            </w:r>
          </w:p>
        </w:tc>
      </w:tr>
      <w:tr>
        <w:tc>
          <w:tcPr>
            <w:tcW w:type="dxa" w:w="1296"/>
          </w:tcPr>
          <w:p>
            <w:r/>
            <w:r>
              <w:rPr>
                <w:b/>
                <w:sz w:val="20"/>
              </w:rPr>
              <w:t>07:24</w:t>
            </w:r>
          </w:p>
        </w:tc>
        <w:tc>
          <w:tcPr>
            <w:tcW w:type="dxa" w:w="6480"/>
          </w:tcPr>
          <w:p>
            <w:r/>
            <w:r>
              <w:rPr>
                <w:sz w:val="20"/>
              </w:rPr>
              <w:t>Nasdaq Dips Over 100 Points Amid Iran Ceasefire Jitters; Fear Index Remains Intact</w:t>
            </w:r>
          </w:p>
        </w:tc>
        <w:tc>
          <w:tcPr>
            <w:tcW w:type="dxa" w:w="1872"/>
          </w:tcPr>
          <w:p>
            <w:r/>
            <w:r>
              <w:rPr>
                <w:sz w:val="20"/>
              </w:rPr>
              <w:t>Macro caution</w:t>
            </w:r>
          </w:p>
        </w:tc>
      </w:tr>
      <w:tr>
        <w:tc>
          <w:tcPr>
            <w:tcW w:type="dxa" w:w="1296"/>
          </w:tcPr>
          <w:p>
            <w:r/>
            <w:r>
              <w:rPr>
                <w:b/>
                <w:sz w:val="20"/>
              </w:rPr>
              <w:t>06:20</w:t>
            </w:r>
          </w:p>
        </w:tc>
        <w:tc>
          <w:tcPr>
            <w:tcW w:type="dxa" w:w="6480"/>
          </w:tcPr>
          <w:p>
            <w:r/>
            <w:r>
              <w:rPr>
                <w:sz w:val="20"/>
              </w:rPr>
              <w:t>Tesla (TSLA) Technical: Bearish reaction from 200-day MA with weak relative strength</w:t>
            </w:r>
          </w:p>
        </w:tc>
        <w:tc>
          <w:tcPr>
            <w:tcW w:type="dxa" w:w="1872"/>
          </w:tcPr>
          <w:p>
            <w:r/>
            <w:r>
              <w:rPr>
                <w:sz w:val="20"/>
              </w:rPr>
              <w:t>Bearish (technical)</w:t>
            </w:r>
          </w:p>
        </w:tc>
      </w:tr>
      <w:tr>
        <w:tc>
          <w:tcPr>
            <w:tcW w:type="dxa" w:w="1296"/>
          </w:tcPr>
          <w:p>
            <w:r/>
            <w:r>
              <w:rPr>
                <w:b/>
                <w:sz w:val="20"/>
              </w:rPr>
              <w:t>05:57</w:t>
            </w:r>
          </w:p>
        </w:tc>
        <w:tc>
          <w:tcPr>
            <w:tcW w:type="dxa" w:w="6480"/>
          </w:tcPr>
          <w:p>
            <w:r/>
            <w:r>
              <w:rPr>
                <w:sz w:val="20"/>
              </w:rPr>
              <w:t>All Eyes on Tesla: 3 Red Flags Investors Can't Ignore Ahead of Q1 Earnings</w:t>
            </w:r>
          </w:p>
        </w:tc>
        <w:tc>
          <w:tcPr>
            <w:tcW w:type="dxa" w:w="1872"/>
          </w:tcPr>
          <w:p>
            <w:r/>
            <w:r>
              <w:rPr>
                <w:sz w:val="20"/>
              </w:rPr>
              <w:t>Bearish</w:t>
            </w:r>
          </w:p>
        </w:tc>
      </w:tr>
      <w:tr>
        <w:tc>
          <w:tcPr>
            <w:tcW w:type="dxa" w:w="1296"/>
          </w:tcPr>
          <w:p>
            <w:r/>
            <w:r>
              <w:rPr>
                <w:b/>
                <w:sz w:val="20"/>
              </w:rPr>
              <w:t>05:30</w:t>
            </w:r>
          </w:p>
        </w:tc>
        <w:tc>
          <w:tcPr>
            <w:tcW w:type="dxa" w:w="6480"/>
          </w:tcPr>
          <w:p>
            <w:r/>
            <w:r>
              <w:rPr>
                <w:sz w:val="20"/>
              </w:rPr>
              <w:t>Tesla California Sales Fall 24% In Q1 Despite Model Y Leading EV Sales</w:t>
            </w:r>
          </w:p>
        </w:tc>
        <w:tc>
          <w:tcPr>
            <w:tcW w:type="dxa" w:w="1872"/>
          </w:tcPr>
          <w:p>
            <w:r/>
            <w:r>
              <w:rPr>
                <w:sz w:val="20"/>
              </w:rPr>
              <w:t>Bearish (demand)</w:t>
            </w:r>
          </w:p>
        </w:tc>
      </w:tr>
      <w:tr>
        <w:tc>
          <w:tcPr>
            <w:tcW w:type="dxa" w:w="1296"/>
          </w:tcPr>
          <w:p>
            <w:r/>
            <w:r>
              <w:rPr>
                <w:b/>
                <w:sz w:val="20"/>
              </w:rPr>
              <w:t>05:10</w:t>
            </w:r>
          </w:p>
        </w:tc>
        <w:tc>
          <w:tcPr>
            <w:tcW w:type="dxa" w:w="6480"/>
          </w:tcPr>
          <w:p>
            <w:r/>
            <w:r>
              <w:rPr>
                <w:sz w:val="20"/>
              </w:rPr>
              <w:t>Tesla Q1 Earnings Preview: Financial Data Takes a Backseat, Market Focuses on "Big Picture" Drawn by Musk</w:t>
            </w:r>
          </w:p>
        </w:tc>
        <w:tc>
          <w:tcPr>
            <w:tcW w:type="dxa" w:w="1872"/>
          </w:tcPr>
          <w:p>
            <w:r/>
            <w:r>
              <w:rPr>
                <w:sz w:val="20"/>
              </w:rPr>
              <w:t>Mixed</w:t>
            </w:r>
          </w:p>
        </w:tc>
      </w:tr>
    </w:tbl>
    <w:p>
      <w:pPr>
        <w:spacing w:before="200" w:after="60"/>
      </w:pPr>
      <w:r>
        <w:rPr>
          <w:b/>
          <w:color w:val="0A2A43"/>
          <w:sz w:val="24"/>
        </w:rPr>
        <w:t>India &amp; supply chain color from today's feed</w:t>
      </w:r>
    </w:p>
    <w:p>
      <w:pPr>
        <w:pStyle w:val="ListBullet"/>
        <w:spacing w:after="40"/>
        <w:ind w:left="360"/>
      </w:pPr>
      <w:r>
        <w:rPr>
          <w:sz w:val="21"/>
        </w:rPr>
        <w:t>Tesla executives (per 07:31-07:33 UTC wires): will introduce Model Y L in India; will connect major Indian cities via the Supercharger network; will provide home charging services in all Indian states.</w:t>
      </w:r>
    </w:p>
    <w:p>
      <w:pPr>
        <w:pStyle w:val="ListBullet"/>
        <w:spacing w:after="40"/>
        <w:ind w:left="360"/>
      </w:pPr>
      <w:r>
        <w:rPr>
          <w:sz w:val="21"/>
        </w:rPr>
        <w:t>Samsung chip supply ramp headline (08:28 UTC) supports compute-availability narrative ahead of AI infrastructure commentary.</w:t>
      </w:r>
    </w:p>
    <w:p>
      <w:pPr>
        <w:pStyle w:val="ListBullet"/>
        <w:spacing w:after="40"/>
        <w:ind w:left="360"/>
      </w:pPr>
      <w:r>
        <w:rPr>
          <w:sz w:val="21"/>
        </w:rPr>
        <w:t>China voice-assistant competitive push (11:05 UTC) is a defensive move — implies Tesla recognizes cockpit-software parity is now table-stakes for China demand recovery.</w:t>
      </w:r>
    </w:p>
    <w:p>
      <w:pPr>
        <w:spacing w:before="280" w:after="120"/>
        <w:pBdr>
          <w:bottom w:val="single" w:sz="8" w:space="4" w:color="0A2A43"/>
        </w:pBdr>
      </w:pPr>
      <w:r>
        <w:rPr>
          <w:b/>
          <w:color w:val="0A2A43"/>
          <w:sz w:val="30"/>
        </w:rPr>
        <w:t>Risk Factors — Into and After the Print</w:t>
      </w:r>
    </w:p>
    <w:p>
      <w:pPr>
        <w:pStyle w:val="ListBullet"/>
        <w:spacing w:after="40"/>
      </w:pPr>
      <w:r>
        <w:rPr>
          <w:b/>
          <w:sz w:val="21"/>
        </w:rPr>
        <w:t xml:space="preserve">Margin compression: </w:t>
      </w:r>
      <w:r>
        <w:rPr>
          <w:sz w:val="21"/>
        </w:rPr>
        <w:t>Q1 mix shift and inventory build (+50k unit production/delivery gap) risk auto GM ex-credits print below 13%, re-pricing the multiple.</w:t>
      </w:r>
    </w:p>
    <w:p>
      <w:pPr>
        <w:pStyle w:val="ListBullet"/>
        <w:spacing w:after="40"/>
      </w:pPr>
      <w:r>
        <w:rPr>
          <w:b/>
          <w:sz w:val="21"/>
        </w:rPr>
        <w:t xml:space="preserve">FY delivery tone: </w:t>
      </w:r>
      <w:r>
        <w:rPr>
          <w:sz w:val="21"/>
        </w:rPr>
        <w:t>Any language softer than "return to growth" would challenge the ~1.7M+ FY2026 consensus implicit in current modeling.</w:t>
      </w:r>
    </w:p>
    <w:p>
      <w:pPr>
        <w:pStyle w:val="ListBullet"/>
        <w:spacing w:after="40"/>
      </w:pPr>
      <w:r>
        <w:rPr>
          <w:b/>
          <w:sz w:val="21"/>
        </w:rPr>
        <w:t xml:space="preserve">Regulatory credits cliff: </w:t>
      </w:r>
      <w:r>
        <w:rPr>
          <w:sz w:val="21"/>
        </w:rPr>
        <w:t>Dependence on zero-emission credits as earnings buffer — any commentary on FY2026 credit monetization would move numbers materially.</w:t>
      </w:r>
    </w:p>
    <w:p>
      <w:pPr>
        <w:pStyle w:val="ListBullet"/>
        <w:spacing w:after="40"/>
      </w:pPr>
      <w:r>
        <w:rPr>
          <w:b/>
          <w:sz w:val="21"/>
        </w:rPr>
        <w:t xml:space="preserve">Capex creep: </w:t>
      </w:r>
      <w:r>
        <w:rPr>
          <w:sz w:val="21"/>
        </w:rPr>
        <w:t>Elevated AI infrastructure spend that exceeds operating cash flow would pressure FCF conversion at a moment the market demands it.</w:t>
      </w:r>
    </w:p>
    <w:p>
      <w:pPr>
        <w:pStyle w:val="ListBullet"/>
        <w:spacing w:after="40"/>
      </w:pPr>
      <w:r>
        <w:rPr>
          <w:b/>
          <w:sz w:val="21"/>
        </w:rPr>
        <w:t xml:space="preserve">Robotaxi execution: </w:t>
      </w:r>
      <w:r>
        <w:rPr>
          <w:sz w:val="21"/>
        </w:rPr>
        <w:t>Two-city Texas expansion is positive headline; market wants unit economics, not geographic footprint.</w:t>
      </w:r>
    </w:p>
    <w:p>
      <w:pPr>
        <w:pStyle w:val="ListBullet"/>
        <w:spacing w:after="40"/>
      </w:pPr>
      <w:r>
        <w:rPr>
          <w:b/>
          <w:sz w:val="21"/>
        </w:rPr>
        <w:t xml:space="preserve">China demand: </w:t>
      </w:r>
      <w:r>
        <w:rPr>
          <w:sz w:val="21"/>
        </w:rPr>
        <w:t>California -24% Q1 print is a US read; China demand and ASP trajectory remain the larger swing variable for FY revenue.</w:t>
      </w:r>
    </w:p>
    <w:p>
      <w:pPr>
        <w:pStyle w:val="ListBullet"/>
        <w:spacing w:after="40"/>
      </w:pPr>
      <w:r>
        <w:rPr>
          <w:b/>
          <w:sz w:val="21"/>
        </w:rPr>
        <w:t xml:space="preserve">Macro/rates: </w:t>
      </w:r>
      <w:r>
        <w:rPr>
          <w:sz w:val="21"/>
        </w:rPr>
        <w:t>Today's Iran ceasefire extension calmed near-term macro; single-stock beta to rates remains elevated at the prevailing multiple.</w:t>
      </w:r>
    </w:p>
    <w:p>
      <w:pPr>
        <w:pStyle w:val="ListBullet"/>
        <w:spacing w:after="40"/>
      </w:pPr>
      <w:r>
        <w:rPr>
          <w:b/>
          <w:sz w:val="21"/>
        </w:rPr>
        <w:t xml:space="preserve">Key-person / disclosure risk: </w:t>
      </w:r>
      <w:r>
        <w:rPr>
          <w:sz w:val="21"/>
        </w:rPr>
        <w:t>"Big Picture from Musk" framing (per preview coverage) means CEO narrative tone on the call can swing reaction independently of numbers.</w:t>
      </w:r>
    </w:p>
    <w:p>
      <w:pPr>
        <w:spacing w:before="280" w:after="120"/>
        <w:pBdr>
          <w:bottom w:val="single" w:sz="8" w:space="4" w:color="0A2A43"/>
        </w:pBdr>
      </w:pPr>
      <w:r>
        <w:rPr>
          <w:b/>
          <w:color w:val="0A2A43"/>
          <w:sz w:val="30"/>
        </w:rPr>
        <w:t>Recommendation &amp; Positioning Plan</w:t>
      </w:r>
    </w:p>
    <w:p>
      <w:pPr>
        <w:spacing w:after="80"/>
      </w:pPr>
      <w:r>
        <w:rPr>
          <w:b/>
          <w:i w:val="0"/>
          <w:sz w:val="21"/>
        </w:rPr>
        <w:t>Stance into the print: MARKET PERFORM.</w:t>
      </w:r>
    </w:p>
    <w:p>
      <w:pPr>
        <w:spacing w:after="80"/>
      </w:pPr>
      <w:r>
        <w:rPr>
          <w:b w:val="0"/>
          <w:i w:val="0"/>
          <w:sz w:val="21"/>
        </w:rPr>
        <w:t>We would not chase shares ahead of the release. The setup is balanced — Q1 hardware is already de-risked, but the margin and narrative path is binary. With realized vol at 39% and an implied move in the 6-8% range, premium is adequate for a defined-risk overlay without requiring a directional view.</w:t>
      </w:r>
    </w:p>
    <w:p>
      <w:pPr>
        <w:spacing w:before="200" w:after="60"/>
      </w:pPr>
      <w:r>
        <w:rPr>
          <w:b/>
          <w:color w:val="0A2A43"/>
          <w:sz w:val="24"/>
        </w:rPr>
        <w:t>Trade construction (framework, not advice)</w:t>
      </w:r>
    </w:p>
    <w:p>
      <w:pPr>
        <w:pStyle w:val="ListBullet"/>
        <w:spacing w:after="40"/>
        <w:ind w:left="360"/>
      </w:pPr>
      <w:r>
        <w:rPr>
          <w:sz w:val="21"/>
        </w:rPr>
        <w:t>Core long-only: hold through the print if position is ≤ benchmark weight; trim into strength on a &gt;6% pop to re-enter at lower levels if the FY tone disappoints in the Q&amp;A.</w:t>
      </w:r>
    </w:p>
    <w:p>
      <w:pPr>
        <w:pStyle w:val="ListBullet"/>
        <w:spacing w:after="40"/>
        <w:ind w:left="360"/>
      </w:pPr>
      <w:r>
        <w:rPr>
          <w:sz w:val="21"/>
        </w:rPr>
        <w:t>Tactical: a short-dated defined-risk structure (e.g., put spread collar) sized to the ~39% realized vol is the cleanest way to carry through the event without paying single-tail premium.</w:t>
      </w:r>
    </w:p>
    <w:p>
      <w:pPr>
        <w:pStyle w:val="ListBullet"/>
        <w:spacing w:after="40"/>
        <w:ind w:left="360"/>
      </w:pPr>
      <w:r>
        <w:rPr>
          <w:sz w:val="21"/>
        </w:rPr>
        <w:t>Post-print re-engagement triggers: (a) auto GM ex-credits disclosure, (b) quantified robotaxi or FSD revenue line, (c) FY2026 capex range, (d) any delivery-cadence commentary on Model Y refresh or lower-priced platform.</w:t>
      </w:r>
    </w:p>
    <w:p>
      <w:pPr>
        <w:spacing w:before="200" w:after="60"/>
      </w:pPr>
      <w:r>
        <w:rPr>
          <w:b/>
          <w:color w:val="0A2A43"/>
          <w:sz w:val="24"/>
        </w:rPr>
        <w:t>Our follow-up deliverable</w:t>
      </w:r>
    </w:p>
    <w:p>
      <w:pPr>
        <w:spacing w:after="80"/>
      </w:pPr>
      <w:r>
        <w:rPr>
          <w:b w:val="0"/>
          <w:i w:val="0"/>
          <w:sz w:val="21"/>
        </w:rPr>
        <w:t>A full post-earnings Q1 2026 update will be published within 24 hours of the release, incorporating (a) actual EPS and revenue print, (b) segment gross margin detail, (c) shareholder letter commentary, (d) Q&amp;A call takeaways, and (e) revised scenario targets. This preview will be refiled as the "pre-print" baseline for delta commentary.</w:t>
      </w:r>
    </w:p>
    <w:p>
      <w:pPr>
        <w:spacing w:before="280" w:after="120"/>
        <w:pBdr>
          <w:bottom w:val="single" w:sz="8" w:space="4" w:color="0A2A43"/>
        </w:pBdr>
      </w:pPr>
      <w:r>
        <w:rPr>
          <w:b/>
          <w:color w:val="0A2A43"/>
          <w:sz w:val="30"/>
        </w:rPr>
        <w:t>Appendix — Data Provenance &amp; Sources</w:t>
      </w:r>
    </w:p>
    <w:tbl>
      <w:tblPr>
        <w:tblStyle w:val="LightGrid-Accent1"/>
        <w:tblW w:type="auto" w:w="0"/>
        <w:tblLook w:firstColumn="1" w:firstRow="1" w:lastColumn="0" w:lastRow="0" w:noHBand="0" w:noVBand="1" w:val="04A0"/>
      </w:tblPr>
      <w:tblGrid>
        <w:gridCol w:w="3249"/>
        <w:gridCol w:w="3249"/>
        <w:gridCol w:w="3249"/>
      </w:tblGrid>
      <w:tr>
        <w:tc>
          <w:tcPr>
            <w:tcW w:type="dxa" w:w="4032"/>
            <w:shd w:val="clear" w:color="auto" w:fill="0A2A43"/>
            <w:vAlign w:val="center"/>
          </w:tcPr>
          <w:p>
            <w:r/>
            <w:r>
              <w:rPr>
                <w:b/>
                <w:color w:val="FFFFFF"/>
                <w:sz w:val="20"/>
              </w:rPr>
              <w:t>Data element</w:t>
            </w:r>
          </w:p>
        </w:tc>
        <w:tc>
          <w:tcPr>
            <w:tcW w:type="dxa" w:w="4752"/>
            <w:shd w:val="clear" w:color="auto" w:fill="0A2A43"/>
            <w:vAlign w:val="center"/>
          </w:tcPr>
          <w:p>
            <w:r/>
            <w:r>
              <w:rPr>
                <w:b/>
                <w:color w:val="FFFFFF"/>
                <w:sz w:val="20"/>
              </w:rPr>
              <w:t>Source</w:t>
            </w:r>
          </w:p>
        </w:tc>
        <w:tc>
          <w:tcPr>
            <w:tcW w:type="dxa" w:w="1728"/>
            <w:shd w:val="clear" w:color="auto" w:fill="0A2A43"/>
            <w:vAlign w:val="center"/>
          </w:tcPr>
          <w:p>
            <w:r/>
            <w:r>
              <w:rPr>
                <w:b/>
                <w:color w:val="FFFFFF"/>
                <w:sz w:val="20"/>
              </w:rPr>
              <w:t>As of</w:t>
            </w:r>
          </w:p>
        </w:tc>
      </w:tr>
      <w:tr>
        <w:tc>
          <w:tcPr>
            <w:tcW w:type="dxa" w:w="4032"/>
          </w:tcPr>
          <w:p>
            <w:r/>
            <w:r>
              <w:rPr>
                <w:b/>
                <w:sz w:val="20"/>
              </w:rPr>
              <w:t>Q1 2026 production/deliveries/deployments</w:t>
            </w:r>
          </w:p>
        </w:tc>
        <w:tc>
          <w:tcPr>
            <w:tcW w:type="dxa" w:w="4752"/>
          </w:tcPr>
          <w:p>
            <w:r/>
            <w:r>
              <w:rPr>
                <w:sz w:val="20"/>
              </w:rPr>
              <w:t>Tesla 8-K Exhibit 99.1, 2 Apr 2026 (SEC EDGAR)</w:t>
            </w:r>
          </w:p>
        </w:tc>
        <w:tc>
          <w:tcPr>
            <w:tcW w:type="dxa" w:w="1728"/>
          </w:tcPr>
          <w:p>
            <w:r/>
            <w:r>
              <w:rPr>
                <w:sz w:val="20"/>
              </w:rPr>
              <w:t>2026-04-02</w:t>
            </w:r>
          </w:p>
        </w:tc>
      </w:tr>
      <w:tr>
        <w:tc>
          <w:tcPr>
            <w:tcW w:type="dxa" w:w="4032"/>
          </w:tcPr>
          <w:p>
            <w:r/>
            <w:r>
              <w:rPr>
                <w:b/>
                <w:sz w:val="20"/>
              </w:rPr>
              <w:t>Q4 2025 &amp; FY2025 P&amp;D, FY energy deployments</w:t>
            </w:r>
          </w:p>
        </w:tc>
        <w:tc>
          <w:tcPr>
            <w:tcW w:type="dxa" w:w="4752"/>
          </w:tcPr>
          <w:p>
            <w:r/>
            <w:r>
              <w:rPr>
                <w:sz w:val="20"/>
              </w:rPr>
              <w:t>Tesla 8-K Exhibit 99.1, 2 Jan 2026 (SEC EDGAR)</w:t>
            </w:r>
          </w:p>
        </w:tc>
        <w:tc>
          <w:tcPr>
            <w:tcW w:type="dxa" w:w="1728"/>
          </w:tcPr>
          <w:p>
            <w:r/>
            <w:r>
              <w:rPr>
                <w:sz w:val="20"/>
              </w:rPr>
              <w:t>2026-01-02</w:t>
            </w:r>
          </w:p>
        </w:tc>
      </w:tr>
      <w:tr>
        <w:tc>
          <w:tcPr>
            <w:tcW w:type="dxa" w:w="4032"/>
          </w:tcPr>
          <w:p>
            <w:r/>
            <w:r>
              <w:rPr>
                <w:b/>
                <w:sz w:val="20"/>
              </w:rPr>
              <w:t>Quote, pre- and post-market prints</w:t>
            </w:r>
          </w:p>
        </w:tc>
        <w:tc>
          <w:tcPr>
            <w:tcW w:type="dxa" w:w="4752"/>
          </w:tcPr>
          <w:p>
            <w:r/>
            <w:r>
              <w:rPr>
                <w:sz w:val="20"/>
              </w:rPr>
              <w:t>Longbridge market data API</w:t>
            </w:r>
          </w:p>
        </w:tc>
        <w:tc>
          <w:tcPr>
            <w:tcW w:type="dxa" w:w="1728"/>
          </w:tcPr>
          <w:p>
            <w:r/>
            <w:r>
              <w:rPr>
                <w:sz w:val="20"/>
              </w:rPr>
              <w:t>2026-04-22</w:t>
            </w:r>
          </w:p>
        </w:tc>
      </w:tr>
      <w:tr>
        <w:tc>
          <w:tcPr>
            <w:tcW w:type="dxa" w:w="4032"/>
          </w:tcPr>
          <w:p>
            <w:r/>
            <w:r>
              <w:rPr>
                <w:b/>
                <w:sz w:val="20"/>
              </w:rPr>
              <w:t>90-day OHLCV (kline)</w:t>
            </w:r>
          </w:p>
        </w:tc>
        <w:tc>
          <w:tcPr>
            <w:tcW w:type="dxa" w:w="4752"/>
          </w:tcPr>
          <w:p>
            <w:r/>
            <w:r>
              <w:rPr>
                <w:sz w:val="20"/>
              </w:rPr>
              <w:t>Longbridge market data API</w:t>
            </w:r>
          </w:p>
        </w:tc>
        <w:tc>
          <w:tcPr>
            <w:tcW w:type="dxa" w:w="1728"/>
          </w:tcPr>
          <w:p>
            <w:r/>
            <w:r>
              <w:rPr>
                <w:sz w:val="20"/>
              </w:rPr>
              <w:t>2026-04-22</w:t>
            </w:r>
          </w:p>
        </w:tc>
      </w:tr>
      <w:tr>
        <w:tc>
          <w:tcPr>
            <w:tcW w:type="dxa" w:w="4032"/>
          </w:tcPr>
          <w:p>
            <w:r/>
            <w:r>
              <w:rPr>
                <w:b/>
                <w:sz w:val="20"/>
              </w:rPr>
              <w:t>Valuation metrics (market cap, P/E TTM, P/B, turnover)</w:t>
            </w:r>
          </w:p>
        </w:tc>
        <w:tc>
          <w:tcPr>
            <w:tcW w:type="dxa" w:w="4752"/>
          </w:tcPr>
          <w:p>
            <w:r/>
            <w:r>
              <w:rPr>
                <w:sz w:val="20"/>
              </w:rPr>
              <w:t>Longbridge calc-index</w:t>
            </w:r>
          </w:p>
        </w:tc>
        <w:tc>
          <w:tcPr>
            <w:tcW w:type="dxa" w:w="1728"/>
          </w:tcPr>
          <w:p>
            <w:r/>
            <w:r>
              <w:rPr>
                <w:sz w:val="20"/>
              </w:rPr>
              <w:t>2026-04-22</w:t>
            </w:r>
          </w:p>
        </w:tc>
      </w:tr>
      <w:tr>
        <w:tc>
          <w:tcPr>
            <w:tcW w:type="dxa" w:w="4032"/>
          </w:tcPr>
          <w:p>
            <w:r/>
            <w:r>
              <w:rPr>
                <w:b/>
                <w:sz w:val="20"/>
              </w:rPr>
              <w:t>News headlines &amp; sentiment timeline</w:t>
            </w:r>
          </w:p>
        </w:tc>
        <w:tc>
          <w:tcPr>
            <w:tcW w:type="dxa" w:w="4752"/>
          </w:tcPr>
          <w:p>
            <w:r/>
            <w:r>
              <w:rPr>
                <w:sz w:val="20"/>
              </w:rPr>
              <w:t>Longbridge news feed (30 most recent)</w:t>
            </w:r>
          </w:p>
        </w:tc>
        <w:tc>
          <w:tcPr>
            <w:tcW w:type="dxa" w:w="1728"/>
          </w:tcPr>
          <w:p>
            <w:r/>
            <w:r>
              <w:rPr>
                <w:sz w:val="20"/>
              </w:rPr>
              <w:t>2026-04-22</w:t>
            </w:r>
          </w:p>
        </w:tc>
      </w:tr>
      <w:tr>
        <w:tc>
          <w:tcPr>
            <w:tcW w:type="dxa" w:w="4032"/>
          </w:tcPr>
          <w:p>
            <w:r/>
            <w:r>
              <w:rPr>
                <w:b/>
                <w:sz w:val="20"/>
              </w:rPr>
              <w:t>Earnings call time &amp; webcast info</w:t>
            </w:r>
          </w:p>
        </w:tc>
        <w:tc>
          <w:tcPr>
            <w:tcW w:type="dxa" w:w="4752"/>
          </w:tcPr>
          <w:p>
            <w:r/>
            <w:r>
              <w:rPr>
                <w:sz w:val="20"/>
              </w:rPr>
              <w:t>Tesla 8-K Exhibit 99.1, 2 Apr 2026</w:t>
            </w:r>
          </w:p>
        </w:tc>
        <w:tc>
          <w:tcPr>
            <w:tcW w:type="dxa" w:w="1728"/>
          </w:tcPr>
          <w:p>
            <w:r/>
            <w:r>
              <w:rPr>
                <w:sz w:val="20"/>
              </w:rPr>
              <w:t>2026-04-02</w:t>
            </w:r>
          </w:p>
        </w:tc>
      </w:tr>
    </w:tbl>
    <w:p>
      <w:pPr>
        <w:spacing w:before="200" w:after="60"/>
      </w:pPr>
      <w:r>
        <w:rPr>
          <w:b/>
          <w:color w:val="0A2A43"/>
          <w:sz w:val="24"/>
        </w:rPr>
        <w:t>Computed inputs</w:t>
      </w:r>
    </w:p>
    <w:p>
      <w:pPr>
        <w:pStyle w:val="ListBullet"/>
        <w:spacing w:after="40"/>
        <w:ind w:left="360"/>
      </w:pPr>
      <w:r>
        <w:rPr>
          <w:sz w:val="21"/>
        </w:rPr>
        <w:t>QoQ deliveries: 358,023 / 418,227 - 1 = -14.4%</w:t>
      </w:r>
    </w:p>
    <w:p>
      <w:pPr>
        <w:pStyle w:val="ListBullet"/>
        <w:spacing w:after="40"/>
        <w:ind w:left="360"/>
      </w:pPr>
      <w:r>
        <w:rPr>
          <w:sz w:val="21"/>
        </w:rPr>
        <w:t>QoQ production: 408,386 / 434,358 - 1 = -6.0%</w:t>
      </w:r>
    </w:p>
    <w:p>
      <w:pPr>
        <w:pStyle w:val="ListBullet"/>
        <w:spacing w:after="40"/>
        <w:ind w:left="360"/>
      </w:pPr>
      <w:r>
        <w:rPr>
          <w:sz w:val="21"/>
        </w:rPr>
        <w:t>QoQ energy storage: 8.8 / 14.2 - 1 = -38.0%</w:t>
      </w:r>
    </w:p>
    <w:p>
      <w:pPr>
        <w:pStyle w:val="ListBullet"/>
        <w:spacing w:after="40"/>
        <w:ind w:left="360"/>
      </w:pPr>
      <w:r>
        <w:rPr>
          <w:sz w:val="21"/>
        </w:rPr>
        <w:t>Inventory build (production minus deliveries): 408,386 - 358,023 = +50,363 units</w:t>
      </w:r>
    </w:p>
    <w:p>
      <w:pPr>
        <w:pStyle w:val="ListBullet"/>
        <w:spacing w:after="40"/>
        <w:ind w:left="360"/>
      </w:pPr>
      <w:r>
        <w:rPr>
          <w:sz w:val="21"/>
        </w:rPr>
        <w:t>Annualized Q1 delivery run-rate: 358,023 × 4 ≈ 1.432M (vs. FY2025 actual 1.636M)</w:t>
      </w:r>
    </w:p>
    <w:p>
      <w:pPr>
        <w:pStyle w:val="ListBullet"/>
        <w:spacing w:after="40"/>
        <w:ind w:left="360"/>
      </w:pPr>
      <w:r>
        <w:rPr>
          <w:sz w:val="21"/>
        </w:rPr>
        <w:t>Price vs. MA20 / MA50 / MA90: +5.8% / +0.5% / -5.6%</w:t>
      </w:r>
    </w:p>
    <w:p>
      <w:pPr>
        <w:pStyle w:val="ListBullet"/>
        <w:spacing w:after="40"/>
        <w:ind w:left="360"/>
      </w:pPr>
      <w:r>
        <w:rPr>
          <w:sz w:val="21"/>
        </w:rPr>
        <w:t>Realized 90-day vol (ann.): 39.1% (daily log-return stdev × √252)</w:t>
      </w:r>
    </w:p>
    <w:p>
      <w:pPr>
        <w:spacing w:before="200" w:after="60"/>
      </w:pPr>
      <w:r>
        <w:rPr>
          <w:b/>
          <w:color w:val="0A2A43"/>
          <w:sz w:val="24"/>
        </w:rPr>
        <w:t>Important disclosures</w:t>
      </w:r>
    </w:p>
    <w:p>
      <w:pPr>
        <w:spacing w:after="80"/>
      </w:pPr>
      <w:r>
        <w:rPr>
          <w:b w:val="0"/>
          <w:i/>
          <w:color w:val="555F6D"/>
          <w:sz w:val="18"/>
        </w:rPr>
        <w:t>This preview is research commentary based on publicly available data. It is not an offer, recommendation, or solicitation to transact in TSLA securities. All targets and scenario probabilities are judgmental and subject to revision on release of the Q1 2026 financial statements and management commentary tonight (22 April 2026, 5:30 p.m. ET). Price, market-cap and valuation data are as of the 2026-04-22 session and may be stale post-release.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