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a39710eac461f683989d98a40125518ab171254"/>
    <w:p>
      <w:pPr>
        <w:pStyle w:val="Heading1"/>
      </w:pPr>
      <w:r>
        <w:t xml:space="preserve">Good Loop — B2B Assessment Instruments: Developer Reference</w:t>
      </w:r>
    </w:p>
    <w:p>
      <w:pPr>
        <w:pStyle w:val="FirstParagraph"/>
      </w:pPr>
      <w:r>
        <w:rPr>
          <w:bCs/>
          <w:b/>
        </w:rPr>
        <w:t xml:space="preserve">Version:</w:t>
      </w:r>
      <w:r>
        <w:t xml:space="preserve"> </w:t>
      </w:r>
      <w:r>
        <w:t xml:space="preserve">1.0 — August 2026</w:t>
      </w:r>
      <w:r>
        <w:br/>
      </w:r>
      <w:r>
        <w:rPr>
          <w:bCs/>
          <w:b/>
        </w:rPr>
        <w:t xml:space="preserve">Scope:</w:t>
      </w:r>
      <w:r>
        <w:t xml:space="preserve"> </w:t>
      </w:r>
      <w:r>
        <w:t xml:space="preserve">Therapist Guided channel only</w:t>
      </w:r>
      <w:r>
        <w:br/>
      </w:r>
      <w:r>
        <w:rPr>
          <w:bCs/>
          <w:b/>
        </w:rPr>
        <w:t xml:space="preserve">Status:</w:t>
      </w:r>
      <w:r>
        <w:t xml:space="preserve"> </w:t>
      </w:r>
      <w:r>
        <w:t xml:space="preserve">Confirmed — these 5 instruments are the definitive MVP set</w:t>
      </w:r>
    </w:p>
    <w:p>
      <w:r>
        <w:pict>
          <v:rect style="width:0;height:1.5pt" o:hralign="center" o:hrstd="t" o:hr="t"/>
        </w:pict>
      </w:r>
    </w:p>
    <w:bookmarkStart w:id="20" w:name="overview"/>
    <w:p>
      <w:pPr>
        <w:pStyle w:val="Heading2"/>
      </w:pPr>
      <w:r>
        <w:t xml:space="preserve">Overview</w:t>
      </w:r>
    </w:p>
    <w:p>
      <w:pPr>
        <w:pStyle w:val="FirstParagraph"/>
      </w:pPr>
      <w:r>
        <w:t xml:space="preserve">The Therapist Guided platform integrates 5 standardised self-report instruments that the therapist assigns to patients and the patient completes independently in the app. The system’s role is to administer, score, store, and display results — never to interpret them. Interpretation is the therapist’s exclusive responsibility.</w:t>
      </w:r>
    </w:p>
    <w:p>
      <w:pPr>
        <w:pStyle w:val="BodyText"/>
      </w:pPr>
      <w:r>
        <w:t xml:space="preserve">All instruments are self-report questionnaires completed by the patient, never during a video call session. The system proposes assessments at scheduled intervals; the therapist confirms, postpones, or ignores. No assessment is ever forced.</w:t>
      </w:r>
    </w:p>
    <w:p>
      <w:pPr>
        <w:pStyle w:val="BodyText"/>
      </w:pPr>
      <w:r>
        <w:rPr>
          <w:bCs/>
          <w:b/>
        </w:rPr>
        <w:t xml:space="preserve">Core display rules (apply to all instruments):</w:t>
      </w:r>
    </w:p>
    <w:p>
      <w:pPr>
        <w:numPr>
          <w:ilvl w:val="0"/>
          <w:numId w:val="1001"/>
        </w:numPr>
        <w:pStyle w:val="Compact"/>
      </w:pPr>
      <w:r>
        <w:t xml:space="preserve">Show raw scores, percentage deltas, and directional trends only</w:t>
      </w:r>
    </w:p>
    <w:p>
      <w:pPr>
        <w:numPr>
          <w:ilvl w:val="0"/>
          <w:numId w:val="1001"/>
        </w:numPr>
        <w:pStyle w:val="Compact"/>
      </w:pPr>
      <w:r>
        <w:t xml:space="preserve">Never attach diagnostic labels (e.g., never display</w:t>
      </w:r>
      <w:r>
        <w:t xml:space="preserve"> </w:t>
      </w:r>
      <w:r>
        <w:t xml:space="preserve">“</w:t>
      </w:r>
      <w:r>
        <w:t xml:space="preserve">moderate anxiety</w:t>
      </w:r>
      <w:r>
        <w:t xml:space="preserve">”</w:t>
      </w:r>
      <w:r>
        <w:t xml:space="preserve">)</w:t>
      </w:r>
    </w:p>
    <w:p>
      <w:pPr>
        <w:numPr>
          <w:ilvl w:val="0"/>
          <w:numId w:val="1001"/>
        </w:numPr>
        <w:pStyle w:val="Compact"/>
      </w:pPr>
      <w:r>
        <w:t xml:space="preserve">Color coding: green = improvement, red = worsening, grey = stable</w:t>
      </w:r>
    </w:p>
    <w:p>
      <w:pPr>
        <w:numPr>
          <w:ilvl w:val="0"/>
          <w:numId w:val="1001"/>
        </w:numPr>
        <w:pStyle w:val="Compact"/>
      </w:pPr>
      <w:r>
        <w:t xml:space="preserve">Maximum 7 minutes per sitting; all questionnaires are interruptible with progress saved</w:t>
      </w:r>
    </w:p>
    <w:p>
      <w:pPr>
        <w:numPr>
          <w:ilvl w:val="0"/>
          <w:numId w:val="1001"/>
        </w:numPr>
        <w:pStyle w:val="Compact"/>
      </w:pPr>
      <w:r>
        <w:t xml:space="preserve">Language framing:</w:t>
      </w:r>
      <w:r>
        <w:t xml:space="preserve"> </w:t>
      </w:r>
      <w:r>
        <w:t xml:space="preserve">“</w:t>
      </w:r>
      <w:r>
        <w:t xml:space="preserve">Help us track your progress</w:t>
      </w:r>
      <w:r>
        <w:t xml:space="preserve">”</w:t>
      </w:r>
      <w:r>
        <w:t xml:space="preserve"> </w:t>
      </w:r>
      <w:r>
        <w:t xml:space="preserve">— never</w:t>
      </w:r>
      <w:r>
        <w:t xml:space="preserve"> </w:t>
      </w:r>
      <w:r>
        <w:t xml:space="preserve">“</w:t>
      </w:r>
      <w:r>
        <w:t xml:space="preserve">diagnostic test</w:t>
      </w:r>
      <w:r>
        <w:t xml:space="preserve">”</w:t>
      </w:r>
    </w:p>
    <w:p>
      <w:r>
        <w:pict>
          <v:rect style="width:0;height:1.5pt" o:hralign="center" o:hrstd="t" o:hr="t"/>
        </w:pict>
      </w:r>
    </w:p>
    <w:bookmarkEnd w:id="20"/>
    <w:bookmarkStart w:id="21" w:name="Xd0f6a4dc25c227328a565ab2d032f0ad2d7c6ee"/>
    <w:p>
      <w:pPr>
        <w:pStyle w:val="Heading2"/>
      </w:pPr>
      <w:r>
        <w:t xml:space="preserve">1. DASS-21 (Depression Anxiety Stress Scales — 21 items)</w:t>
      </w:r>
    </w:p>
    <w:p>
      <w:pPr>
        <w:pStyle w:val="FirstParagraph"/>
      </w:pPr>
      <w:r>
        <w:rPr>
          <w:bCs/>
          <w:b/>
        </w:rPr>
        <w:t xml:space="preserve">What it is:</w:t>
      </w:r>
      <w:r>
        <w:t xml:space="preserve"> </w:t>
      </w:r>
      <w:r>
        <w:t xml:space="preserve">A 21-item self-report scale that measures three related negative emotional states: depression (7 items), anxiety (7 items), and stress (7 items). It is the primary routing and outcome instrument in Good Loop.</w:t>
      </w:r>
    </w:p>
    <w:p>
      <w:pPr>
        <w:pStyle w:val="BodyText"/>
      </w:pPr>
      <w:r>
        <w:rPr>
          <w:bCs/>
          <w:b/>
        </w:rPr>
        <w:t xml:space="preserve">Why this instead of PHQ-9 + GAD-7:</w:t>
      </w:r>
      <w:r>
        <w:t xml:space="preserve"> </w:t>
      </w:r>
      <w:r>
        <w:t xml:space="preserve">DASS-21 covers depression, anxiety, and stress in a single instrument (21 items, ~5–7 minutes), replacing what would otherwise require two separate scales (PHQ-9 = 9 items + GAD-7 = 7 items = 16 items for only two domains). DASS-21 adds the stress domain at a cost of just 5 extra items.</w:t>
      </w:r>
    </w:p>
    <w:p>
      <w:pPr>
        <w:pStyle w:val="BodyText"/>
      </w:pPr>
      <w:r>
        <w:rPr>
          <w:bCs/>
          <w:b/>
        </w:rPr>
        <w:t xml:space="preserve">Response format:</w:t>
      </w:r>
      <w:r>
        <w:t xml:space="preserve"> </w:t>
      </w:r>
      <w:r>
        <w:t xml:space="preserve">Each item is rated on a 4-point scale:</w:t>
      </w:r>
      <w:r>
        <w:t xml:space="preserve"> </w:t>
      </w:r>
      <w:r>
        <w:t xml:space="preserve">- 0 = Did not apply to me at all</w:t>
      </w:r>
      <w:r>
        <w:t xml:space="preserve"> </w:t>
      </w:r>
      <w:r>
        <w:t xml:space="preserve">- 1 = Applied to me to some degree, or some of the time</w:t>
      </w:r>
      <w:r>
        <w:t xml:space="preserve"> </w:t>
      </w:r>
      <w:r>
        <w:t xml:space="preserve">- 2 = Applied to me to a considerable degree, or a good part of time</w:t>
      </w:r>
      <w:r>
        <w:t xml:space="preserve"> </w:t>
      </w:r>
      <w:r>
        <w:t xml:space="preserve">- 3 = Applied to me very much, or most of the time</w:t>
      </w:r>
    </w:p>
    <w:p>
      <w:pPr>
        <w:pStyle w:val="BodyText"/>
      </w:pPr>
      <w:r>
        <w:rPr>
          <w:bCs/>
          <w:b/>
        </w:rPr>
        <w:t xml:space="preserve">Scoring:</w:t>
      </w:r>
      <w:r>
        <w:t xml:space="preserve"> </w:t>
      </w:r>
      <w:r>
        <w:t xml:space="preserve">- Sum the 7 items for each subscale → raw subscale score (range 0–21)</w:t>
      </w:r>
      <w:r>
        <w:t xml:space="preserve"> </w:t>
      </w:r>
      <w:r>
        <w:t xml:space="preserve">- Multiply each subscale score × 2 to match the full DASS-42 norms (range 0–42 per subscale)</w:t>
      </w:r>
      <w:r>
        <w:t xml:space="preserve"> </w:t>
      </w:r>
      <w:r>
        <w:t xml:space="preserve">- Store and display both raw and multiplied scores</w:t>
      </w:r>
      <w:r>
        <w:t xml:space="preserve"> </w:t>
      </w:r>
      <w:r>
        <w:t xml:space="preserve">- Three separate subscale scores are stored, never a single total</w:t>
      </w:r>
    </w:p>
    <w:p>
      <w:pPr>
        <w:pStyle w:val="BodyText"/>
      </w:pPr>
      <w:r>
        <w:rPr>
          <w:bCs/>
          <w:b/>
        </w:rPr>
        <w:t xml:space="preserve">Subscale item mapping: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Subscale</w:t>
            </w:r>
          </w:p>
        </w:tc>
        <w:tc>
          <w:tcPr/>
          <w:p>
            <w:pPr>
              <w:pStyle w:val="Compact"/>
              <w:jc w:val="left"/>
            </w:pPr>
            <w:r>
              <w:t xml:space="preserve">Items (1-indexed)</w:t>
            </w:r>
          </w:p>
        </w:tc>
      </w:tr>
      <w:tr>
        <w:tc>
          <w:tcPr/>
          <w:p>
            <w:pPr>
              <w:pStyle w:val="Compact"/>
              <w:jc w:val="left"/>
            </w:pPr>
            <w:r>
              <w:t xml:space="preserve">Depression</w:t>
            </w:r>
          </w:p>
        </w:tc>
        <w:tc>
          <w:tcPr/>
          <w:p>
            <w:pPr>
              <w:pStyle w:val="Compact"/>
              <w:jc w:val="left"/>
            </w:pPr>
            <w:r>
              <w:t xml:space="preserve">3, 5, 10, 13, 16, 17, 21</w:t>
            </w:r>
          </w:p>
        </w:tc>
      </w:tr>
      <w:tr>
        <w:tc>
          <w:tcPr/>
          <w:p>
            <w:pPr>
              <w:pStyle w:val="Compact"/>
              <w:jc w:val="left"/>
            </w:pPr>
            <w:r>
              <w:t xml:space="preserve">Anxiety</w:t>
            </w:r>
          </w:p>
        </w:tc>
        <w:tc>
          <w:tcPr/>
          <w:p>
            <w:pPr>
              <w:pStyle w:val="Compact"/>
              <w:jc w:val="left"/>
            </w:pPr>
            <w:r>
              <w:t xml:space="preserve">2, 4, 7, 9, 15, 19, 20</w:t>
            </w:r>
          </w:p>
        </w:tc>
      </w:tr>
      <w:tr>
        <w:tc>
          <w:tcPr/>
          <w:p>
            <w:pPr>
              <w:pStyle w:val="Compact"/>
              <w:jc w:val="left"/>
            </w:pPr>
            <w:r>
              <w:t xml:space="preserve">Stress</w:t>
            </w:r>
          </w:p>
        </w:tc>
        <w:tc>
          <w:tcPr/>
          <w:p>
            <w:pPr>
              <w:pStyle w:val="Compact"/>
              <w:jc w:val="left"/>
            </w:pPr>
            <w:r>
              <w:t xml:space="preserve">1, 6, 8, 11, 12, 14, 18</w:t>
            </w:r>
          </w:p>
        </w:tc>
      </w:tr>
    </w:tbl>
    <w:p>
      <w:pPr>
        <w:pStyle w:val="BodyText"/>
      </w:pPr>
      <w:r>
        <w:rPr>
          <w:bCs/>
          <w:b/>
        </w:rPr>
        <w:t xml:space="preserve">Administration schedule:</w:t>
      </w:r>
      <w:r>
        <w:t xml:space="preserve"> </w:t>
      </w:r>
      <w:r>
        <w:t xml:space="preserve">-</w:t>
      </w:r>
      <w:r>
        <w:t xml:space="preserve"> </w:t>
      </w:r>
      <w:r>
        <w:rPr>
          <w:bCs/>
          <w:b/>
        </w:rPr>
        <w:t xml:space="preserve">T0</w:t>
      </w:r>
      <w:r>
        <w:t xml:space="preserve"> </w:t>
      </w:r>
      <w:r>
        <w:t xml:space="preserve">(baseline, days 1–2 of the journey): first administration</w:t>
      </w:r>
      <w:r>
        <w:t xml:space="preserve"> </w:t>
      </w:r>
      <w:r>
        <w:t xml:space="preserve">-</w:t>
      </w:r>
      <w:r>
        <w:t xml:space="preserve"> </w:t>
      </w:r>
      <w:r>
        <w:rPr>
          <w:bCs/>
          <w:b/>
        </w:rPr>
        <w:t xml:space="preserve">T1</w:t>
      </w:r>
      <w:r>
        <w:t xml:space="preserve"> </w:t>
      </w:r>
      <w:r>
        <w:t xml:space="preserve">(end of Month 1, ~week 4): integrated into the M1 Review</w:t>
      </w:r>
      <w:r>
        <w:t xml:space="preserve"> </w:t>
      </w:r>
      <w:r>
        <w:t xml:space="preserve">-</w:t>
      </w:r>
      <w:r>
        <w:t xml:space="preserve"> </w:t>
      </w:r>
      <w:r>
        <w:rPr>
          <w:bCs/>
          <w:b/>
        </w:rPr>
        <w:t xml:space="preserve">T2</w:t>
      </w:r>
      <w:r>
        <w:t xml:space="preserve"> </w:t>
      </w:r>
      <w:r>
        <w:t xml:space="preserve">(end of Month 2, ~week 8): integrated into the M2 Review</w:t>
      </w:r>
      <w:r>
        <w:t xml:space="preserve"> </w:t>
      </w:r>
      <w:r>
        <w:t xml:space="preserve">-</w:t>
      </w:r>
      <w:r>
        <w:t xml:space="preserve"> </w:t>
      </w:r>
      <w:r>
        <w:rPr>
          <w:bCs/>
          <w:b/>
        </w:rPr>
        <w:t xml:space="preserve">T3</w:t>
      </w:r>
      <w:r>
        <w:t xml:space="preserve"> </w:t>
      </w:r>
      <w:r>
        <w:t xml:space="preserve">(end of Month 3, ~week 12): integrated into Journey Completion</w:t>
      </w:r>
    </w:p>
    <w:p>
      <w:pPr>
        <w:pStyle w:val="BodyText"/>
      </w:pPr>
      <w:r>
        <w:rPr>
          <w:bCs/>
          <w:b/>
        </w:rPr>
        <w:t xml:space="preserve">System behavior:</w:t>
      </w:r>
      <w:r>
        <w:t xml:space="preserve"> </w:t>
      </w:r>
      <w:r>
        <w:t xml:space="preserve">- The system proposes the assessment at each milestone; the therapist confirms sending</w:t>
      </w:r>
      <w:r>
        <w:t xml:space="preserve"> </w:t>
      </w:r>
      <w:r>
        <w:t xml:space="preserve">- If the Anxiety subscale score (×2) is ≥ 10 AND Depression subscale score (×2) is &lt; 10 AND certain burnout-pattern items are elevated → the system proposes CBI (see instrument 4 below)</w:t>
      </w:r>
      <w:r>
        <w:t xml:space="preserve"> </w:t>
      </w:r>
      <w:r>
        <w:t xml:space="preserve">- Results appear in the Patient Card: three subscale scores with T0→T1→T2→T3 trend comparison</w:t>
      </w:r>
      <w:r>
        <w:t xml:space="preserve"> </w:t>
      </w:r>
      <w:r>
        <w:t xml:space="preserve">- If scores worsen significantly between measurement points → alert badge on the Patient Card (therapist decides the response)</w:t>
      </w:r>
    </w:p>
    <w:p>
      <w:pPr>
        <w:pStyle w:val="BodyText"/>
      </w:pPr>
      <w:r>
        <w:rPr>
          <w:bCs/>
          <w:b/>
        </w:rPr>
        <w:t xml:space="preserve">Estimated completion time:</w:t>
      </w:r>
      <w:r>
        <w:t xml:space="preserve"> </w:t>
      </w:r>
      <w:r>
        <w:t xml:space="preserve">5–7 minutes</w:t>
      </w:r>
    </w:p>
    <w:p>
      <w:pPr>
        <w:pStyle w:val="BodyText"/>
      </w:pPr>
      <w:r>
        <w:rPr>
          <w:bCs/>
          <w:b/>
        </w:rPr>
        <w:t xml:space="preserve">License:</w:t>
      </w:r>
      <w:r>
        <w:t xml:space="preserve"> </w:t>
      </w:r>
      <w:r>
        <w:t xml:space="preserve">Public domain. No permission or fee required for use.</w:t>
      </w:r>
    </w:p>
    <w:p>
      <w:r>
        <w:pict>
          <v:rect style="width:0;height:1.5pt" o:hralign="center" o:hrstd="t" o:hr="t"/>
        </w:pict>
      </w:r>
    </w:p>
    <w:bookmarkEnd w:id="21"/>
    <w:bookmarkStart w:id="22" w:name="pss-10-perceived-stress-scale-10-items"/>
    <w:p>
      <w:pPr>
        <w:pStyle w:val="Heading2"/>
      </w:pPr>
      <w:r>
        <w:t xml:space="preserve">2. PSS-10 (Perceived Stress Scale — 10 items)</w:t>
      </w:r>
    </w:p>
    <w:p>
      <w:pPr>
        <w:pStyle w:val="FirstParagraph"/>
      </w:pPr>
      <w:r>
        <w:rPr>
          <w:bCs/>
          <w:b/>
        </w:rPr>
        <w:t xml:space="preserve">What it is:</w:t>
      </w:r>
      <w:r>
        <w:t xml:space="preserve"> </w:t>
      </w:r>
      <w:r>
        <w:t xml:space="preserve">A 10-item scale measuring the degree to which situations in a person’s life are appraised as stressful. It captures how unpredictable, uncontrollable, and overloaded respondents find their lives. Unlike DASS-21 Stress (which measures current symptoms), PSS-10 measures the cognitive appraisal of stress over the last month.</w:t>
      </w:r>
    </w:p>
    <w:p>
      <w:pPr>
        <w:pStyle w:val="BodyText"/>
      </w:pPr>
      <w:r>
        <w:rPr>
          <w:bCs/>
          <w:b/>
        </w:rPr>
        <w:t xml:space="preserve">Why both DASS-21 Stress and PSS-10:</w:t>
      </w:r>
      <w:r>
        <w:t xml:space="preserve"> </w:t>
      </w:r>
      <w:r>
        <w:t xml:space="preserve">They measure different constructs. DASS-21 Stress captures arousal-based symptoms (difficulty relaxing, nervous energy, agitation). PSS-10 captures the perception of being overwhelmed and unable to cope. A patient can score low on DASS-21 Stress (no acute symptoms) but high on PSS-10 (chronically overwhelmed). Together they give the therapist a more complete picture.</w:t>
      </w:r>
    </w:p>
    <w:p>
      <w:pPr>
        <w:pStyle w:val="BodyText"/>
      </w:pPr>
      <w:r>
        <w:rPr>
          <w:bCs/>
          <w:b/>
        </w:rPr>
        <w:t xml:space="preserve">Response format:</w:t>
      </w:r>
      <w:r>
        <w:t xml:space="preserve"> </w:t>
      </w:r>
      <w:r>
        <w:t xml:space="preserve">Each item is rated on a 5-point scale:</w:t>
      </w:r>
      <w:r>
        <w:t xml:space="preserve"> </w:t>
      </w:r>
      <w:r>
        <w:t xml:space="preserve">- 0 = Never</w:t>
      </w:r>
      <w:r>
        <w:t xml:space="preserve"> </w:t>
      </w:r>
      <w:r>
        <w:t xml:space="preserve">- 1 = Almost never</w:t>
      </w:r>
      <w:r>
        <w:t xml:space="preserve"> </w:t>
      </w:r>
      <w:r>
        <w:t xml:space="preserve">- 2 = Sometimes</w:t>
      </w:r>
      <w:r>
        <w:t xml:space="preserve"> </w:t>
      </w:r>
      <w:r>
        <w:t xml:space="preserve">- 3 = Fairly often</w:t>
      </w:r>
      <w:r>
        <w:t xml:space="preserve"> </w:t>
      </w:r>
      <w:r>
        <w:t xml:space="preserve">- 4 = Very often</w:t>
      </w:r>
    </w:p>
    <w:p>
      <w:pPr>
        <w:pStyle w:val="BodyText"/>
      </w:pPr>
      <w:r>
        <w:rPr>
          <w:bCs/>
          <w:b/>
        </w:rPr>
        <w:t xml:space="preserve">Scoring:</w:t>
      </w:r>
      <w:r>
        <w:t xml:space="preserve"> </w:t>
      </w:r>
      <w:r>
        <w:t xml:space="preserve">- Items 4, 5, 7, 8 are reverse-scored (0=4, 1=3, 2=2, 3=1, 4=0)</w:t>
      </w:r>
      <w:r>
        <w:t xml:space="preserve"> </w:t>
      </w:r>
      <w:r>
        <w:t xml:space="preserve">- Sum all 10 items → total score (range 0–40)</w:t>
      </w:r>
      <w:r>
        <w:t xml:space="preserve"> </w:t>
      </w:r>
      <w:r>
        <w:t xml:space="preserve">- Higher score = greater perceived stress</w:t>
      </w:r>
      <w:r>
        <w:t xml:space="preserve"> </w:t>
      </w:r>
      <w:r>
        <w:t xml:space="preserve">- Single total score stored (no subscales)</w:t>
      </w:r>
    </w:p>
    <w:p>
      <w:pPr>
        <w:pStyle w:val="BodyText"/>
      </w:pPr>
      <w:r>
        <w:rPr>
          <w:bCs/>
          <w:b/>
        </w:rPr>
        <w:t xml:space="preserve">Administration schedule:</w:t>
      </w:r>
      <w:r>
        <w:t xml:space="preserve"> </w:t>
      </w:r>
      <w:r>
        <w:t xml:space="preserve">-</w:t>
      </w:r>
      <w:r>
        <w:t xml:space="preserve"> </w:t>
      </w:r>
      <w:r>
        <w:rPr>
          <w:bCs/>
          <w:b/>
        </w:rPr>
        <w:t xml:space="preserve">T0</w:t>
      </w:r>
      <w:r>
        <w:t xml:space="preserve"> </w:t>
      </w:r>
      <w:r>
        <w:t xml:space="preserve">(baseline, days 3–4): administered as a micro-session alongside BRS</w:t>
      </w:r>
      <w:r>
        <w:t xml:space="preserve"> </w:t>
      </w:r>
      <w:r>
        <w:t xml:space="preserve">-</w:t>
      </w:r>
      <w:r>
        <w:t xml:space="preserve"> </w:t>
      </w:r>
      <w:r>
        <w:rPr>
          <w:bCs/>
          <w:b/>
        </w:rPr>
        <w:t xml:space="preserve">T2</w:t>
      </w:r>
      <w:r>
        <w:t xml:space="preserve"> </w:t>
      </w:r>
      <w:r>
        <w:t xml:space="preserve">(end of Month 2): integrated into the M2 Review</w:t>
      </w:r>
      <w:r>
        <w:t xml:space="preserve"> </w:t>
      </w:r>
      <w:r>
        <w:t xml:space="preserve">-</w:t>
      </w:r>
      <w:r>
        <w:t xml:space="preserve"> </w:t>
      </w:r>
      <w:r>
        <w:rPr>
          <w:bCs/>
          <w:b/>
        </w:rPr>
        <w:t xml:space="preserve">T3</w:t>
      </w:r>
      <w:r>
        <w:t xml:space="preserve"> </w:t>
      </w:r>
      <w:r>
        <w:t xml:space="preserve">(end of Month 3): integrated into Journey Completion</w:t>
      </w:r>
      <w:r>
        <w:t xml:space="preserve"> </w:t>
      </w:r>
      <w:r>
        <w:t xml:space="preserve">- NOT administered at T1 (to reduce assessment burden at M1 Review)</w:t>
      </w:r>
    </w:p>
    <w:p>
      <w:pPr>
        <w:pStyle w:val="BodyText"/>
      </w:pPr>
      <w:r>
        <w:rPr>
          <w:bCs/>
          <w:b/>
        </w:rPr>
        <w:t xml:space="preserve">Estimated completion time:</w:t>
      </w:r>
      <w:r>
        <w:t xml:space="preserve"> </w:t>
      </w:r>
      <w:r>
        <w:t xml:space="preserve">2–3 minutes</w:t>
      </w:r>
    </w:p>
    <w:p>
      <w:pPr>
        <w:pStyle w:val="BodyText"/>
      </w:pPr>
      <w:r>
        <w:rPr>
          <w:bCs/>
          <w:b/>
        </w:rPr>
        <w:t xml:space="preserve">License:</w:t>
      </w:r>
      <w:r>
        <w:t xml:space="preserve"> </w:t>
      </w:r>
      <w:r>
        <w:t xml:space="preserve">Public domain. Freely available for research and clinical use.</w:t>
      </w:r>
    </w:p>
    <w:p>
      <w:r>
        <w:pict>
          <v:rect style="width:0;height:1.5pt" o:hralign="center" o:hrstd="t" o:hr="t"/>
        </w:pict>
      </w:r>
    </w:p>
    <w:bookmarkEnd w:id="22"/>
    <w:bookmarkStart w:id="23" w:name="brs-brief-resilience-scale-6-items"/>
    <w:p>
      <w:pPr>
        <w:pStyle w:val="Heading2"/>
      </w:pPr>
      <w:r>
        <w:t xml:space="preserve">3. BRS (Brief Resilience Scale — 6 items)</w:t>
      </w:r>
    </w:p>
    <w:p>
      <w:pPr>
        <w:pStyle w:val="FirstParagraph"/>
      </w:pPr>
      <w:r>
        <w:rPr>
          <w:bCs/>
          <w:b/>
        </w:rPr>
        <w:t xml:space="preserve">What it is:</w:t>
      </w:r>
      <w:r>
        <w:t xml:space="preserve"> </w:t>
      </w:r>
      <w:r>
        <w:t xml:space="preserve">A 6-item scale that measures the ability to bounce back or recover from stress. Unlike other resilience scales that measure protective resources, BRS directly assesses the core construct: how quickly and effectively a person recovers from adversity.</w:t>
      </w:r>
    </w:p>
    <w:p>
      <w:pPr>
        <w:pStyle w:val="BodyText"/>
      </w:pPr>
      <w:r>
        <w:rPr>
          <w:bCs/>
          <w:b/>
        </w:rPr>
        <w:t xml:space="preserve">Why BRS specifically:</w:t>
      </w:r>
      <w:r>
        <w:t xml:space="preserve"> </w:t>
      </w:r>
      <w:r>
        <w:t xml:space="preserve">Good Loop has an entire clinical area dedicated to resilience (GL-RESIL 5.1–5.5). BRS provides a clean, brief baseline and outcome measure for that area. It’s also the only validated resilience scale short enough to pair with PSS-10 in a single micro-session without exceeding the 7-minute constraint.</w:t>
      </w:r>
    </w:p>
    <w:p>
      <w:pPr>
        <w:pStyle w:val="BodyText"/>
      </w:pPr>
      <w:r>
        <w:rPr>
          <w:bCs/>
          <w:b/>
        </w:rPr>
        <w:t xml:space="preserve">Response format:</w:t>
      </w:r>
      <w:r>
        <w:t xml:space="preserve"> </w:t>
      </w:r>
      <w:r>
        <w:t xml:space="preserve">Each item is rated on a 5-point scale:</w:t>
      </w:r>
      <w:r>
        <w:t xml:space="preserve"> </w:t>
      </w:r>
      <w:r>
        <w:t xml:space="preserve">- 1 = Strongly disagree</w:t>
      </w:r>
      <w:r>
        <w:t xml:space="preserve"> </w:t>
      </w:r>
      <w:r>
        <w:t xml:space="preserve">- 2 = Disagree</w:t>
      </w:r>
      <w:r>
        <w:t xml:space="preserve"> </w:t>
      </w:r>
      <w:r>
        <w:t xml:space="preserve">- 3 = Neutral</w:t>
      </w:r>
      <w:r>
        <w:t xml:space="preserve"> </w:t>
      </w:r>
      <w:r>
        <w:t xml:space="preserve">- 4 = Agree</w:t>
      </w:r>
      <w:r>
        <w:t xml:space="preserve"> </w:t>
      </w:r>
      <w:r>
        <w:t xml:space="preserve">- 5 = Strongly agree</w:t>
      </w:r>
    </w:p>
    <w:p>
      <w:pPr>
        <w:pStyle w:val="BodyText"/>
      </w:pPr>
      <w:r>
        <w:rPr>
          <w:bCs/>
          <w:b/>
        </w:rPr>
        <w:t xml:space="preserve">Scoring:</w:t>
      </w:r>
      <w:r>
        <w:t xml:space="preserve"> </w:t>
      </w:r>
      <w:r>
        <w:t xml:space="preserve">- Items 2, 4, 6 are reverse-scored (1=5, 2=4, 3=3, 4=2, 5=1)</w:t>
      </w:r>
      <w:r>
        <w:t xml:space="preserve"> </w:t>
      </w:r>
      <w:r>
        <w:t xml:space="preserve">- Calculate the mean of all 6 items → score (range 1.00–5.00)</w:t>
      </w:r>
      <w:r>
        <w:t xml:space="preserve"> </w:t>
      </w:r>
      <w:r>
        <w:t xml:space="preserve">- Store as a decimal with 2 decimal places</w:t>
      </w:r>
      <w:r>
        <w:t xml:space="preserve"> </w:t>
      </w:r>
      <w:r>
        <w:t xml:space="preserve">- Higher score = greater resilience</w:t>
      </w:r>
    </w:p>
    <w:p>
      <w:pPr>
        <w:pStyle w:val="BodyText"/>
      </w:pPr>
      <w:r>
        <w:rPr>
          <w:bCs/>
          <w:b/>
        </w:rPr>
        <w:t xml:space="preserve">Administration schedule:</w:t>
      </w:r>
      <w:r>
        <w:t xml:space="preserve"> </w:t>
      </w:r>
      <w:r>
        <w:t xml:space="preserve">-</w:t>
      </w:r>
      <w:r>
        <w:t xml:space="preserve"> </w:t>
      </w:r>
      <w:r>
        <w:rPr>
          <w:bCs/>
          <w:b/>
        </w:rPr>
        <w:t xml:space="preserve">T0</w:t>
      </w:r>
      <w:r>
        <w:t xml:space="preserve"> </w:t>
      </w:r>
      <w:r>
        <w:t xml:space="preserve">(baseline, days 3–4): administered alongside PSS-10</w:t>
      </w:r>
      <w:r>
        <w:t xml:space="preserve"> </w:t>
      </w:r>
      <w:r>
        <w:t xml:space="preserve">-</w:t>
      </w:r>
      <w:r>
        <w:t xml:space="preserve"> </w:t>
      </w:r>
      <w:r>
        <w:rPr>
          <w:bCs/>
          <w:b/>
        </w:rPr>
        <w:t xml:space="preserve">T2</w:t>
      </w:r>
      <w:r>
        <w:t xml:space="preserve"> </w:t>
      </w:r>
      <w:r>
        <w:t xml:space="preserve">(end of Month 2): integrated into the M2 Review</w:t>
      </w:r>
      <w:r>
        <w:t xml:space="preserve"> </w:t>
      </w:r>
      <w:r>
        <w:t xml:space="preserve">-</w:t>
      </w:r>
      <w:r>
        <w:t xml:space="preserve"> </w:t>
      </w:r>
      <w:r>
        <w:rPr>
          <w:bCs/>
          <w:b/>
        </w:rPr>
        <w:t xml:space="preserve">T3</w:t>
      </w:r>
      <w:r>
        <w:t xml:space="preserve"> </w:t>
      </w:r>
      <w:r>
        <w:t xml:space="preserve">(end of Month 3): integrated into Journey Completion</w:t>
      </w:r>
      <w:r>
        <w:t xml:space="preserve"> </w:t>
      </w:r>
      <w:r>
        <w:t xml:space="preserve">- NOT administered at T1</w:t>
      </w:r>
    </w:p>
    <w:p>
      <w:pPr>
        <w:pStyle w:val="BodyText"/>
      </w:pPr>
      <w:r>
        <w:rPr>
          <w:bCs/>
          <w:b/>
        </w:rPr>
        <w:t xml:space="preserve">Estimated completion time:</w:t>
      </w:r>
      <w:r>
        <w:t xml:space="preserve"> </w:t>
      </w:r>
      <w:r>
        <w:t xml:space="preserve">1–2 minutes (always paired with PSS-10, combined ~4 minutes)</w:t>
      </w:r>
    </w:p>
    <w:p>
      <w:pPr>
        <w:pStyle w:val="BodyText"/>
      </w:pPr>
      <w:r>
        <w:rPr>
          <w:bCs/>
          <w:b/>
        </w:rPr>
        <w:t xml:space="preserve">License:</w:t>
      </w:r>
      <w:r>
        <w:t xml:space="preserve"> </w:t>
      </w:r>
      <w:r>
        <w:t xml:space="preserve">Public domain. Freely available.</w:t>
      </w:r>
    </w:p>
    <w:p>
      <w:r>
        <w:pict>
          <v:rect style="width:0;height:1.5pt" o:hralign="center" o:hrstd="t" o:hr="t"/>
        </w:pict>
      </w:r>
    </w:p>
    <w:bookmarkEnd w:id="23"/>
    <w:bookmarkStart w:id="24" w:name="X927287aa57c8edb9e83690826e69c89d04115f6"/>
    <w:p>
      <w:pPr>
        <w:pStyle w:val="Heading2"/>
      </w:pPr>
      <w:r>
        <w:t xml:space="preserve">4. CBI (Copenhagen Burnout Inventory — 19 items)</w:t>
      </w:r>
    </w:p>
    <w:p>
      <w:pPr>
        <w:pStyle w:val="FirstParagraph"/>
      </w:pPr>
      <w:r>
        <w:rPr>
          <w:bCs/>
          <w:b/>
        </w:rPr>
        <w:t xml:space="preserve">What it is:</w:t>
      </w:r>
      <w:r>
        <w:t xml:space="preserve"> </w:t>
      </w:r>
      <w:r>
        <w:t xml:space="preserve">A 19-item scale measuring burnout across three dimensions: personal burnout (6 items), work-related burnout (7 items), and client-related burnout (6 items). It distinguishes between general exhaustion, exhaustion attributed to work, and exhaustion attributed to working with people.</w:t>
      </w:r>
    </w:p>
    <w:p>
      <w:pPr>
        <w:pStyle w:val="BodyText"/>
      </w:pPr>
      <w:r>
        <w:rPr>
          <w:bCs/>
          <w:b/>
        </w:rPr>
        <w:t xml:space="preserve">Why CBI instead of MBI (Maslach Burnout Inventory):</w:t>
      </w:r>
      <w:r>
        <w:t xml:space="preserve"> </w:t>
      </w:r>
      <w:r>
        <w:t xml:space="preserve">MBI requires a paid license per administration, which creates a cost barrier at scale. CBI is freely available, covers the same construct with validated psychometric properties, and adds the personal/work/client distinction that is clinically useful for Good Loop’s GL-BURN protocols.</w:t>
      </w:r>
    </w:p>
    <w:p>
      <w:pPr>
        <w:pStyle w:val="BodyText"/>
      </w:pPr>
      <w:r>
        <w:rPr>
          <w:bCs/>
          <w:b/>
        </w:rPr>
        <w:t xml:space="preserve">Response format:</w:t>
      </w:r>
      <w:r>
        <w:t xml:space="preserve"> </w:t>
      </w:r>
      <w:r>
        <w:t xml:space="preserve">Items use two different response scales depending on the subscale:</w:t>
      </w:r>
    </w:p>
    <w:p>
      <w:pPr>
        <w:pStyle w:val="BodyText"/>
      </w:pPr>
      <w:r>
        <w:rPr>
          <w:iCs/>
          <w:i/>
        </w:rPr>
        <w:t xml:space="preserve">Personal and work-related burnout items — frequency:</w:t>
      </w:r>
      <w:r>
        <w:t xml:space="preserve"> </w:t>
      </w:r>
      <w:r>
        <w:t xml:space="preserve">- 0 = Never / Almost never</w:t>
      </w:r>
      <w:r>
        <w:t xml:space="preserve"> </w:t>
      </w:r>
      <w:r>
        <w:t xml:space="preserve">- 25 = Seldom</w:t>
      </w:r>
      <w:r>
        <w:t xml:space="preserve"> </w:t>
      </w:r>
      <w:r>
        <w:t xml:space="preserve">- 50 = Sometimes</w:t>
      </w:r>
      <w:r>
        <w:t xml:space="preserve"> </w:t>
      </w:r>
      <w:r>
        <w:t xml:space="preserve">- 75 = Often</w:t>
      </w:r>
      <w:r>
        <w:t xml:space="preserve"> </w:t>
      </w:r>
      <w:r>
        <w:t xml:space="preserve">- 100 = Always</w:t>
      </w:r>
    </w:p>
    <w:p>
      <w:pPr>
        <w:pStyle w:val="BodyText"/>
      </w:pPr>
      <w:r>
        <w:rPr>
          <w:iCs/>
          <w:i/>
        </w:rPr>
        <w:t xml:space="preserve">Client-related burnout items — degree:</w:t>
      </w:r>
      <w:r>
        <w:t xml:space="preserve"> </w:t>
      </w:r>
      <w:r>
        <w:t xml:space="preserve">- 0 = To a very low degree</w:t>
      </w:r>
      <w:r>
        <w:t xml:space="preserve"> </w:t>
      </w:r>
      <w:r>
        <w:t xml:space="preserve">- 25 = To a low degree</w:t>
      </w:r>
      <w:r>
        <w:t xml:space="preserve"> </w:t>
      </w:r>
      <w:r>
        <w:t xml:space="preserve">- 50 = Somewhat</w:t>
      </w:r>
      <w:r>
        <w:t xml:space="preserve"> </w:t>
      </w:r>
      <w:r>
        <w:t xml:space="preserve">- 75 = To a high degree</w:t>
      </w:r>
      <w:r>
        <w:t xml:space="preserve"> </w:t>
      </w:r>
      <w:r>
        <w:t xml:space="preserve">- 100 = To a very high degree</w:t>
      </w:r>
    </w:p>
    <w:p>
      <w:pPr>
        <w:pStyle w:val="BodyText"/>
      </w:pPr>
      <w:r>
        <w:rPr>
          <w:bCs/>
          <w:b/>
        </w:rPr>
        <w:t xml:space="preserve">Scoring:</w:t>
      </w:r>
      <w:r>
        <w:t xml:space="preserve"> </w:t>
      </w:r>
      <w:r>
        <w:t xml:space="preserve">- Calculate the mean of items within each subscale → subscale score (range 0–100)</w:t>
      </w:r>
      <w:r>
        <w:t xml:space="preserve"> </w:t>
      </w:r>
      <w:r>
        <w:t xml:space="preserve">- Store three separate subscale scores</w:t>
      </w:r>
      <w:r>
        <w:t xml:space="preserve"> </w:t>
      </w:r>
      <w:r>
        <w:t xml:space="preserve">- Higher score = greater burnout</w:t>
      </w:r>
      <w:r>
        <w:t xml:space="preserve"> </w:t>
      </w:r>
      <w:r>
        <w:t xml:space="preserve">- A total CBI score (mean of all 19 items) can be computed but the subscale scores are more clinically useful</w:t>
      </w:r>
    </w:p>
    <w:p>
      <w:pPr>
        <w:pStyle w:val="BodyText"/>
      </w:pPr>
      <w:r>
        <w:rPr>
          <w:bCs/>
          <w:b/>
        </w:rPr>
        <w:t xml:space="preserve">Subscale item mapping: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Subscale</w:t>
            </w:r>
          </w:p>
        </w:tc>
        <w:tc>
          <w:tcPr/>
          <w:p>
            <w:pPr>
              <w:pStyle w:val="Compact"/>
              <w:jc w:val="left"/>
            </w:pPr>
            <w:r>
              <w:t xml:space="preserve">Items (1-indexed)</w:t>
            </w:r>
          </w:p>
        </w:tc>
        <w:tc>
          <w:tcPr/>
          <w:p>
            <w:pPr>
              <w:pStyle w:val="Compact"/>
              <w:jc w:val="left"/>
            </w:pPr>
            <w:r>
              <w:t xml:space="preserve">Count</w:t>
            </w:r>
          </w:p>
        </w:tc>
      </w:tr>
      <w:tr>
        <w:tc>
          <w:tcPr/>
          <w:p>
            <w:pPr>
              <w:pStyle w:val="Compact"/>
              <w:jc w:val="left"/>
            </w:pPr>
            <w:r>
              <w:t xml:space="preserve">Personal burnout</w:t>
            </w:r>
          </w:p>
        </w:tc>
        <w:tc>
          <w:tcPr/>
          <w:p>
            <w:pPr>
              <w:pStyle w:val="Compact"/>
              <w:jc w:val="left"/>
            </w:pPr>
            <w:r>
              <w:t xml:space="preserve">1, 2, 3, 4, 5, 6</w:t>
            </w:r>
          </w:p>
        </w:tc>
        <w:tc>
          <w:tcPr/>
          <w:p>
            <w:pPr>
              <w:pStyle w:val="Compact"/>
              <w:jc w:val="left"/>
            </w:pPr>
            <w:r>
              <w:t xml:space="preserve">6</w:t>
            </w:r>
          </w:p>
        </w:tc>
      </w:tr>
      <w:tr>
        <w:tc>
          <w:tcPr/>
          <w:p>
            <w:pPr>
              <w:pStyle w:val="Compact"/>
              <w:jc w:val="left"/>
            </w:pPr>
            <w:r>
              <w:t xml:space="preserve">Work-related burnout</w:t>
            </w:r>
          </w:p>
        </w:tc>
        <w:tc>
          <w:tcPr/>
          <w:p>
            <w:pPr>
              <w:pStyle w:val="Compact"/>
              <w:jc w:val="left"/>
            </w:pPr>
            <w:r>
              <w:t xml:space="preserve">7, 8, 9, 10, 11, 12, 13</w:t>
            </w:r>
          </w:p>
        </w:tc>
        <w:tc>
          <w:tcPr/>
          <w:p>
            <w:pPr>
              <w:pStyle w:val="Compact"/>
              <w:jc w:val="left"/>
            </w:pPr>
            <w:r>
              <w:t xml:space="preserve">7</w:t>
            </w:r>
          </w:p>
        </w:tc>
      </w:tr>
      <w:tr>
        <w:tc>
          <w:tcPr/>
          <w:p>
            <w:pPr>
              <w:pStyle w:val="Compact"/>
              <w:jc w:val="left"/>
            </w:pPr>
            <w:r>
              <w:t xml:space="preserve">Client-related burnout</w:t>
            </w:r>
          </w:p>
        </w:tc>
        <w:tc>
          <w:tcPr/>
          <w:p>
            <w:pPr>
              <w:pStyle w:val="Compact"/>
              <w:jc w:val="left"/>
            </w:pPr>
            <w:r>
              <w:t xml:space="preserve">14, 15, 16, 17, 18, 19</w:t>
            </w:r>
          </w:p>
        </w:tc>
        <w:tc>
          <w:tcPr/>
          <w:p>
            <w:pPr>
              <w:pStyle w:val="Compact"/>
              <w:jc w:val="left"/>
            </w:pPr>
            <w:r>
              <w:t xml:space="preserve">6</w:t>
            </w:r>
          </w:p>
        </w:tc>
      </w:tr>
    </w:tbl>
    <w:p>
      <w:pPr>
        <w:pStyle w:val="BodyText"/>
      </w:pPr>
      <w:r>
        <w:rPr>
          <w:bCs/>
          <w:b/>
        </w:rPr>
        <w:t xml:space="preserve">Administration schedule:</w:t>
      </w:r>
      <w:r>
        <w:t xml:space="preserve"> </w:t>
      </w:r>
      <w:r>
        <w:t xml:space="preserve">-</w:t>
      </w:r>
      <w:r>
        <w:t xml:space="preserve"> </w:t>
      </w:r>
      <w:r>
        <w:rPr>
          <w:bCs/>
          <w:b/>
        </w:rPr>
        <w:t xml:space="preserve">Conditional trigger only</w:t>
      </w:r>
      <w:r>
        <w:t xml:space="preserve"> </w:t>
      </w:r>
      <w:r>
        <w:t xml:space="preserve">— CBI is NOT administered at T0 by default</w:t>
      </w:r>
      <w:r>
        <w:t xml:space="preserve"> </w:t>
      </w:r>
      <w:r>
        <w:t xml:space="preserve">- Triggered when DASS-21 results show a pattern consistent with burnout (elevated stress subscale combined with elevated depression subscale)</w:t>
      </w:r>
      <w:r>
        <w:t xml:space="preserve"> </w:t>
      </w:r>
      <w:r>
        <w:t xml:space="preserve">- The system proposes CBI; the therapist confirms</w:t>
      </w:r>
      <w:r>
        <w:t xml:space="preserve"> </w:t>
      </w:r>
      <w:r>
        <w:t xml:space="preserve">- If administered, it is repeated at subsequent measurement points (T1/T2/T3) to track change</w:t>
      </w:r>
    </w:p>
    <w:p>
      <w:pPr>
        <w:pStyle w:val="BodyText"/>
      </w:pPr>
      <w:r>
        <w:rPr>
          <w:bCs/>
          <w:b/>
        </w:rPr>
        <w:t xml:space="preserve">Estimated completion time:</w:t>
      </w:r>
      <w:r>
        <w:t xml:space="preserve"> </w:t>
      </w:r>
      <w:r>
        <w:t xml:space="preserve">4–5 minutes</w:t>
      </w:r>
    </w:p>
    <w:p>
      <w:pPr>
        <w:pStyle w:val="BodyText"/>
      </w:pPr>
      <w:r>
        <w:rPr>
          <w:bCs/>
          <w:b/>
        </w:rPr>
        <w:t xml:space="preserve">License:</w:t>
      </w:r>
      <w:r>
        <w:t xml:space="preserve"> </w:t>
      </w:r>
      <w:r>
        <w:t xml:space="preserve">Public domain (published by Kristensen et al., 2005). Freely available.</w:t>
      </w:r>
    </w:p>
    <w:p>
      <w:r>
        <w:pict>
          <v:rect style="width:0;height:1.5pt" o:hralign="center" o:hrstd="t" o:hr="t"/>
        </w:pict>
      </w:r>
    </w:p>
    <w:bookmarkEnd w:id="24"/>
    <w:bookmarkStart w:id="25" w:name="X25fab06d90fefa537b20c0d0c284572fe868bc8"/>
    <w:p>
      <w:pPr>
        <w:pStyle w:val="Heading2"/>
      </w:pPr>
      <w:r>
        <w:t xml:space="preserve">5. VAS (Visual Analogue Scale — 1 item, emoji-based)</w:t>
      </w:r>
    </w:p>
    <w:p>
      <w:pPr>
        <w:pStyle w:val="FirstParagraph"/>
      </w:pPr>
      <w:r>
        <w:rPr>
          <w:bCs/>
          <w:b/>
        </w:rPr>
        <w:t xml:space="preserve">What it is:</w:t>
      </w:r>
      <w:r>
        <w:t xml:space="preserve"> </w:t>
      </w:r>
      <w:r>
        <w:t xml:space="preserve">A single-item emotional state measure captured before and after every session. In Good Loop, VAS is implemented as an emoji-based scale rather than a traditional 100mm line, to reduce friction and increase completion rates.</w:t>
      </w:r>
    </w:p>
    <w:p>
      <w:pPr>
        <w:pStyle w:val="BodyText"/>
      </w:pPr>
      <w:r>
        <w:rPr>
          <w:bCs/>
          <w:b/>
        </w:rPr>
        <w:t xml:space="preserve">Why emoji-based:</w:t>
      </w:r>
      <w:r>
        <w:t xml:space="preserve"> </w:t>
      </w:r>
      <w:r>
        <w:t xml:space="preserve">Traditional VAS (mark a point on a line) requires fine motor interaction that is clumsy on mobile screens and produces measurement noise from imprecise taps. An emoji scale with discrete anchors is faster (1 tap), produces cleaner data, and feels less clinical to the patient.</w:t>
      </w:r>
    </w:p>
    <w:p>
      <w:pPr>
        <w:pStyle w:val="BodyText"/>
      </w:pPr>
      <w:r>
        <w:rPr>
          <w:bCs/>
          <w:b/>
        </w:rPr>
        <w:t xml:space="preserve">Response format:</w:t>
      </w:r>
      <w:r>
        <w:t xml:space="preserve"> </w:t>
      </w:r>
      <w:r>
        <w:t xml:space="preserve">5 emoji-based options displayed as icons (the system stores the numeric value, the patient sees only the icon):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Icon representation</w:t>
            </w:r>
          </w:p>
        </w:tc>
        <w:tc>
          <w:tcPr/>
          <w:p>
            <w:pPr>
              <w:pStyle w:val="Compact"/>
              <w:jc w:val="left"/>
            </w:pPr>
            <w:r>
              <w:t xml:space="preserve">Stored value</w:t>
            </w:r>
          </w:p>
        </w:tc>
        <w:tc>
          <w:tcPr/>
          <w:p>
            <w:pPr>
              <w:pStyle w:val="Compact"/>
              <w:jc w:val="left"/>
            </w:pPr>
            <w:r>
              <w:t xml:space="preserve">Meaning</w:t>
            </w:r>
          </w:p>
        </w:tc>
      </w:tr>
      <w:tr>
        <w:tc>
          <w:tcPr/>
          <w:p>
            <w:pPr>
              <w:pStyle w:val="Compact"/>
              <w:jc w:val="left"/>
            </w:pPr>
            <w:r>
              <w:t xml:space="preserve">😟</w:t>
            </w:r>
          </w:p>
        </w:tc>
        <w:tc>
          <w:tcPr/>
          <w:p>
            <w:pPr>
              <w:pStyle w:val="Compact"/>
              <w:jc w:val="left"/>
            </w:pPr>
            <w:r>
              <w:t xml:space="preserve">1</w:t>
            </w:r>
          </w:p>
        </w:tc>
        <w:tc>
          <w:tcPr/>
          <w:p>
            <w:pPr>
              <w:pStyle w:val="Compact"/>
              <w:jc w:val="left"/>
            </w:pPr>
            <w:r>
              <w:t xml:space="preserve">Very distressed</w:t>
            </w:r>
          </w:p>
        </w:tc>
      </w:tr>
      <w:tr>
        <w:tc>
          <w:tcPr/>
          <w:p>
            <w:pPr>
              <w:pStyle w:val="Compact"/>
              <w:jc w:val="left"/>
            </w:pPr>
            <w:r>
              <w:t xml:space="preserve">😕</w:t>
            </w:r>
          </w:p>
        </w:tc>
        <w:tc>
          <w:tcPr/>
          <w:p>
            <w:pPr>
              <w:pStyle w:val="Compact"/>
              <w:jc w:val="left"/>
            </w:pPr>
            <w:r>
              <w:t xml:space="preserve">2</w:t>
            </w:r>
          </w:p>
        </w:tc>
        <w:tc>
          <w:tcPr/>
          <w:p>
            <w:pPr>
              <w:pStyle w:val="Compact"/>
              <w:jc w:val="left"/>
            </w:pPr>
            <w:r>
              <w:t xml:space="preserve">Somewhat distressed</w:t>
            </w:r>
          </w:p>
        </w:tc>
      </w:tr>
      <w:tr>
        <w:tc>
          <w:tcPr/>
          <w:p>
            <w:pPr>
              <w:pStyle w:val="Compact"/>
              <w:jc w:val="left"/>
            </w:pPr>
            <w:r>
              <w:t xml:space="preserve">😐</w:t>
            </w:r>
          </w:p>
        </w:tc>
        <w:tc>
          <w:tcPr/>
          <w:p>
            <w:pPr>
              <w:pStyle w:val="Compact"/>
              <w:jc w:val="left"/>
            </w:pPr>
            <w:r>
              <w:t xml:space="preserve">3</w:t>
            </w:r>
          </w:p>
        </w:tc>
        <w:tc>
          <w:tcPr/>
          <w:p>
            <w:pPr>
              <w:pStyle w:val="Compact"/>
              <w:jc w:val="left"/>
            </w:pPr>
            <w:r>
              <w:t xml:space="preserve">Neutral</w:t>
            </w:r>
          </w:p>
        </w:tc>
      </w:tr>
      <w:tr>
        <w:tc>
          <w:tcPr/>
          <w:p>
            <w:pPr>
              <w:pStyle w:val="Compact"/>
              <w:jc w:val="left"/>
            </w:pPr>
            <w:r>
              <w:t xml:space="preserve">🙂</w:t>
            </w:r>
          </w:p>
        </w:tc>
        <w:tc>
          <w:tcPr/>
          <w:p>
            <w:pPr>
              <w:pStyle w:val="Compact"/>
              <w:jc w:val="left"/>
            </w:pPr>
            <w:r>
              <w:t xml:space="preserve">4</w:t>
            </w:r>
          </w:p>
        </w:tc>
        <w:tc>
          <w:tcPr/>
          <w:p>
            <w:pPr>
              <w:pStyle w:val="Compact"/>
              <w:jc w:val="left"/>
            </w:pPr>
            <w:r>
              <w:t xml:space="preserve">Good</w:t>
            </w:r>
          </w:p>
        </w:tc>
      </w:tr>
      <w:tr>
        <w:tc>
          <w:tcPr/>
          <w:p>
            <w:pPr>
              <w:pStyle w:val="Compact"/>
              <w:jc w:val="left"/>
            </w:pPr>
            <w:r>
              <w:t xml:space="preserve">😊</w:t>
            </w:r>
          </w:p>
        </w:tc>
        <w:tc>
          <w:tcPr/>
          <w:p>
            <w:pPr>
              <w:pStyle w:val="Compact"/>
              <w:jc w:val="left"/>
            </w:pPr>
            <w:r>
              <w:t xml:space="preserve">5</w:t>
            </w:r>
          </w:p>
        </w:tc>
        <w:tc>
          <w:tcPr/>
          <w:p>
            <w:pPr>
              <w:pStyle w:val="Compact"/>
              <w:jc w:val="left"/>
            </w:pPr>
            <w:r>
              <w:t xml:space="preserve">Very good</w:t>
            </w:r>
          </w:p>
        </w:tc>
      </w:tr>
    </w:tbl>
    <w:p>
      <w:pPr>
        <w:pStyle w:val="BodyText"/>
      </w:pPr>
      <w:r>
        <w:rPr>
          <w:iCs/>
          <w:i/>
        </w:rPr>
        <w:t xml:space="preserve">Note: the actual emoji/icons used in the app should be custom-designed to match the Good Loop visual identity. The emoji above are placeholders for development.</w:t>
      </w:r>
    </w:p>
    <w:p>
      <w:pPr>
        <w:pStyle w:val="BodyText"/>
      </w:pPr>
      <w:r>
        <w:rPr>
          <w:bCs/>
          <w:b/>
        </w:rPr>
        <w:t xml:space="preserve">Scoring:</w:t>
      </w:r>
      <w:r>
        <w:t xml:space="preserve"> </w:t>
      </w:r>
      <w:r>
        <w:t xml:space="preserve">- Store the raw numeric value (1–5) with a timestamp</w:t>
      </w:r>
      <w:r>
        <w:t xml:space="preserve"> </w:t>
      </w:r>
      <w:r>
        <w:t xml:space="preserve">- Calculate pre/post delta for each session (post minus pre)</w:t>
      </w:r>
      <w:r>
        <w:t xml:space="preserve"> </w:t>
      </w:r>
      <w:r>
        <w:t xml:space="preserve">- Positive delta = improvement; negative delta = worsening; zero = stable</w:t>
      </w:r>
      <w:r>
        <w:t xml:space="preserve"> </w:t>
      </w:r>
      <w:r>
        <w:t xml:space="preserve">- Aggregate over time: weekly/monthly mean VAS pre, mean VAS post, mean delta</w:t>
      </w:r>
      <w:r>
        <w:t xml:space="preserve"> </w:t>
      </w:r>
      <w:r>
        <w:t xml:space="preserve">- Display as sparkline trend in the Patient Card</w:t>
      </w:r>
    </w:p>
    <w:p>
      <w:pPr>
        <w:pStyle w:val="BodyText"/>
      </w:pPr>
      <w:r>
        <w:rPr>
          <w:bCs/>
          <w:b/>
        </w:rPr>
        <w:t xml:space="preserve">Administration schedule:</w:t>
      </w:r>
      <w:r>
        <w:t xml:space="preserve"> </w:t>
      </w:r>
      <w:r>
        <w:t xml:space="preserve">-</w:t>
      </w:r>
      <w:r>
        <w:t xml:space="preserve"> </w:t>
      </w:r>
      <w:r>
        <w:rPr>
          <w:bCs/>
          <w:b/>
        </w:rPr>
        <w:t xml:space="preserve">Pre-session:</w:t>
      </w:r>
      <w:r>
        <w:t xml:space="preserve"> </w:t>
      </w:r>
      <w:r>
        <w:t xml:space="preserve">immediately before every Good Loop audio session (1 tap, mandatory)</w:t>
      </w:r>
      <w:r>
        <w:t xml:space="preserve"> </w:t>
      </w:r>
      <w:r>
        <w:t xml:space="preserve">-</w:t>
      </w:r>
      <w:r>
        <w:t xml:space="preserve"> </w:t>
      </w:r>
      <w:r>
        <w:rPr>
          <w:bCs/>
          <w:b/>
        </w:rPr>
        <w:t xml:space="preserve">Post-session:</w:t>
      </w:r>
      <w:r>
        <w:t xml:space="preserve"> </w:t>
      </w:r>
      <w:r>
        <w:t xml:space="preserve">immediately after every session, during the closing/reorientation phase (1 tap, mandatory)</w:t>
      </w:r>
      <w:r>
        <w:t xml:space="preserve"> </w:t>
      </w:r>
      <w:r>
        <w:t xml:space="preserve">- VAS is the only instrument that does NOT require therapist confirmation — it runs automatically</w:t>
      </w:r>
      <w:r>
        <w:t xml:space="preserve"> </w:t>
      </w:r>
      <w:r>
        <w:t xml:space="preserve">- VAS data feeds both the Patient Card (therapist view) and the session report</w:t>
      </w:r>
    </w:p>
    <w:p>
      <w:pPr>
        <w:pStyle w:val="BodyText"/>
      </w:pPr>
      <w:r>
        <w:rPr>
          <w:bCs/>
          <w:b/>
        </w:rPr>
        <w:t xml:space="preserve">Key implementation detail:</w:t>
      </w:r>
      <w:r>
        <w:t xml:space="preserve"> </w:t>
      </w:r>
      <w:r>
        <w:t xml:space="preserve">VAS is also collected in the Self Use (B2C) channel with the same format. When a patient uses both B2B and B2C, all VAS data points appear in a single unified trend line in the therapist’s Patient Card, regardless of whether the session was therapist-guided or self-use.</w:t>
      </w:r>
    </w:p>
    <w:p>
      <w:pPr>
        <w:pStyle w:val="BodyText"/>
      </w:pPr>
      <w:r>
        <w:rPr>
          <w:bCs/>
          <w:b/>
        </w:rPr>
        <w:t xml:space="preserve">Estimated completion time:</w:t>
      </w:r>
      <w:r>
        <w:t xml:space="preserve"> </w:t>
      </w:r>
      <w:r>
        <w:t xml:space="preserve">&lt;5 seconds per measurement (single tap)</w:t>
      </w:r>
    </w:p>
    <w:p>
      <w:r>
        <w:pict>
          <v:rect style="width:0;height:1.5pt" o:hralign="center" o:hrstd="t" o:hr="t"/>
        </w:pict>
      </w:r>
    </w:p>
    <w:bookmarkEnd w:id="25"/>
    <w:bookmarkStart w:id="26" w:name="summary-administration-schedule"/>
    <w:p>
      <w:pPr>
        <w:pStyle w:val="Heading2"/>
      </w:pPr>
      <w:r>
        <w:t xml:space="preserve">Summary: Administration Schedule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Timepoint</w:t>
            </w:r>
          </w:p>
        </w:tc>
        <w:tc>
          <w:tcPr/>
          <w:p>
            <w:pPr>
              <w:pStyle w:val="Compact"/>
              <w:jc w:val="left"/>
            </w:pPr>
            <w:r>
              <w:t xml:space="preserve">DASS-21</w:t>
            </w:r>
          </w:p>
        </w:tc>
        <w:tc>
          <w:tcPr/>
          <w:p>
            <w:pPr>
              <w:pStyle w:val="Compact"/>
              <w:jc w:val="left"/>
            </w:pPr>
            <w:r>
              <w:t xml:space="preserve">PSS-10</w:t>
            </w:r>
          </w:p>
        </w:tc>
        <w:tc>
          <w:tcPr/>
          <w:p>
            <w:pPr>
              <w:pStyle w:val="Compact"/>
              <w:jc w:val="left"/>
            </w:pPr>
            <w:r>
              <w:t xml:space="preserve">BRS</w:t>
            </w:r>
          </w:p>
        </w:tc>
        <w:tc>
          <w:tcPr/>
          <w:p>
            <w:pPr>
              <w:pStyle w:val="Compact"/>
              <w:jc w:val="left"/>
            </w:pPr>
            <w:r>
              <w:t xml:space="preserve">CBI</w:t>
            </w:r>
          </w:p>
        </w:tc>
        <w:tc>
          <w:tcPr/>
          <w:p>
            <w:pPr>
              <w:pStyle w:val="Compact"/>
              <w:jc w:val="left"/>
            </w:pPr>
            <w:r>
              <w:t xml:space="preserve">VAS</w:t>
            </w:r>
          </w:p>
        </w:tc>
      </w:tr>
      <w:tr>
        <w:tc>
          <w:tcPr/>
          <w:p>
            <w:pPr>
              <w:pStyle w:val="Compact"/>
              <w:jc w:val="left"/>
            </w:pPr>
            <w:r>
              <w:t xml:space="preserve">Every session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auto (pre + post)</w:t>
            </w:r>
          </w:p>
        </w:tc>
      </w:tr>
      <w:tr>
        <w:tc>
          <w:tcPr/>
          <w:p>
            <w:pPr>
              <w:pStyle w:val="Compact"/>
              <w:jc w:val="left"/>
            </w:pPr>
            <w:r>
              <w:t xml:space="preserve">T0 (days 1–4)</w:t>
            </w:r>
          </w:p>
        </w:tc>
        <w:tc>
          <w:tcPr/>
          <w:p>
            <w:pPr>
              <w:pStyle w:val="Compact"/>
              <w:jc w:val="left"/>
            </w:pPr>
            <w:r>
              <w:t xml:space="preserve">✅ days 1–2</w:t>
            </w:r>
          </w:p>
        </w:tc>
        <w:tc>
          <w:tcPr/>
          <w:p>
            <w:pPr>
              <w:pStyle w:val="Compact"/>
              <w:jc w:val="left"/>
            </w:pPr>
            <w:r>
              <w:t xml:space="preserve">✅ days 3–4</w:t>
            </w:r>
          </w:p>
        </w:tc>
        <w:tc>
          <w:tcPr/>
          <w:p>
            <w:pPr>
              <w:pStyle w:val="Compact"/>
              <w:jc w:val="left"/>
            </w:pPr>
            <w:r>
              <w:t xml:space="preserve">✅ days 3–4</w:t>
            </w:r>
          </w:p>
        </w:tc>
        <w:tc>
          <w:tcPr/>
          <w:p>
            <w:pPr>
              <w:pStyle w:val="Compact"/>
              <w:jc w:val="left"/>
            </w:pPr>
            <w:r>
              <w:t xml:space="preserve">only if triggered</w:t>
            </w:r>
          </w:p>
        </w:tc>
        <w:tc>
          <w:tcPr/>
          <w:p>
            <w:pPr>
              <w:pStyle w:val="Compact"/>
              <w:jc w:val="left"/>
            </w:pPr>
            <w:r>
              <w:t xml:space="preserve">✅</w:t>
            </w:r>
          </w:p>
        </w:tc>
      </w:tr>
      <w:tr>
        <w:tc>
          <w:tcPr/>
          <w:p>
            <w:pPr>
              <w:pStyle w:val="Compact"/>
              <w:jc w:val="left"/>
            </w:pPr>
            <w:r>
              <w:t xml:space="preserve">T1 (end M1, ~wk 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if active</w:t>
            </w:r>
          </w:p>
        </w:tc>
        <w:tc>
          <w:tcPr/>
          <w:p>
            <w:pPr>
              <w:pStyle w:val="Compact"/>
              <w:jc w:val="left"/>
            </w:pPr>
            <w:r>
              <w:t xml:space="preserve">✅</w:t>
            </w:r>
          </w:p>
        </w:tc>
      </w:tr>
      <w:tr>
        <w:tc>
          <w:tcPr/>
          <w:p>
            <w:pPr>
              <w:pStyle w:val="Compact"/>
              <w:jc w:val="left"/>
            </w:pPr>
            <w:r>
              <w:t xml:space="preserve">T2 (end M2, ~wk 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if active</w:t>
            </w:r>
          </w:p>
        </w:tc>
        <w:tc>
          <w:tcPr/>
          <w:p>
            <w:pPr>
              <w:pStyle w:val="Compact"/>
              <w:jc w:val="left"/>
            </w:pPr>
            <w:r>
              <w:t xml:space="preserve">✅</w:t>
            </w:r>
          </w:p>
        </w:tc>
      </w:tr>
      <w:tr>
        <w:tc>
          <w:tcPr/>
          <w:p>
            <w:pPr>
              <w:pStyle w:val="Compact"/>
              <w:jc w:val="left"/>
            </w:pPr>
            <w:r>
              <w:t xml:space="preserve">T3 (end M3, ~wk 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if active</w:t>
            </w:r>
          </w:p>
        </w:tc>
        <w:tc>
          <w:tcPr/>
          <w:p>
            <w:pPr>
              <w:pStyle w:val="Compact"/>
              <w:jc w:val="left"/>
            </w:pPr>
            <w:r>
              <w:t xml:space="preserve">✅</w:t>
            </w:r>
          </w:p>
        </w:tc>
      </w:tr>
    </w:tbl>
    <w:p>
      <w:pPr>
        <w:pStyle w:val="BodyText"/>
      </w:pPr>
      <w:r>
        <w:rPr>
          <w:bCs/>
          <w:b/>
        </w:rPr>
        <w:t xml:space="preserve">Total patient burden per measurement point:</w:t>
      </w:r>
      <w:r>
        <w:t xml:space="preserve"> </w:t>
      </w:r>
      <w:r>
        <w:t xml:space="preserve">- T0: ~15 minutes across 2 micro-sessions (days 1–2 and days 3–4)</w:t>
      </w:r>
      <w:r>
        <w:t xml:space="preserve"> </w:t>
      </w:r>
      <w:r>
        <w:t xml:space="preserve">- T1: ~5–7 minutes (DASS-21 only, integrated into M1 Review)</w:t>
      </w:r>
      <w:r>
        <w:t xml:space="preserve"> </w:t>
      </w:r>
      <w:r>
        <w:t xml:space="preserve">- T2: ~10–12 minutes (DASS-21 + PSS-10 + BRS, integrated into M2 Review)</w:t>
      </w:r>
      <w:r>
        <w:t xml:space="preserve"> </w:t>
      </w:r>
      <w:r>
        <w:t xml:space="preserve">- T3: ~10–12 minutes (same as T2, integrated into Completion)</w:t>
      </w:r>
    </w:p>
    <w:p>
      <w:r>
        <w:pict>
          <v:rect style="width:0;height:1.5pt" o:hralign="center" o:hrstd="t" o:hr="t"/>
        </w:pict>
      </w:r>
    </w:p>
    <w:bookmarkEnd w:id="26"/>
    <w:bookmarkStart w:id="27" w:name="data-model-per-patient"/>
    <w:p>
      <w:pPr>
        <w:pStyle w:val="Heading2"/>
      </w:pPr>
      <w:r>
        <w:t xml:space="preserve">Data Model (per patient)</w:t>
      </w:r>
    </w:p>
    <w:p>
      <w:pPr>
        <w:pStyle w:val="SourceCode"/>
      </w:pPr>
      <w:r>
        <w:rPr>
          <w:rStyle w:val="VerbatimChar"/>
        </w:rPr>
        <w:t xml:space="preserve">AssessmentRecord: {</w:t>
      </w:r>
      <w:r>
        <w:br/>
      </w:r>
      <w:r>
        <w:rPr>
          <w:rStyle w:val="VerbatimChar"/>
        </w:rPr>
        <w:t xml:space="preserve">  patientId: UUID,</w:t>
      </w:r>
      <w:r>
        <w:br/>
      </w:r>
      <w:r>
        <w:rPr>
          <w:rStyle w:val="VerbatimChar"/>
        </w:rPr>
        <w:t xml:space="preserve">  instrumentId: "DASS21" | "PSS10" | "BRS" | "CBI" | "VAS",</w:t>
      </w:r>
      <w:r>
        <w:br/>
      </w:r>
      <w:r>
        <w:rPr>
          <w:rStyle w:val="VerbatimChar"/>
        </w:rPr>
        <w:t xml:space="preserve">  timepoint: "T0" | "T1" | "T2" | "T3" | "session",</w:t>
      </w:r>
      <w:r>
        <w:br/>
      </w:r>
      <w:r>
        <w:rPr>
          <w:rStyle w:val="VerbatimChar"/>
        </w:rPr>
        <w:t xml:space="preserve">  administeredAt: ISO8601,</w:t>
      </w:r>
      <w:r>
        <w:br/>
      </w:r>
      <w:r>
        <w:rPr>
          <w:rStyle w:val="VerbatimChar"/>
        </w:rPr>
        <w:t xml:space="preserve">  completedAt: ISO8601 | null,</w:t>
      </w:r>
      <w:r>
        <w:br/>
      </w:r>
      <w:r>
        <w:rPr>
          <w:rStyle w:val="VerbatimChar"/>
        </w:rPr>
        <w:t xml:space="preserve">  status: "proposed" | "confirmed" | "in_progress" | "completed" | "postponed",</w:t>
      </w:r>
      <w:r>
        <w:br/>
      </w:r>
      <w:r>
        <w:rPr>
          <w:rStyle w:val="VerbatimChar"/>
        </w:rPr>
        <w:t xml:space="preserve">  proposedBy: "system",</w:t>
      </w:r>
      <w:r>
        <w:br/>
      </w:r>
      <w:r>
        <w:rPr>
          <w:rStyle w:val="VerbatimChar"/>
        </w:rPr>
        <w:t xml:space="preserve">  confirmedBy: therapistId | "auto",     // "auto" for VAS only</w:t>
      </w:r>
      <w:r>
        <w:br/>
      </w:r>
      <w:r>
        <w:rPr>
          <w:rStyle w:val="VerbatimChar"/>
        </w:rPr>
        <w:t xml:space="preserve">  responses: [</w:t>
      </w:r>
      <w:r>
        <w:br/>
      </w:r>
      <w:r>
        <w:rPr>
          <w:rStyle w:val="VerbatimChar"/>
        </w:rPr>
        <w:t xml:space="preserve">    { itemIndex: number, value: number }  // raw response per item</w:t>
      </w:r>
      <w:r>
        <w:br/>
      </w:r>
      <w:r>
        <w:rPr>
          <w:rStyle w:val="VerbatimChar"/>
        </w:rPr>
        <w:t xml:space="preserve">  ],</w:t>
      </w:r>
      <w:r>
        <w:br/>
      </w:r>
      <w:r>
        <w:rPr>
          <w:rStyle w:val="VerbatimChar"/>
        </w:rPr>
        <w:t xml:space="preserve">  scores: {</w:t>
      </w:r>
      <w:r>
        <w:br/>
      </w:r>
      <w:r>
        <w:rPr>
          <w:rStyle w:val="VerbatimChar"/>
        </w:rPr>
        <w:t xml:space="preserve">    // DASS-21: { depression: number, anxiety: number, stress: number }</w:t>
      </w:r>
      <w:r>
        <w:br/>
      </w:r>
      <w:r>
        <w:rPr>
          <w:rStyle w:val="VerbatimChar"/>
        </w:rPr>
        <w:t xml:space="preserve">    // PSS-10: { total: number }</w:t>
      </w:r>
      <w:r>
        <w:br/>
      </w:r>
      <w:r>
        <w:rPr>
          <w:rStyle w:val="VerbatimChar"/>
        </w:rPr>
        <w:t xml:space="preserve">    // BRS: { mean: number }</w:t>
      </w:r>
      <w:r>
        <w:br/>
      </w:r>
      <w:r>
        <w:rPr>
          <w:rStyle w:val="VerbatimChar"/>
        </w:rPr>
        <w:t xml:space="preserve">    // CBI: { personal: number, workRelated: number, clientRelated: number }</w:t>
      </w:r>
      <w:r>
        <w:br/>
      </w:r>
      <w:r>
        <w:rPr>
          <w:rStyle w:val="VerbatimChar"/>
        </w:rPr>
        <w:t xml:space="preserve">    // VAS: { pre: number, post: number, delta: number }</w:t>
      </w:r>
      <w:r>
        <w:br/>
      </w:r>
      <w:r>
        <w:rPr>
          <w:rStyle w:val="VerbatimChar"/>
        </w:rPr>
        <w:t xml:space="preserve">  },</w:t>
      </w:r>
      <w:r>
        <w:br/>
      </w:r>
      <w:r>
        <w:rPr>
          <w:rStyle w:val="VerbatimChar"/>
        </w:rPr>
        <w:t xml:space="preserve">  immutable: true    // once completed, record cannot be modified</w:t>
      </w:r>
      <w:r>
        <w:br/>
      </w:r>
      <w:r>
        <w:rPr>
          <w:rStyle w:val="VerbatimChar"/>
        </w:rPr>
        <w:t xml:space="preserve">}</w:t>
      </w:r>
    </w:p>
    <w:p>
      <w:pPr>
        <w:pStyle w:val="FirstParagraph"/>
      </w:pPr>
      <w:r>
        <w:rPr>
          <w:bCs/>
          <w:b/>
        </w:rPr>
        <w:t xml:space="preserve">Immutability rule:</w:t>
      </w:r>
      <w:r>
        <w:t xml:space="preserve"> </w:t>
      </w:r>
      <w:r>
        <w:t xml:space="preserve">completed assessment records are append-only. No score can be edited or deleted after submission. This is both a clinical integrity requirement and a legal evidence requirement (the data may be used to demonstrate treatment efficacy in corporate NR-1 compliance contexts).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2026-08-25T11:05:01Z</dcterms:created>
  <dcterms:modified xsi:type="dcterms:W3CDTF">2026-08-25T11:05:01Z</dcterms:modified>
</cp:coreProperties>
</file>

<file path=docProps/custom.xml><?xml version="1.0" encoding="utf-8"?>
<Properties xmlns="http://schemas.openxmlformats.org/officeDocument/2006/custom-properties" xmlns:vt="http://schemas.openxmlformats.org/officeDocument/2006/docPropsVTypes"/>
</file>