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Good Loop – Check-in emocional em cores</w:t>
      </w:r>
    </w:p>
    <w:p>
      <w:pPr/>
      <w:r>
        <w:t xml:space="preserve">Oct 27, 2026</w:t>
      </w:r>
      <w:r>
        <w:t xml:space="preserve"> · </w:t>
      </w:r>
      <w:r>
        <w:t xml:space="preserve">@Giampiero Varetti</w:t>
      </w:r>
    </w:p>
    <w:p>
      <w:pPr>
        <w:pStyle w:val="Heading2"/>
      </w:pPr>
      <w:r>
        <w:t xml:space="preserve">Resumo</w:t>
      </w:r>
    </w:p>
    <w:p>
      <w:pPr/>
      <w:r>
        <w:t xml:space="preserve">Propomos um </w:t>
      </w:r>
      <w:r>
        <w:rPr>
          <w:b/>
        </w:rPr>
        <w:t xml:space="preserve">check-in emocional</w:t>
      </w:r>
      <w:r>
        <w:t xml:space="preserve"> de cerca de 10 segundos antes e depois de cada sessão Good Loop. O usuário indica como se sente em uma grade de dois eixos e escolhe uma palavra que descreve seu estado. A interface assume uma cor que espelha esse estado.</w:t>
      </w:r>
    </w:p>
    <w:p>
      <w:pPr/>
      <w:r>
        <w:t xml:space="preserve">O valor científico não está na cor em si, mas no ato de </w:t>
      </w:r>
      <w:r>
        <w:rPr>
          <w:b/>
        </w:rPr>
        <w:t xml:space="preserve">reconhecer e nomear a emoção</w:t>
      </w:r>
      <w:r>
        <w:t xml:space="preserve"> (</w:t>
      </w:r>
      <w:r>
        <w:rPr>
          <w:i/>
        </w:rPr>
        <w:t xml:space="preserve">affect labeling</w:t>
      </w:r>
      <w:r>
        <w:t xml:space="preserve">), que tem evidências sólidas. A cor torna o estado visível e reconhecível. Além disso, a comparação antes/depois nos dá um dado mensurável sobre a eficácia de cada protocolo.</w:t>
      </w:r>
    </w:p>
    <w:p>
      <w:pPr>
        <w:pStyle w:val="Heading2"/>
      </w:pPr>
      <w:r>
        <w:t xml:space="preserve">Base científica</w:t>
      </w:r>
    </w:p>
    <w:p>
      <w:pPr/>
      <w:r>
        <w:t xml:space="preserve">A funcionalidade se apoia em três elementos com níveis de evidência diferentes. Construímos o produto sobre os dois primeiros e tratamos o terceiro como hipótese a verificar.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07"/>
        <w:gridCol w:w="4192"/>
        <w:gridCol w:w="2242"/>
        <w:gridCol w:w="1219"/>
      </w:tblGrid>
      <w:tr>
        <w:trPr>
          <w:tblHeader/>
        </w:trPr>
        <w:tc>
          <w:tcPr>
            <w:tcW w:w="1707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4192" w:type="dxa"/>
            <w:shd w:val="clear" w:color="auto" w:fill="F2F2F2"/>
          </w:tcPr>
          <w:p>
            <w:pPr/>
            <w:r>
              <w:t xml:space="preserve">O que diz a pesquisa</w:t>
            </w:r>
          </w:p>
        </w:tc>
        <w:tc>
          <w:tcPr>
            <w:tcW w:w="2242" w:type="dxa"/>
            <w:shd w:val="clear" w:color="auto" w:fill="F2F2F2"/>
          </w:tcPr>
          <w:p>
            <w:pPr/>
            <w:r>
              <w:t xml:space="preserve">Nível de evidência</w:t>
            </w:r>
          </w:p>
        </w:tc>
        <w:tc>
          <w:tcPr>
            <w:tcW w:w="1219" w:type="dxa"/>
            <w:shd w:val="clear" w:color="auto" w:fill="F2F2F2"/>
          </w:tcPr>
          <w:p>
            <w:pPr/>
            <w:r>
              <w:t xml:space="preserve">Uso no app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Nomear a emoção (</w:t>
            </w:r>
            <w:r>
              <w:rPr>
                <w:i/>
              </w:rPr>
              <w:t xml:space="preserve">affect labeling</w:t>
            </w:r>
            <w:r>
              <w:t xml:space="preserve">)</w:t>
            </w:r>
          </w:p>
        </w:tc>
        <w:tc>
          <w:tcPr>
            <w:tcW w:w="4192" w:type="dxa"/>
          </w:tcPr>
          <w:p>
            <w:pPr/>
            <w:r>
              <w:t xml:space="preserve">Dar nome ao próprio estado reduz a resposta da amígdala; funciona também escolhendo de uma lista de palavras (Lieberman 2007; Torre &amp; Lieberman 2018)</w:t>
            </w:r>
          </w:p>
        </w:tc>
        <w:tc>
          <w:tcPr>
            <w:tcW w:w="2242" w:type="dxa"/>
          </w:tcPr>
          <w:p>
            <w:pPr/>
            <w:r>
              <w:t xml:space="preserve">Forte</w:t>
            </w:r>
          </w:p>
        </w:tc>
        <w:tc>
          <w:tcPr>
            <w:tcW w:w="1219" w:type="dxa"/>
          </w:tcPr>
          <w:p>
            <w:pPr/>
            <w:r>
              <w:t xml:space="preserve">Escolha de uma palavra depois da grade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Medir o humor com dois eixos</w:t>
            </w:r>
          </w:p>
        </w:tc>
        <w:tc>
          <w:tcPr>
            <w:tcW w:w="4192" w:type="dxa"/>
          </w:tcPr>
          <w:p>
            <w:pPr/>
            <w:r>
              <w:t xml:space="preserve">Valência (agradável/desagradável) e ativação (calmo/agitado) são o padrão da pesquisa sobre autorrelato (modelo circumplexo de Russell)</w:t>
            </w:r>
          </w:p>
        </w:tc>
        <w:tc>
          <w:tcPr>
            <w:tcW w:w="2242" w:type="dxa"/>
          </w:tcPr>
          <w:p>
            <w:pPr/>
            <w:r>
              <w:t xml:space="preserve">Forte</w:t>
            </w:r>
          </w:p>
        </w:tc>
        <w:tc>
          <w:tcPr>
            <w:tcW w:w="1219" w:type="dxa"/>
          </w:tcPr>
          <w:p>
            <w:pPr/>
            <w:r>
              <w:t xml:space="preserve">Grade de dois eixos como entrada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Cor que </w:t>
            </w:r>
            <w:r>
              <w:rPr>
                <w:i/>
              </w:rPr>
              <w:t xml:space="preserve">representa</w:t>
            </w:r>
            <w:r>
              <w:t xml:space="preserve"> a emoção</w:t>
            </w:r>
          </w:p>
        </w:tc>
        <w:tc>
          <w:tcPr>
            <w:tcW w:w="4192" w:type="dxa"/>
          </w:tcPr>
          <w:p>
            <w:pPr/>
            <w:r>
              <w:t xml:space="preserve">As associações emoção-cor são semelhantes em 30 países, r = .88 (Jonauskaite 2020)</w:t>
            </w:r>
          </w:p>
        </w:tc>
        <w:tc>
          <w:tcPr>
            <w:tcW w:w="2242" w:type="dxa"/>
          </w:tcPr>
          <w:p>
            <w:pPr/>
            <w:r>
              <w:t xml:space="preserve">Sólido</w:t>
            </w:r>
          </w:p>
        </w:tc>
        <w:tc>
          <w:tcPr>
            <w:tcW w:w="1219" w:type="dxa"/>
          </w:tcPr>
          <w:p>
            <w:pPr/>
            <w:r>
              <w:t xml:space="preserve">A cor espelha o estado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Luminosidade e saturação</w:t>
            </w:r>
          </w:p>
        </w:tc>
        <w:tc>
          <w:tcPr>
            <w:tcW w:w="4192" w:type="dxa"/>
          </w:tcPr>
          <w:p>
            <w:pPr/>
            <w:r>
              <w:t xml:space="preserve">Pesam mais que a matiz: cores claras = mais agradáveis, cores saturadas = mais ativadoras (Valdez &amp; Mehrabian 1994; Wilms &amp; Oberfeld 2018)</w:t>
            </w:r>
          </w:p>
        </w:tc>
        <w:tc>
          <w:tcPr>
            <w:tcW w:w="2242" w:type="dxa"/>
          </w:tcPr>
          <w:p>
            <w:pPr/>
            <w:r>
              <w:t xml:space="preserve">Sólido</w:t>
            </w:r>
          </w:p>
        </w:tc>
        <w:tc>
          <w:tcPr>
            <w:tcW w:w="1219" w:type="dxa"/>
          </w:tcPr>
          <w:p>
            <w:pPr/>
            <w:r>
              <w:t xml:space="preserve">Regras de cálculo da cor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Cor que </w:t>
            </w:r>
            <w:r>
              <w:rPr>
                <w:i/>
              </w:rPr>
              <w:t xml:space="preserve">modifica</w:t>
            </w:r>
            <w:r>
              <w:t xml:space="preserve"> o humor</w:t>
            </w:r>
          </w:p>
        </w:tc>
        <w:tc>
          <w:tcPr>
            <w:tcW w:w="4192" w:type="dxa"/>
          </w:tcPr>
          <w:p>
            <w:pPr/>
            <w:r>
              <w:t xml:space="preserve">Efeitos mensuráveis mas pequenos, obtidos em laboratório com salas ou painéis LED, não em smartphone (Elliot 2015)</w:t>
            </w:r>
          </w:p>
        </w:tc>
        <w:tc>
          <w:tcPr>
            <w:tcW w:w="2242" w:type="dxa"/>
          </w:tcPr>
          <w:p>
            <w:pPr/>
            <w:r>
              <w:t xml:space="preserve">Fraco</w:t>
            </w:r>
          </w:p>
        </w:tc>
        <w:tc>
          <w:tcPr>
            <w:tcW w:w="1219" w:type="dxa"/>
          </w:tcPr>
          <w:p>
            <w:pPr/>
            <w:r>
              <w:t xml:space="preserve">Apenas hipótese, a testar no piloto</w:t>
            </w:r>
          </w:p>
        </w:tc>
      </w:tr>
    </w:tbl>
    <w:p>
      <w:pPr/>
      <w:r>
        <w:rPr>
          <w:b/>
        </w:rPr>
        <w:t xml:space="preserve">Restrição de idioma:</w:t>
      </w:r>
      <w:r>
        <w:t xml:space="preserve"> nomear a emoção em uma língua não nativa não produz o efeito. As palavras devem estar sempre na língua materna do usuário.</w:t>
      </w:r>
    </w:p>
    <w:p>
      <w:pPr>
        <w:pStyle w:val="Heading2"/>
      </w:pPr>
      <w:r>
        <w:t xml:space="preserve">Experiência do usuário</w:t>
      </w:r>
    </w:p>
    <w:p>
      <w:pPr/>
      <w:r>
        <w:t xml:space="preserve">O check-in acontece duas vezes por sessão, antes e depois da escuta, e dura cerca de 10 segundos.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Grade do humor.</w:t>
      </w:r>
      <w:r>
        <w:t xml:space="preserve"> Um quadrado com eixo horizontal </w:t>
      </w:r>
      <w:r>
        <w:rPr>
          <w:i/>
        </w:rPr>
        <w:t xml:space="preserve">desagradável → agradável</w:t>
      </w:r>
      <w:r>
        <w:t xml:space="preserve"> e eixo vertical </w:t>
      </w:r>
      <w:r>
        <w:rPr>
          <w:i/>
        </w:rPr>
        <w:t xml:space="preserve">calmo → agitado</w:t>
      </w:r>
      <w:r>
        <w:t xml:space="preserve">. O usuário toca um ponto. O fundo muda de cor em tempo real enquanto o dedo se move.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Palavra.</w:t>
      </w:r>
      <w:r>
        <w:t xml:space="preserve"> Aparecem as 4 palavras do quadrante escolhido (ver lista nas especificações). O usuário seleciona uma. É o passo que produz o efeito </w:t>
      </w:r>
      <w:r>
        <w:rPr>
          <w:i/>
        </w:rPr>
        <w:t xml:space="preserve">affect labeling</w:t>
      </w:r>
      <w:r>
        <w:t xml:space="preserve">: deve ser incentivado, com uma opção discreta "Pular".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Confirmação visual.</w:t>
      </w:r>
      <w:r>
        <w:t xml:space="preserve"> A tela mostra a cor e a palavra escolhida por cerca de 2 segundos ("Hoje você se sente: </w:t>
      </w:r>
      <w:r>
        <w:rPr>
          <w:i/>
        </w:rPr>
        <w:t xml:space="preserve">Tenso</w:t>
      </w:r>
      <w:r>
        <w:t xml:space="preserve">").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Sessão Good Loop.</w:t>
      </w:r>
      <w:r>
        <w:t xml:space="preserve"> Durante a escuta, a cor de fundo continua a do check-in, atenuada.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Check-in final.</w:t>
      </w:r>
      <w:r>
        <w:t xml:space="preserve"> Mesma grade e mesma escolha de palavra.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Comparação.</w:t>
      </w:r>
      <w:r>
        <w:t xml:space="preserve"> O app mostra as duas cores lado a lado, antes e depois. É o feedback mais compreensível para o usuário e o nosso dado de eficácia.</w:t>
      </w:r>
    </w:p>
    <w:p>
      <w:pPr/>
      <w:r>
        <w:t xml:space="preserve">O check-in também fica disponível sozinho, fora das sessões, como diário do humor.</w:t>
      </w:r>
    </w:p>
    <w:p>
      <w:pPr>
        <w:pStyle w:val="Heading2"/>
      </w:pPr>
      <w:r>
        <w:t xml:space="preserve">Regras da cor</w:t>
      </w:r>
    </w:p>
    <w:p>
      <w:pPr/>
      <w:r>
        <w:t xml:space="preserve">A cor é calculada a partir de 5 cores de referência: uma para cada canto da grade e uma neutra no centro. Cada ponto intermediário é uma mistura gradual.</w:t>
      </w:r>
    </w:p>
    <w:p>
      <w:pPr/>
      <w:r>
        <w:rPr>
          <w:b/>
        </w:rPr>
        <w:t xml:space="preserve">Três princípios, da pesquisa: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Agradabilidade → luminosidade.</w:t>
      </w:r>
      <w:r>
        <w:t xml:space="preserve"> Quanto mais agradável o estado, mais clara a cor.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Ativação → saturação e calor.</w:t>
      </w:r>
      <w:r>
        <w:t xml:space="preserve"> Quanto mais agitado o estado, mais saturada e quente a cor (rumo a laranja/vermelho). Quanto mais calmo, mais fria (rumo a azul/verde).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Espelho atenuado.</w:t>
      </w:r>
      <w:r>
        <w:t xml:space="preserve"> A cor espelha o estado, mas não o amplifica: a saturação tem um teto, porque cores muito saturadas aumentam a ativação fisiológica. Um usuário ansioso vê um laranja-avermelhado apagado, nunca um vermelho vivo.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7"/>
        <w:gridCol w:w="2198"/>
        <w:gridCol w:w="1817"/>
        <w:gridCol w:w="1966"/>
        <w:gridCol w:w="1222"/>
      </w:tblGrid>
      <w:tr>
        <w:trPr>
          <w:tblHeader/>
        </w:trPr>
        <w:tc>
          <w:tcPr>
            <w:tcW w:w="2157" w:type="dxa"/>
            <w:shd w:val="clear" w:color="auto" w:fill="F2F2F2"/>
          </w:tcPr>
          <w:p>
            <w:pPr/>
            <w:r>
              <w:t xml:space="preserve">Posição na grade</w:t>
            </w:r>
          </w:p>
        </w:tc>
        <w:tc>
          <w:tcPr>
            <w:tcW w:w="2198" w:type="dxa"/>
            <w:shd w:val="clear" w:color="auto" w:fill="F2F2F2"/>
          </w:tcPr>
          <w:p>
            <w:pPr/>
            <w:r>
              <w:t xml:space="preserve">Exemplos de estado</w:t>
            </w:r>
          </w:p>
        </w:tc>
        <w:tc>
          <w:tcPr>
            <w:tcW w:w="1817" w:type="dxa"/>
            <w:shd w:val="clear" w:color="auto" w:fill="F2F2F2"/>
          </w:tcPr>
          <w:p>
            <w:pPr/>
            <w:r>
              <w:t xml:space="preserve">Cor</w:t>
            </w:r>
          </w:p>
        </w:tc>
        <w:tc>
          <w:tcPr>
            <w:tcW w:w="1966" w:type="dxa"/>
            <w:shd w:val="clear" w:color="auto" w:fill="F2F2F2"/>
          </w:tcPr>
          <w:p>
            <w:pPr/>
            <w:r>
              <w:t xml:space="preserve">OKLCH</w:t>
            </w:r>
          </w:p>
        </w:tc>
        <w:tc>
          <w:tcPr>
            <w:tcW w:w="1222" w:type="dxa"/>
            <w:shd w:val="clear" w:color="auto" w:fill="F2F2F2"/>
          </w:tcPr>
          <w:p>
            <w:pPr/>
            <w:r>
              <w:t xml:space="preserve">HEX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Agradável + agitado</w:t>
            </w:r>
          </w:p>
        </w:tc>
        <w:tc>
          <w:tcPr>
            <w:tcW w:w="2198" w:type="dxa"/>
          </w:tcPr>
          <w:p>
            <w:pPr/>
            <w:r>
              <w:t xml:space="preserve">alegria, entusiasmo</w:t>
            </w:r>
          </w:p>
        </w:tc>
        <w:tc>
          <w:tcPr>
            <w:tcW w:w="1817" w:type="dxa"/>
          </w:tcPr>
          <w:p>
            <w:pPr/>
            <w:r>
              <w:t xml:space="preserve">amarelo-âmbar luminoso</w:t>
            </w:r>
          </w:p>
        </w:tc>
        <w:tc>
          <w:tcPr>
            <w:tcW w:w="1966" w:type="dxa"/>
          </w:tcPr>
          <w:p>
            <w:pPr/>
            <w:r>
              <w:t xml:space="preserve">oklch(0.86 0.14 85)</w:t>
            </w:r>
          </w:p>
        </w:tc>
        <w:tc>
          <w:tcPr>
            <w:tcW w:w="1222" w:type="dxa"/>
          </w:tcPr>
          <w:p>
            <w:pPr/>
            <w:r>
              <w:t xml:space="preserve">#FBC959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Desagradável + agitado</w:t>
            </w:r>
          </w:p>
        </w:tc>
        <w:tc>
          <w:tcPr>
            <w:tcW w:w="2198" w:type="dxa"/>
          </w:tcPr>
          <w:p>
            <w:pPr/>
            <w:r>
              <w:t xml:space="preserve">ansiedade, tensão, raiva</w:t>
            </w:r>
          </w:p>
        </w:tc>
        <w:tc>
          <w:tcPr>
            <w:tcW w:w="1817" w:type="dxa"/>
          </w:tcPr>
          <w:p>
            <w:pPr/>
            <w:r>
              <w:t xml:space="preserve">terracota apagado</w:t>
            </w:r>
          </w:p>
        </w:tc>
        <w:tc>
          <w:tcPr>
            <w:tcW w:w="1966" w:type="dxa"/>
          </w:tcPr>
          <w:p>
            <w:pPr/>
            <w:r>
              <w:t xml:space="preserve">oklch(0.58 0.15 35)</w:t>
            </w:r>
          </w:p>
        </w:tc>
        <w:tc>
          <w:tcPr>
            <w:tcW w:w="1222" w:type="dxa"/>
          </w:tcPr>
          <w:p>
            <w:pPr/>
            <w:r>
              <w:t xml:space="preserve">#C25237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Desagradável + calmo</w:t>
            </w:r>
          </w:p>
        </w:tc>
        <w:tc>
          <w:tcPr>
            <w:tcW w:w="2198" w:type="dxa"/>
          </w:tcPr>
          <w:p>
            <w:pPr/>
            <w:r>
              <w:t xml:space="preserve">tristeza, cansaço</w:t>
            </w:r>
          </w:p>
        </w:tc>
        <w:tc>
          <w:tcPr>
            <w:tcW w:w="1817" w:type="dxa"/>
          </w:tcPr>
          <w:p>
            <w:pPr/>
            <w:r>
              <w:t xml:space="preserve">cinza-azulado escuro</w:t>
            </w:r>
          </w:p>
        </w:tc>
        <w:tc>
          <w:tcPr>
            <w:tcW w:w="1966" w:type="dxa"/>
          </w:tcPr>
          <w:p>
            <w:pPr/>
            <w:r>
              <w:t xml:space="preserve">oklch(0.45 0.04 255)</w:t>
            </w:r>
          </w:p>
        </w:tc>
        <w:tc>
          <w:tcPr>
            <w:tcW w:w="1222" w:type="dxa"/>
          </w:tcPr>
          <w:p>
            <w:pPr/>
            <w:r>
              <w:t xml:space="preserve">#46576C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Agradável + calmo</w:t>
            </w:r>
          </w:p>
        </w:tc>
        <w:tc>
          <w:tcPr>
            <w:tcW w:w="2198" w:type="dxa"/>
          </w:tcPr>
          <w:p>
            <w:pPr/>
            <w:r>
              <w:t xml:space="preserve">calma, serenidade</w:t>
            </w:r>
          </w:p>
        </w:tc>
        <w:tc>
          <w:tcPr>
            <w:tcW w:w="1817" w:type="dxa"/>
          </w:tcPr>
          <w:p>
            <w:pPr/>
            <w:r>
              <w:t xml:space="preserve">verde-água claro</w:t>
            </w:r>
          </w:p>
        </w:tc>
        <w:tc>
          <w:tcPr>
            <w:tcW w:w="1966" w:type="dxa"/>
          </w:tcPr>
          <w:p>
            <w:pPr/>
            <w:r>
              <w:t xml:space="preserve">oklch(0.86 0.08 180)</w:t>
            </w:r>
          </w:p>
        </w:tc>
        <w:tc>
          <w:tcPr>
            <w:tcW w:w="1222" w:type="dxa"/>
          </w:tcPr>
          <w:p>
            <w:pPr/>
            <w:r>
              <w:t xml:space="preserve">#95E3D3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Centro (neutro)</w:t>
            </w:r>
          </w:p>
        </w:tc>
        <w:tc>
          <w:tcPr>
            <w:tcW w:w="2198" w:type="dxa"/>
          </w:tcPr>
          <w:p>
            <w:pPr/>
            <w:r>
              <w:t xml:space="preserve">nem bem nem mal</w:t>
            </w:r>
          </w:p>
        </w:tc>
        <w:tc>
          <w:tcPr>
            <w:tcW w:w="1817" w:type="dxa"/>
          </w:tcPr>
          <w:p>
            <w:pPr/>
            <w:r>
              <w:t xml:space="preserve">cinza quente</w:t>
            </w:r>
          </w:p>
        </w:tc>
        <w:tc>
          <w:tcPr>
            <w:tcW w:w="1966" w:type="dxa"/>
          </w:tcPr>
          <w:p>
            <w:pPr/>
            <w:r>
              <w:t xml:space="preserve">oklch(0.78 0.02 80)</w:t>
            </w:r>
          </w:p>
        </w:tc>
        <w:tc>
          <w:tcPr>
            <w:tcW w:w="1222" w:type="dxa"/>
          </w:tcPr>
          <w:p>
            <w:pPr/>
            <w:r>
              <w:t xml:space="preserve">#BEB6A9</w:t>
            </w:r>
          </w:p>
        </w:tc>
      </w:tr>
    </w:tbl>
    <w:p>
      <w:pPr/>
      <w:r>
        <w:t xml:space="preserve">As 5 cores são uma </w:t>
      </w:r>
      <w:r>
        <w:rPr>
          <w:b/>
        </w:rPr>
        <w:t xml:space="preserve">primeira versão</w:t>
      </w:r>
      <w:r>
        <w:t xml:space="preserve">: devem ser calibradas com o dataset aberto de Jonauskaite et al. e verificadas com testes de usuários na Itália e no Brasil.</w:t>
      </w:r>
    </w:p>
    <w:p>
      <w:pPr>
        <w:pStyle w:val="Heading2"/>
      </w:pPr>
      <w:r>
        <w:t xml:space="preserve">Especificações técnicas</w:t>
      </w:r>
    </w:p>
    <w:p>
      <w:pPr>
        <w:pStyle w:val="Heading3"/>
      </w:pPr>
      <w:r>
        <w:t xml:space="preserve">Entrada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valence</w:t>
      </w:r>
      <w:r>
        <w:t xml:space="preserve">: número de −1 (desagradável) a +1 (agradável), eixo X da grade.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arousal</w:t>
      </w:r>
      <w:r>
        <w:t xml:space="preserve">: número de −1 (calmo) a +1 (agitado), eixo Y da grade.</w:t>
      </w:r>
    </w:p>
    <w:p>
      <w:pPr>
        <w:pStyle w:val="ListParagraph"/>
        <w:numPr>
          <w:ilvl w:val="0"/>
          <w:numId w:val="4"/>
        </w:numPr>
      </w:pPr>
      <w:r>
        <w:t xml:space="preserve">Precisão: 2 casas decimais. O ponto inicial da grade é o centro (0, 0).</w:t>
      </w:r>
    </w:p>
    <w:p>
      <w:pPr>
        <w:pStyle w:val="Heading3"/>
      </w:pPr>
      <w:r>
        <w:t xml:space="preserve">Cálculo da cor</w:t>
      </w:r>
    </w:p>
    <w:p>
      <w:pPr/>
      <w:r>
        <w:t xml:space="preserve">Interpolar no espaço </w:t>
      </w:r>
      <w:r>
        <w:rPr>
          <w:b/>
        </w:rPr>
        <w:t xml:space="preserve">OKLab</w:t>
      </w:r>
      <w:r>
        <w:t xml:space="preserve"> (não RGB, não HSL), que é perceptualmente uniforme: as misturas ficam naturais e não passam por cinzas sujos. As conversões OKLCH ↔ OKLab estão disponíveis em bibliotecas padrão (ex. </w:t>
      </w:r>
      <w:r>
        <w:rPr>
          <w:rStyle w:val="CodeChar"/>
        </w:rPr>
        <w:t xml:space="preserve">culori</w:t>
      </w:r>
      <w:r>
        <w:t xml:space="preserve"> para JavaScript).</w:t>
      </w:r>
    </w:p>
    <w:p>
      <w:pPr>
        <w:pStyle w:val="Code"/>
      </w:pPr>
      <w:bookmarkStart w:id="1" w:name="bongo_lang_typescript_1"/>
      <w:bookmarkEnd w:id="1"/>
      <w:r>
        <w:t xml:space="preserve">// Âncoras em OKLCH [L, C, h]</w:t>
        <w:br/>
        <w:t xml:space="preserve">const ANCHORS = {</w:t>
        <w:br/>
        <w:t xml:space="preserve">  q1: [0.86, 0.14, 85],   // agradável + agitado</w:t>
        <w:br/>
        <w:t xml:space="preserve">  q2: [0.58, 0.15, 35],   // desagradável + agitado</w:t>
        <w:br/>
        <w:t xml:space="preserve">  q3: [0.45, 0.04, 255],  // desagradável + calmo</w:t>
        <w:br/>
        <w:t xml:space="preserve">  q4: [0.86, 0.08, 180],  // agradável + calmo</w:t>
        <w:br/>
        <w:t xml:space="preserve">  n:  [0.78, 0.02, 80],   // centro neutro</w:t>
        <w:br/>
        <w:t xml:space="preserve">};</w:t>
        <w:br/>
        <w:br/>
        <w:t xml:space="preserve">function moodColor(v: number, a: number) {</w:t>
        <w:br/>
        <w:t xml:space="preserve">  const u = (v + 1) / 2;                    // 0 = desagradável, 1 = agradável</w:t>
        <w:br/>
        <w:t xml:space="preserve">  const w = (a + 1) / 2;                    // 0 = calmo, 1 = agitado</w:t>
        <w:br/>
        <w:t xml:space="preserve">  const calm   = mixOklab(ANCHORS.q3, ANCHORS.q4, u);</w:t>
        <w:br/>
        <w:t xml:space="preserve">  const active = mixOklab(ANCHORS.q2, ANCHORS.q1, u);</w:t>
        <w:br/>
        <w:t xml:space="preserve">  const edge   = mixOklab(calm, active, w);</w:t>
        <w:br/>
        <w:t xml:space="preserve">  const r = Math.min(1, Math.hypot(v, a)); // distância do centro</w:t>
        <w:br/>
        <w:t xml:space="preserve">  const color = mixOklab(ANCHORS.n, edge, r);</w:t>
        <w:br/>
        <w:t xml:space="preserve">  return capChroma(color, 0.15);            // teto de saturação</w:t>
        <w:br/>
        <w:t xml:space="preserve">}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Transição:</w:t>
      </w:r>
      <w:r>
        <w:t xml:space="preserve"> cada mudança de cor é animada em cerca de 1,5 segundo, nunca de forma brusca.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Durante a sessão:</w:t>
      </w:r>
      <w:r>
        <w:t xml:space="preserve"> mesma cor com saturação pela metade (C × 0,5).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Texto sobre a cor:</w:t>
      </w:r>
      <w:r>
        <w:t xml:space="preserve"> se L ≥ 0,65, texto escuro; caso contrário, texto claro.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Acessibilidade:</w:t>
      </w:r>
      <w:r>
        <w:t xml:space="preserve"> a cor nunca é a única informação; a palavra escolhida é sempre exibida.</w:t>
      </w:r>
    </w:p>
    <w:p>
      <w:pPr>
        <w:pStyle w:val="Heading3"/>
      </w:pPr>
      <w:r>
        <w:t xml:space="preserve">Palavras por quadrante</w:t>
      </w:r>
    </w:p>
    <w:p>
      <w:pPr/>
      <w:r>
        <w:t xml:space="preserve">As 4 palavras do quadrante tocado aparecem depois da grade. Na zona central (distância do centro &lt; 0,25) acrescenta-se "Neutro(a)" / "Neutro/a". O idioma é sempre o mesmo do app.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64"/>
        <w:gridCol w:w="3559"/>
        <w:gridCol w:w="3137"/>
      </w:tblGrid>
      <w:tr>
        <w:trPr>
          <w:tblHeader/>
        </w:trPr>
        <w:tc>
          <w:tcPr>
            <w:tcW w:w="2664" w:type="dxa"/>
            <w:shd w:val="clear" w:color="auto" w:fill="F2F2F2"/>
          </w:tcPr>
          <w:p>
            <w:pPr/>
            <w:r>
              <w:t xml:space="preserve">Quadrante</w:t>
            </w:r>
          </w:p>
        </w:tc>
        <w:tc>
          <w:tcPr>
            <w:tcW w:w="3559" w:type="dxa"/>
            <w:shd w:val="clear" w:color="auto" w:fill="F2F2F2"/>
          </w:tcPr>
          <w:p>
            <w:pPr/>
            <w:r>
              <w:t xml:space="preserve">Português (BR)</w:t>
            </w:r>
          </w:p>
        </w:tc>
        <w:tc>
          <w:tcPr>
            <w:tcW w:w="3137" w:type="dxa"/>
            <w:shd w:val="clear" w:color="auto" w:fill="F2F2F2"/>
          </w:tcPr>
          <w:p>
            <w:pPr/>
            <w:r>
              <w:t xml:space="preserve">Italiano</w:t>
            </w:r>
          </w:p>
        </w:tc>
      </w:tr>
      <w:tr>
        <w:tc>
          <w:tcPr>
            <w:tcW w:w="2664" w:type="dxa"/>
          </w:tcPr>
          <w:p>
            <w:pPr/>
            <w:r>
              <w:t xml:space="preserve">Agradável + agitado</w:t>
            </w:r>
          </w:p>
        </w:tc>
        <w:tc>
          <w:tcPr>
            <w:tcW w:w="3559" w:type="dxa"/>
          </w:tcPr>
          <w:p>
            <w:pPr/>
            <w:r>
              <w:t xml:space="preserve">Alegre, Entusiasmado(a), Energizado(a), Inspirado(a)</w:t>
            </w:r>
          </w:p>
        </w:tc>
        <w:tc>
          <w:tcPr>
            <w:tcW w:w="3137" w:type="dxa"/>
          </w:tcPr>
          <w:p>
            <w:pPr/>
            <w:r>
              <w:t xml:space="preserve">Gioioso/a, Entusiasta, Energico/a, Ispirato/a</w:t>
            </w:r>
          </w:p>
        </w:tc>
      </w:tr>
      <w:tr>
        <w:tc>
          <w:tcPr>
            <w:tcW w:w="2664" w:type="dxa"/>
          </w:tcPr>
          <w:p>
            <w:pPr/>
            <w:r>
              <w:t xml:space="preserve">Desagradável + agitado</w:t>
            </w:r>
          </w:p>
        </w:tc>
        <w:tc>
          <w:tcPr>
            <w:tcW w:w="3559" w:type="dxa"/>
          </w:tcPr>
          <w:p>
            <w:pPr/>
            <w:r>
              <w:t xml:space="preserve">Ansioso(a), Tenso(a), Irritado(a), Sobrecarregado(a)</w:t>
            </w:r>
          </w:p>
        </w:tc>
        <w:tc>
          <w:tcPr>
            <w:tcW w:w="3137" w:type="dxa"/>
          </w:tcPr>
          <w:p>
            <w:pPr/>
            <w:r>
              <w:t xml:space="preserve">Ansioso/a, Teso/a, Irritato/a, Sopraffatto/a</w:t>
            </w:r>
          </w:p>
        </w:tc>
      </w:tr>
      <w:tr>
        <w:tc>
          <w:tcPr>
            <w:tcW w:w="2664" w:type="dxa"/>
          </w:tcPr>
          <w:p>
            <w:pPr/>
            <w:r>
              <w:t xml:space="preserve">Desagradável + calmo</w:t>
            </w:r>
          </w:p>
        </w:tc>
        <w:tc>
          <w:tcPr>
            <w:tcW w:w="3559" w:type="dxa"/>
          </w:tcPr>
          <w:p>
            <w:pPr/>
            <w:r>
              <w:t xml:space="preserve">Triste, Cansado(a), Desanimado(a), Vazio(a)</w:t>
            </w:r>
          </w:p>
        </w:tc>
        <w:tc>
          <w:tcPr>
            <w:tcW w:w="3137" w:type="dxa"/>
          </w:tcPr>
          <w:p>
            <w:pPr/>
            <w:r>
              <w:t xml:space="preserve">Triste, Stanco/a, Scoraggiato/a, Vuoto/a</w:t>
            </w:r>
          </w:p>
        </w:tc>
      </w:tr>
      <w:tr>
        <w:tc>
          <w:tcPr>
            <w:tcW w:w="2664" w:type="dxa"/>
          </w:tcPr>
          <w:p>
            <w:pPr/>
            <w:r>
              <w:t xml:space="preserve">Agradável + calmo</w:t>
            </w:r>
          </w:p>
        </w:tc>
        <w:tc>
          <w:tcPr>
            <w:tcW w:w="3559" w:type="dxa"/>
          </w:tcPr>
          <w:p>
            <w:pPr/>
            <w:r>
              <w:t xml:space="preserve">Calmo(a), Sereno(a), Relaxado(a), Grato(a)</w:t>
            </w:r>
          </w:p>
        </w:tc>
        <w:tc>
          <w:tcPr>
            <w:tcW w:w="3137" w:type="dxa"/>
          </w:tcPr>
          <w:p>
            <w:pPr/>
            <w:r>
              <w:t xml:space="preserve">Calmo/a, Sereno/a, Rilassato/a, Grato/a</w:t>
            </w:r>
          </w:p>
        </w:tc>
      </w:tr>
    </w:tbl>
    <w:p>
      <w:pPr>
        <w:pStyle w:val="Heading3"/>
      </w:pPr>
      <w:r>
        <w:t xml:space="preserve">Dados a salvar em cada check-in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29"/>
        <w:gridCol w:w="2157"/>
        <w:gridCol w:w="5173"/>
      </w:tblGrid>
      <w:tr>
        <w:trPr>
          <w:tblHeader/>
        </w:trPr>
        <w:tc>
          <w:tcPr>
            <w:tcW w:w="2029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15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5173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2157" w:type="dxa"/>
          </w:tcPr>
          <w:p>
            <w:pPr/>
            <w:r>
              <w:t xml:space="preserve">UUID</w:t>
            </w:r>
          </w:p>
        </w:tc>
        <w:tc>
          <w:tcPr>
            <w:tcW w:w="5173" w:type="dxa"/>
          </w:tcPr>
          <w:p>
            <w:pPr/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user_id</w:t>
            </w:r>
          </w:p>
        </w:tc>
        <w:tc>
          <w:tcPr>
            <w:tcW w:w="2157" w:type="dxa"/>
          </w:tcPr>
          <w:p>
            <w:pPr/>
            <w:r>
              <w:t xml:space="preserve">UUID</w:t>
            </w:r>
          </w:p>
        </w:tc>
        <w:tc>
          <w:tcPr>
            <w:tcW w:w="5173" w:type="dxa"/>
          </w:tcPr>
          <w:p>
            <w:pPr/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created_at</w:t>
            </w:r>
          </w:p>
        </w:tc>
        <w:tc>
          <w:tcPr>
            <w:tcW w:w="2157" w:type="dxa"/>
          </w:tcPr>
          <w:p>
            <w:pPr/>
            <w:r>
              <w:t xml:space="preserve">timestamp UTC</w:t>
            </w:r>
          </w:p>
        </w:tc>
        <w:tc>
          <w:tcPr>
            <w:tcW w:w="5173" w:type="dxa"/>
          </w:tcPr>
          <w:p>
            <w:pPr/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context</w:t>
            </w:r>
          </w:p>
        </w:tc>
        <w:tc>
          <w:tcPr>
            <w:tcW w:w="2157" w:type="dxa"/>
          </w:tcPr>
          <w:p>
            <w:pPr/>
            <w:r>
              <w:t xml:space="preserve">enum</w:t>
            </w:r>
          </w:p>
        </w:tc>
        <w:tc>
          <w:tcPr>
            <w:tcW w:w="5173" w:type="dxa"/>
          </w:tcPr>
          <w:p>
            <w:pPr/>
            <w:r>
              <w:rPr>
                <w:rStyle w:val="CodeChar"/>
              </w:rPr>
              <w:t xml:space="preserve">pre_session</w:t>
            </w:r>
            <w:r>
              <w:t xml:space="preserve">, </w:t>
            </w:r>
            <w:r>
              <w:rPr>
                <w:rStyle w:val="CodeChar"/>
              </w:rPr>
              <w:t xml:space="preserve">post_session</w:t>
            </w:r>
            <w:r>
              <w:t xml:space="preserve">, </w:t>
            </w:r>
            <w:r>
              <w:rPr>
                <w:rStyle w:val="CodeChar"/>
              </w:rPr>
              <w:t xml:space="preserve">standalone</w:t>
            </w:r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session_id</w:t>
            </w:r>
          </w:p>
        </w:tc>
        <w:tc>
          <w:tcPr>
            <w:tcW w:w="2157" w:type="dxa"/>
          </w:tcPr>
          <w:p>
            <w:pPr/>
            <w:r>
              <w:t xml:space="preserve">UUID, opcional</w:t>
            </w:r>
          </w:p>
        </w:tc>
        <w:tc>
          <w:tcPr>
            <w:tcW w:w="5173" w:type="dxa"/>
          </w:tcPr>
          <w:p>
            <w:pPr/>
            <w:r>
              <w:t xml:space="preserve">liga o antes e o depois da mesma sessão</w:t>
            </w:r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protocol_code</w:t>
            </w:r>
          </w:p>
        </w:tc>
        <w:tc>
          <w:tcPr>
            <w:tcW w:w="2157" w:type="dxa"/>
          </w:tcPr>
          <w:p>
            <w:pPr/>
            <w:r>
              <w:t xml:space="preserve">string, opcional</w:t>
            </w:r>
          </w:p>
        </w:tc>
        <w:tc>
          <w:tcPr>
            <w:tcW w:w="5173" w:type="dxa"/>
          </w:tcPr>
          <w:p>
            <w:pPr/>
            <w:r>
              <w:t xml:space="preserve">ex. </w:t>
            </w:r>
            <w:r>
              <w:rPr>
                <w:rStyle w:val="CodeChar"/>
              </w:rPr>
              <w:t xml:space="preserve">GL-ANX 1.1</w:t>
            </w:r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valence</w:t>
            </w:r>
          </w:p>
        </w:tc>
        <w:tc>
          <w:tcPr>
            <w:tcW w:w="2157" w:type="dxa"/>
          </w:tcPr>
          <w:p>
            <w:pPr/>
            <w:r>
              <w:t xml:space="preserve">decimal −1…+1</w:t>
            </w:r>
          </w:p>
        </w:tc>
        <w:tc>
          <w:tcPr>
            <w:tcW w:w="5173" w:type="dxa"/>
          </w:tcPr>
          <w:p>
            <w:pPr/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arousal</w:t>
            </w:r>
          </w:p>
        </w:tc>
        <w:tc>
          <w:tcPr>
            <w:tcW w:w="2157" w:type="dxa"/>
          </w:tcPr>
          <w:p>
            <w:pPr/>
            <w:r>
              <w:t xml:space="preserve">decimal −1…+1</w:t>
            </w:r>
          </w:p>
        </w:tc>
        <w:tc>
          <w:tcPr>
            <w:tcW w:w="5173" w:type="dxa"/>
          </w:tcPr>
          <w:p>
            <w:pPr/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label_id</w:t>
            </w:r>
          </w:p>
        </w:tc>
        <w:tc>
          <w:tcPr>
            <w:tcW w:w="2157" w:type="dxa"/>
          </w:tcPr>
          <w:p>
            <w:pPr/>
            <w:r>
              <w:t xml:space="preserve">string, opcional</w:t>
            </w:r>
          </w:p>
        </w:tc>
        <w:tc>
          <w:tcPr>
            <w:tcW w:w="5173" w:type="dxa"/>
          </w:tcPr>
          <w:p>
            <w:pPr/>
            <w:r>
              <w:t xml:space="preserve">vazio se o usuário pulou</w:t>
            </w:r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locale</w:t>
            </w:r>
          </w:p>
        </w:tc>
        <w:tc>
          <w:tcPr>
            <w:tcW w:w="2157" w:type="dxa"/>
          </w:tcPr>
          <w:p>
            <w:pPr/>
            <w:r>
              <w:t xml:space="preserve">string</w:t>
            </w:r>
          </w:p>
        </w:tc>
        <w:tc>
          <w:tcPr>
            <w:tcW w:w="5173" w:type="dxa"/>
          </w:tcPr>
          <w:p>
            <w:pPr/>
            <w:r>
              <w:rPr>
                <w:rStyle w:val="CodeChar"/>
              </w:rPr>
              <w:t xml:space="preserve">it-IT</w:t>
            </w:r>
            <w:r>
              <w:t xml:space="preserve">, </w:t>
            </w:r>
            <w:r>
              <w:rPr>
                <w:rStyle w:val="CodeChar"/>
              </w:rPr>
              <w:t xml:space="preserve">pt-BR</w:t>
            </w:r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color_oklch</w:t>
            </w:r>
          </w:p>
        </w:tc>
        <w:tc>
          <w:tcPr>
            <w:tcW w:w="2157" w:type="dxa"/>
          </w:tcPr>
          <w:p>
            <w:pPr/>
            <w:r>
              <w:t xml:space="preserve">string</w:t>
            </w:r>
          </w:p>
        </w:tc>
        <w:tc>
          <w:tcPr>
            <w:tcW w:w="5173" w:type="dxa"/>
          </w:tcPr>
          <w:p>
            <w:pPr/>
            <w:r>
              <w:t xml:space="preserve">cor exibida, para análise</w:t>
            </w:r>
          </w:p>
        </w:tc>
      </w:tr>
      <w:tr>
        <w:tc>
          <w:tcPr>
            <w:tcW w:w="2029" w:type="dxa"/>
          </w:tcPr>
          <w:p>
            <w:pPr/>
            <w:r>
              <w:rPr>
                <w:rStyle w:val="CodeChar"/>
              </w:rPr>
              <w:t xml:space="preserve">variant</w:t>
            </w:r>
          </w:p>
        </w:tc>
        <w:tc>
          <w:tcPr>
            <w:tcW w:w="2157" w:type="dxa"/>
          </w:tcPr>
          <w:p>
            <w:pPr/>
            <w:r>
              <w:t xml:space="preserve">enum</w:t>
            </w:r>
          </w:p>
        </w:tc>
        <w:tc>
          <w:tcPr>
            <w:tcW w:w="5173" w:type="dxa"/>
          </w:tcPr>
          <w:p>
            <w:pPr/>
            <w:r>
              <w:rPr>
                <w:rStyle w:val="CodeChar"/>
              </w:rPr>
              <w:t xml:space="preserve">color</w:t>
            </w:r>
            <w:r>
              <w:t xml:space="preserve"> / </w:t>
            </w:r>
            <w:r>
              <w:rPr>
                <w:rStyle w:val="CodeChar"/>
              </w:rPr>
              <w:t xml:space="preserve">no_color</w:t>
            </w:r>
            <w:r>
              <w:t xml:space="preserve">, para o piloto</w:t>
            </w:r>
          </w:p>
        </w:tc>
      </w:tr>
    </w:tbl>
    <w:p>
      <w:pPr/>
      <w:r>
        <w:rPr>
          <w:b/>
        </w:rPr>
        <w:t xml:space="preserve">Privacidade:</w:t>
      </w:r>
      <w:r>
        <w:t xml:space="preserve"> os dados de humor podem ser considerados dados de saúde (GDPR art. 9) e dados pessoais sensíveis (LGPD). A verificar com o consultor jurídico antes do lançamento, junto com o consentimento a pedir ao usuário.</w:t>
      </w:r>
    </w:p>
    <w:p>
      <w:pPr>
        <w:pStyle w:val="Heading2"/>
      </w:pPr>
      <w:r>
        <w:t xml:space="preserve">O que podemos afirmar</w:t>
      </w:r>
    </w:p>
    <w:p>
      <w:pPr/>
      <w:r>
        <w:t xml:space="preserve">Na comunicação (site, materiais B2B, app) usamos apenas afirmações sustentadas pela pesquisa.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Sim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Não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"Um check-in emocional guiado que ajuda você a reconhecer e dar nome ao que sente"</w:t>
            </w:r>
          </w:p>
        </w:tc>
        <w:tc>
          <w:tcPr>
            <w:tcW w:w="4440" w:type="dxa"/>
          </w:tcPr>
          <w:p>
            <w:pPr/>
            <w:r>
              <w:t xml:space="preserve">"A cor melhora o seu humor"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"Reconhecer e nomear as emoções é uma forma comprovada de regulá-las"</w:t>
            </w:r>
          </w:p>
        </w:tc>
        <w:tc>
          <w:tcPr>
            <w:tcW w:w="4440" w:type="dxa"/>
          </w:tcPr>
          <w:p>
            <w:pPr/>
            <w:r>
              <w:t xml:space="preserve">"Cromoterapia" ou "terapia das cores"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"Veja como o seu estado muda antes e depois de cada sessão"</w:t>
            </w:r>
          </w:p>
        </w:tc>
        <w:tc>
          <w:tcPr>
            <w:tcW w:w="4440" w:type="dxa"/>
          </w:tcPr>
          <w:p>
            <w:pPr/>
            <w:r>
              <w:t xml:space="preserve">Qualquer promessa de efeito clínico da cor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"Cores baseadas em pesquisas internacionais sobre a associação emoção-cor"</w:t>
            </w:r>
          </w:p>
        </w:tc>
        <w:tc>
          <w:tcPr>
            <w:tcW w:w="4440" w:type="dxa"/>
          </w:tcPr>
          <w:p>
            <w:pPr/>
            <w:r>
              <w:t xml:space="preserve">"A roda das emoções de Plutchik" como base científica</w:t>
            </w:r>
          </w:p>
        </w:tc>
      </w:tr>
    </w:tbl>
    <w:p>
      <w:pPr/>
      <w:r>
        <w:t xml:space="preserve">Se o piloto confirmar um efeito da cor, a coluna "Sim" poderá ser atualizada com os nossos dados.</w:t>
      </w:r>
    </w:p>
    <w:p>
      <w:pPr>
        <w:pStyle w:val="Heading2"/>
      </w:pPr>
      <w:r>
        <w:t xml:space="preserve">Validação: piloto A/B</w:t>
      </w:r>
    </w:p>
    <w:p>
      <w:pPr/>
      <w:r>
        <w:t xml:space="preserve">O piloto transforma a hipótese sobre a cor em um dado nosso e mede a eficácia dos protocolos. Usa os mesmos dados do check-in, sem trabalho adicional para o usuário.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Grupo A:</w:t>
      </w:r>
      <w:r>
        <w:t xml:space="preserve"> check-in com cor.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Grupo B:</w:t>
      </w:r>
      <w:r>
        <w:t xml:space="preserve"> check-in idêntico, mas com fundo cinza neutro fixo.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Atribuição:</w:t>
      </w:r>
      <w:r>
        <w:t xml:space="preserve"> aleatória no primeiro acesso, salva no campo </w:t>
      </w:r>
      <w:r>
        <w:rPr>
          <w:rStyle w:val="CodeChar"/>
        </w:rPr>
        <w:t xml:space="preserve">variant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Duração proposta:</w:t>
      </w:r>
      <w:r>
        <w:t xml:space="preserve"> 4 semanas.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Medidas:</w:t>
      </w:r>
    </w:p>
    <w:p>
      <w:pPr>
        <w:pStyle w:val="ListParagraph"/>
        <w:numPr>
          <w:ilvl w:val="1"/>
          <w:numId w:val="7"/>
        </w:numPr>
      </w:pPr>
      <w:r>
        <w:t xml:space="preserve">variação de valência e ativação entre antes e depois da sessão;</w:t>
      </w:r>
    </w:p>
    <w:p>
      <w:pPr>
        <w:pStyle w:val="ListParagraph"/>
        <w:numPr>
          <w:ilvl w:val="1"/>
          <w:numId w:val="7"/>
        </w:numPr>
      </w:pPr>
      <w:r>
        <w:t xml:space="preserve">porcentagem de check-ins concluídos com a palavra escolhida;</w:t>
      </w:r>
    </w:p>
    <w:p>
      <w:pPr>
        <w:pStyle w:val="ListParagraph"/>
        <w:numPr>
          <w:ilvl w:val="1"/>
          <w:numId w:val="7"/>
        </w:numPr>
      </w:pPr>
      <w:r>
        <w:t xml:space="preserve">sessões por usuário por semana (retorno ao app).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Número de participantes:</w:t>
      </w:r>
      <w:r>
        <w:t xml:space="preserve"> a definir com um consultor estatístico, com base no efeito esperado.</w:t>
      </w:r>
    </w:p>
    <w:p>
      <w:pPr/>
      <w:r>
        <w:t xml:space="preserve">A mesma comparação antes/depois, por protocolo, mostra quais sessões Good Loop produzem a maior mudança.</w:t>
      </w:r>
    </w:p>
    <w:p>
      <w:pPr>
        <w:pStyle w:val="Heading2"/>
      </w:pPr>
      <w:r>
        <w:t xml:space="preserve">Decisões em aberto</w:t>
      </w:r>
    </w:p>
    <w:p>
      <w:pPr>
        <w:pStyle w:val="ListParagraph"/>
        <w:numPr>
          <w:ilvl w:val="0"/>
          <w:numId w:val="8"/>
        </w:numPr>
      </w:pPr>
      <w:r>
        <w:t xml:space="preserve">☐ O check-in é obrigatório em cada sessão ou opcional?</w:t>
      </w:r>
    </w:p>
    <w:p>
      <w:pPr>
        <w:pStyle w:val="ListParagraph"/>
        <w:numPr>
          <w:ilvl w:val="0"/>
          <w:numId w:val="8"/>
        </w:numPr>
      </w:pPr>
      <w:r>
        <w:t xml:space="preserve">☐ Durante a sessão, a cor fica fixa (espelho) ou se move gradualmente rumo a "calmo e agradável" (acompanhamento)? A segunda opção é uma hipótese a testar no piloto.</w:t>
      </w:r>
    </w:p>
    <w:p>
      <w:pPr>
        <w:pStyle w:val="ListParagraph"/>
        <w:numPr>
          <w:ilvl w:val="0"/>
          <w:numId w:val="8"/>
        </w:numPr>
      </w:pPr>
      <w:r>
        <w:t xml:space="preserve">☐ Os dados agregados de antes/depois são mostrados aos clientes B2B (empresas) de forma anônima?</w:t>
      </w:r>
    </w:p>
    <w:p>
      <w:pPr>
        <w:pStyle w:val="ListParagraph"/>
        <w:numPr>
          <w:ilvl w:val="0"/>
          <w:numId w:val="8"/>
        </w:numPr>
      </w:pPr>
      <w:r>
        <w:t xml:space="preserve">☐ Quem verifica os aspectos de GDPR/LGPD e o texto do consentimento?</w:t>
      </w:r>
    </w:p>
    <w:p>
      <w:pPr>
        <w:pStyle w:val="ListParagraph"/>
        <w:numPr>
          <w:ilvl w:val="0"/>
          <w:numId w:val="8"/>
        </w:numPr>
      </w:pPr>
      <w:r>
        <w:t xml:space="preserve">☐ Iniciamos o piloto A/B já na primeira versão do app ou depois do lançamento?</w:t>
      </w:r>
    </w:p>
    <w:p>
      <w:pPr>
        <w:pStyle w:val="Heading2"/>
      </w:pPr>
      <w:r>
        <w:t xml:space="preserve">Fontes</w:t>
      </w:r>
    </w:p>
    <w:p>
      <w:pPr>
        <w:pStyle w:val="ListParagraph"/>
        <w:numPr>
          <w:ilvl w:val="0"/>
          <w:numId w:val="9"/>
        </w:numPr>
      </w:pPr>
      <w:r>
        <w:t xml:space="preserve">Lieberman et al. (2007), </w:t>
      </w:r>
      <w:r>
        <w:rPr>
          <w:i/>
        </w:rPr>
        <w:t xml:space="preserve">Putting feelings into words</w:t>
      </w:r>
      <w:r>
        <w:t xml:space="preserve">, Psychological Science — </w:t>
      </w:r>
      <w:hyperlink r:id="rId3" w:history="1">
        <w:r>
          <w:rPr>
            <w:rStyle w:val="Hyperlink"/>
          </w:rPr>
          <w:t xml:space="preserve">ficha</w:t>
        </w:r>
      </w:hyperlink>
    </w:p>
    <w:p>
      <w:pPr>
        <w:pStyle w:val="ListParagraph"/>
        <w:numPr>
          <w:ilvl w:val="0"/>
          <w:numId w:val="9"/>
        </w:numPr>
      </w:pPr>
      <w:r>
        <w:t xml:space="preserve">Torre &amp; Lieberman (2018), </w:t>
      </w:r>
      <w:r>
        <w:rPr>
          <w:i/>
        </w:rPr>
        <w:t xml:space="preserve">Affect labeling as implicit emotion regulation</w:t>
      </w:r>
      <w:r>
        <w:t xml:space="preserve">, Emotion Review — </w:t>
      </w:r>
      <w:hyperlink r:id="rId4" w:history="1">
        <w:r>
          <w:rPr>
            <w:rStyle w:val="Hyperlink"/>
          </w:rPr>
          <w:t xml:space="preserve">resumo</w:t>
        </w:r>
      </w:hyperlink>
    </w:p>
    <w:p>
      <w:pPr>
        <w:pStyle w:val="ListParagraph"/>
        <w:numPr>
          <w:ilvl w:val="0"/>
          <w:numId w:val="9"/>
        </w:numPr>
      </w:pPr>
      <w:r>
        <w:t xml:space="preserve">Jonauskaite et al. (2020), </w:t>
      </w:r>
      <w:r>
        <w:rPr>
          <w:i/>
        </w:rPr>
        <w:t xml:space="preserve">Universal patterns in color-emotion associations</w:t>
      </w:r>
      <w:r>
        <w:t xml:space="preserve">, Psychological Science — </w:t>
      </w:r>
      <w:hyperlink r:id="rId5" w:history="1">
        <w:r>
          <w:rPr>
            <w:rStyle w:val="Hyperlink"/>
          </w:rPr>
          <w:t xml:space="preserve">artigo</w:t>
        </w:r>
      </w:hyperlink>
    </w:p>
    <w:p>
      <w:pPr>
        <w:pStyle w:val="ListParagraph"/>
        <w:numPr>
          <w:ilvl w:val="0"/>
          <w:numId w:val="9"/>
        </w:numPr>
      </w:pPr>
      <w:r>
        <w:t xml:space="preserve">Valdez &amp; Mehrabian (1994), </w:t>
      </w:r>
      <w:r>
        <w:rPr>
          <w:i/>
        </w:rPr>
        <w:t xml:space="preserve">Effects of color on emotions</w:t>
      </w:r>
      <w:r>
        <w:t xml:space="preserve">, J. Exp. Psychology: General — </w:t>
      </w:r>
      <w:hyperlink r:id="rId6" w:history="1">
        <w:r>
          <w:rPr>
            <w:rStyle w:val="Hyperlink"/>
          </w:rPr>
          <w:t xml:space="preserve">PubMed</w:t>
        </w:r>
      </w:hyperlink>
    </w:p>
    <w:p>
      <w:pPr>
        <w:pStyle w:val="ListParagraph"/>
        <w:numPr>
          <w:ilvl w:val="0"/>
          <w:numId w:val="9"/>
        </w:numPr>
      </w:pPr>
      <w:r>
        <w:t xml:space="preserve">Wilms &amp; Oberfeld (2018), </w:t>
      </w:r>
      <w:r>
        <w:rPr>
          <w:i/>
        </w:rPr>
        <w:t xml:space="preserve">Color and emotion: effects of hue, saturation, and brightness</w:t>
      </w:r>
      <w:r>
        <w:t xml:space="preserve">, Psychological Research — </w:t>
      </w:r>
      <w:hyperlink r:id="rId7" w:history="1">
        <w:r>
          <w:rPr>
            <w:rStyle w:val="Hyperlink"/>
          </w:rPr>
          <w:t xml:space="preserve">PDF</w:t>
        </w:r>
      </w:hyperlink>
    </w:p>
    <w:p>
      <w:pPr>
        <w:pStyle w:val="ListParagraph"/>
        <w:numPr>
          <w:ilvl w:val="0"/>
          <w:numId w:val="9"/>
        </w:numPr>
      </w:pPr>
      <w:r>
        <w:t xml:space="preserve">Elliot (2015), </w:t>
      </w:r>
      <w:r>
        <w:rPr>
          <w:i/>
        </w:rPr>
        <w:t xml:space="preserve">Color and psychological functioning: a review</w:t>
      </w:r>
      <w:r>
        <w:t xml:space="preserve">, Frontiers in Psychology — </w:t>
      </w:r>
      <w:hyperlink r:id="rId8" w:history="1">
        <w:r>
          <w:rPr>
            <w:rStyle w:val="Hyperlink"/>
          </w:rPr>
          <w:t xml:space="preserve">PDF</w:t>
        </w:r>
      </w:hyperlink>
    </w:p>
    <w:p>
      <w:pPr>
        <w:pStyle w:val="ListParagraph"/>
        <w:numPr>
          <w:ilvl w:val="0"/>
          <w:numId w:val="9"/>
        </w:numPr>
      </w:pPr>
      <w:r>
        <w:t xml:space="preserve">Restrição sobre língua não nativa — </w:t>
      </w:r>
      <w:hyperlink r:id="rId9" w:history="1">
        <w:r>
          <w:rPr>
            <w:rStyle w:val="Hyperlink"/>
          </w:rPr>
          <w:t xml:space="preserve">Psychology Today</w:t>
        </w:r>
      </w:hyperlink>
    </w:p>
    <w:p>
      <w:pPr>
        <w:pStyle w:val="ListParagraph"/>
        <w:numPr>
          <w:ilvl w:val="0"/>
          <w:numId w:val="9"/>
        </w:numPr>
      </w:pPr>
      <w:r>
        <w:t xml:space="preserve">Modelo circumplexo (Russell, 1980): referência clássica, não consultada diretamente.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ollaborate.princeton.edu/en/publications/putting-feelings-into-words-affect-labeling-disrupts-amygdala-act/" TargetMode="External"/><Relationship Id="rId4" Type="http://schemas.openxmlformats.org/officeDocument/2006/relationships/hyperlink" Target="https://www.instituteofcoaching.org/node/36688" TargetMode="External"/><Relationship Id="rId5" Type="http://schemas.openxmlformats.org/officeDocument/2006/relationships/hyperlink" Target="https://eprints.whiterose.ac.uk/169496" TargetMode="External"/><Relationship Id="rId6" Type="http://schemas.openxmlformats.org/officeDocument/2006/relationships/hyperlink" Target="https://pubmed.ncbi.nlm.nih.gov/7996122/" TargetMode="External"/><Relationship Id="rId7" Type="http://schemas.openxmlformats.org/officeDocument/2006/relationships/hyperlink" Target="https://www.staff.uni-mainz.de/oberfeld/downloads/Wilms-Oberfeld2018_Article_ColorAndEmotionEffectsOfHueSat.pdf" TargetMode="External"/><Relationship Id="rId8" Type="http://schemas.openxmlformats.org/officeDocument/2006/relationships/hyperlink" Target="https://www.frontiersin.org/articles/10.3389/fpsyg.2015.00368/pdf" TargetMode="External"/><Relationship Id="rId9" Type="http://schemas.openxmlformats.org/officeDocument/2006/relationships/hyperlink" Target="https://www.psychologytoday.com/us/blog/between-cultures/202109/why-it-helps-to-put-your-feelings-into-word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Good Loop – Check-in emocional em cores</dc:title>
  <dc:description>Claude Docs node/72c6a318-932a@9 docx-w7</dc:description>
  <cp:revision>9</cp:revision>
</cp:coreProperties>
</file>