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visitor-monitoring-and-reporting"/>
      <w:r>
        <w:t xml:space="preserve">Visitor – Monitoring and Reporting</w:t>
      </w:r>
      <w:bookmarkEnd w:id="20"/>
    </w:p>
    <w:p>
      <w:pPr>
        <w:pStyle w:val="FirstParagraph"/>
      </w:pPr>
      <w:r>
        <w:t xml:space="preserve">TIVIDY needs to produce views over a running workflow, such as progress, overdue work and audit summaries, and every organisation wants different ones. Each report has to walk the whole tree of stages and work items and do something different for each kind. If every report were an operation on WorkFlowComponent, WorkItem and Stage, the core model would have to be edited each time a new report is needed, and reporting code would sit inside the classes that run the workflow.</w:t>
      </w:r>
    </w:p>
    <w:p>
      <w:pPr>
        <w:pStyle w:val="Heading2"/>
      </w:pPr>
      <w:bookmarkStart w:id="21" w:name="participants"/>
      <w:r>
        <w:t xml:space="preserve">Participants:</w:t>
      </w:r>
      <w:bookmarkEnd w:id="21"/>
    </w:p>
    <w:p>
      <w:pPr>
        <w:numPr>
          <w:ilvl w:val="0"/>
          <w:numId w:val="1001"/>
        </w:numPr>
        <w:pStyle w:val="Compact"/>
      </w:pPr>
      <w:r>
        <w:t xml:space="preserve">Visitor: WorkflowVisitor (Interface) – declares visitWorkItem(WorkItem) and visitStage(Stage).</w:t>
      </w:r>
    </w:p>
    <w:p>
      <w:pPr>
        <w:numPr>
          <w:ilvl w:val="0"/>
          <w:numId w:val="1001"/>
        </w:numPr>
        <w:pStyle w:val="Compact"/>
      </w:pPr>
      <w:r>
        <w:t xml:space="preserve">ConcreteVisitor: ProgressReportVisitor, OverdueWorkVisitor, AuditReportVisitor</w:t>
      </w:r>
    </w:p>
    <w:p>
      <w:pPr>
        <w:numPr>
          <w:ilvl w:val="0"/>
          <w:numId w:val="1001"/>
        </w:numPr>
        <w:pStyle w:val="Compact"/>
      </w:pPr>
      <w:r>
        <w:t xml:space="preserve">Element: WorkFlowComponent – declares accept(WorkflowVisitor).</w:t>
      </w:r>
    </w:p>
    <w:p>
      <w:pPr>
        <w:numPr>
          <w:ilvl w:val="0"/>
          <w:numId w:val="1001"/>
        </w:numPr>
        <w:pStyle w:val="Compact"/>
      </w:pPr>
      <w:r>
        <w:t xml:space="preserve">ConcreteElement: WorkItem, Stage</w:t>
      </w:r>
    </w:p>
    <w:p>
      <w:pPr>
        <w:numPr>
          <w:ilvl w:val="0"/>
          <w:numId w:val="1001"/>
        </w:numPr>
        <w:pStyle w:val="Compact"/>
      </w:pPr>
      <w:r>
        <w:t xml:space="preserve">ObjectStructure: WorkflowInstance – owns the root of the work tree.</w:t>
      </w:r>
    </w:p>
    <w:p>
      <w:pPr>
        <w:numPr>
          <w:ilvl w:val="0"/>
          <w:numId w:val="1001"/>
        </w:numPr>
        <w:pStyle w:val="Compact"/>
      </w:pPr>
      <w:r>
        <w:t xml:space="preserve">Client: MonitoringService – creates a visitor and hands it to a WorkflowInstance.</w:t>
      </w:r>
    </w:p>
    <w:p>
      <w:pPr>
        <w:pStyle w:val="FirstParagraph"/>
      </w:pPr>
      <w:r>
        <w:t xml:space="preserve">The client passes a ConcreteVisitor to the WorkflowInstance, which calls accept on its root WorkFlowComponent. A WorkItem calls visitWorkItem(this) on the visitor. A Stage calls visitStage(this) and then passes the visitor to each of its children, so the whole tree is covered. A TaskDecorator forwards accept to the work item it wraps. The visitor collects what it needs as it goes, and the client reads the result from the visitor at the end.</w:t>
      </w:r>
    </w:p>
    <w:p>
      <w:pPr>
        <w:pStyle w:val="BodyText"/>
      </w:pPr>
      <w:r>
        <w:t xml:space="preserve">What varies is the set of reports, which is supplied per organisation and grows over time. The kinds of element do not vary: the engine only has work items and stages, whatever the scenario. A new report is one new ConcreteVisitor with no changes to WorkItem, Stage or WorkflowInstance.</w:t>
      </w:r>
    </w:p>
    <w:p>
      <w:pPr>
        <w:pStyle w:val="BodyText"/>
      </w:pPr>
      <w:r>
        <w:t xml:space="preserve">Visitor fits because the element classes are few and stable while the operations over them keep changing, which is the case the pattern is meant for. It also removes the need for type checks, since each element calls the visit operation for its own type. It keeps monitoring and reporting out of the core model, as the spec asks.</w:t>
      </w:r>
    </w:p>
    <w:p>
      <w:pPr>
        <w:pStyle w:val="Heading1"/>
      </w:pPr>
      <w:bookmarkStart w:id="22" w:name="proxy-access-control"/>
      <w:r>
        <w:t xml:space="preserve">Proxy – Access Control</w:t>
      </w:r>
      <w:bookmarkEnd w:id="22"/>
    </w:p>
    <w:p>
      <w:pPr>
        <w:pStyle w:val="FirstParagraph"/>
      </w:pPr>
      <w:r>
        <w:t xml:space="preserve">Only some participants may see or perform certain operations on work, for example only one role may cancel a work item. This check must happen before the operation reaches the work item, but it should not be written inside WorkItem or repeated in every part of the engine that touches one. Who is allowed to do what also differs for every organisation.</w:t>
      </w:r>
    </w:p>
    <w:p>
      <w:pPr>
        <w:pStyle w:val="Heading2"/>
      </w:pPr>
      <w:bookmarkStart w:id="23" w:name="participants-1"/>
      <w:r>
        <w:t xml:space="preserve">Participants:</w:t>
      </w:r>
      <w:bookmarkEnd w:id="23"/>
    </w:p>
    <w:p>
      <w:pPr>
        <w:numPr>
          <w:ilvl w:val="0"/>
          <w:numId w:val="1002"/>
        </w:numPr>
        <w:pStyle w:val="Compact"/>
      </w:pPr>
      <w:r>
        <w:t xml:space="preserve">Subject: WorkFlowComponent – the interface the engine already uses for work.</w:t>
      </w:r>
    </w:p>
    <w:p>
      <w:pPr>
        <w:numPr>
          <w:ilvl w:val="0"/>
          <w:numId w:val="1002"/>
        </w:numPr>
        <w:pStyle w:val="Compact"/>
      </w:pPr>
      <w:r>
        <w:t xml:space="preserve">RealSubject: WorkItem, Stage</w:t>
      </w:r>
    </w:p>
    <w:p>
      <w:pPr>
        <w:numPr>
          <w:ilvl w:val="0"/>
          <w:numId w:val="1002"/>
        </w:numPr>
        <w:pStyle w:val="Compact"/>
      </w:pPr>
      <w:r>
        <w:t xml:space="preserve">Proxy: AccessControlProxy – holds a WorkFlowComponent and an AccessPolicy.</w:t>
      </w:r>
    </w:p>
    <w:p>
      <w:pPr>
        <w:numPr>
          <w:ilvl w:val="0"/>
          <w:numId w:val="1002"/>
        </w:numPr>
        <w:pStyle w:val="Compact"/>
      </w:pPr>
      <w:r>
        <w:t xml:space="preserve">Client: Command objects (AssignCommand, StartCommand, CompleteCommand, RejectCommand, CancelCommand) – call the work through WorkFlowComponent.</w:t>
      </w:r>
    </w:p>
    <w:p>
      <w:pPr>
        <w:pStyle w:val="FirstParagraph"/>
      </w:pPr>
      <w:r>
        <w:t xml:space="preserve">AccessPolicy (Interface) is a helper that answers whether a Participant, through its Roles, may perform a given operation. It is supplied by the WorkflowDefinition.</w:t>
      </w:r>
    </w:p>
    <w:p>
      <w:pPr>
        <w:pStyle w:val="BodyText"/>
      </w:pPr>
      <w:r>
        <w:t xml:space="preserve">The client calls an operation on what it believes is a WorkFlowComponent. The AccessControlProxy asks its AccessPolicy whether the requesting Participant is allowed to perform that operation. If yes, the proxy forwards the call to the real WorkItem or Stage and returns the result. If no, the call is refused and the real object is never reached. The client cannot tell whether it holds a proxy or the real object.</w:t>
      </w:r>
    </w:p>
    <w:p>
      <w:pPr>
        <w:pStyle w:val="BodyText"/>
      </w:pPr>
      <w:r>
        <w:t xml:space="preserve">What varies is the access policy: which roles may perform which operations, supplied per organisation. The work classes, the commands and the proxy itself do not change. Protected and unprotected work can be mixed in the same workflow.</w:t>
      </w:r>
    </w:p>
    <w:p>
      <w:pPr>
        <w:pStyle w:val="BodyText"/>
      </w:pPr>
      <w:r>
        <w:t xml:space="preserve">Proxy fits because the problem is controlling access to an object without changing the object or its clients, which is a protection proxy. It differs from our Decorator: a decorator always passes the call on and adds behaviour around it, while the proxy decides whether the call happens at all.</w:t>
      </w:r>
    </w:p>
    <w:sectPr w:rsidR="005304A6" w:rsidRPr="00AC1B97">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F38"/>
    <w:multiLevelType w:val="multilevel"/>
    <w:tmpl w:val="60D4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5746F"/>
    <w:multiLevelType w:val="multilevel"/>
    <w:tmpl w:val="232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605ED"/>
    <w:multiLevelType w:val="multilevel"/>
    <w:tmpl w:val="1E2E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419A3"/>
    <w:multiLevelType w:val="multilevel"/>
    <w:tmpl w:val="8C4A5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077441134">
    <w:abstractNumId w:val="1"/>
  </w:num>
  <w:num w:numId="2" w16cid:durableId="280308524">
    <w:abstractNumId w:val="3"/>
  </w:num>
  <w:num w:numId="3" w16cid:durableId="705957515">
    <w:abstractNumId w:val="0"/>
  </w:num>
  <w:num w:numId="4" w16cid:durableId="444541380">
    <w:abstractNumId w:val="2"/>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2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2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294"/>
    <w:rPr>
      <w:rFonts w:eastAsiaTheme="majorEastAsia" w:cstheme="majorBidi"/>
      <w:color w:val="272727" w:themeColor="text1" w:themeTint="D8"/>
    </w:rPr>
  </w:style>
  <w:style w:type="paragraph" w:styleId="Title">
    <w:name w:val="Title"/>
    <w:basedOn w:val="Normal"/>
    <w:next w:val="Normal"/>
    <w:link w:val="TitleChar"/>
    <w:uiPriority w:val="10"/>
    <w:qFormat/>
    <w:rsid w:val="00862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294"/>
    <w:pPr>
      <w:spacing w:before="160"/>
      <w:jc w:val="center"/>
    </w:pPr>
    <w:rPr>
      <w:i/>
      <w:iCs/>
      <w:color w:val="404040" w:themeColor="text1" w:themeTint="BF"/>
    </w:rPr>
  </w:style>
  <w:style w:type="character" w:customStyle="1" w:styleId="QuoteChar">
    <w:name w:val="Quote Char"/>
    <w:basedOn w:val="DefaultParagraphFont"/>
    <w:link w:val="Quote"/>
    <w:uiPriority w:val="29"/>
    <w:rsid w:val="00862294"/>
    <w:rPr>
      <w:i/>
      <w:iCs/>
      <w:color w:val="404040" w:themeColor="text1" w:themeTint="BF"/>
    </w:rPr>
  </w:style>
  <w:style w:type="paragraph" w:styleId="ListParagraph">
    <w:name w:val="List Paragraph"/>
    <w:basedOn w:val="Normal"/>
    <w:uiPriority w:val="34"/>
    <w:qFormat/>
    <w:rsid w:val="00862294"/>
    <w:pPr>
      <w:ind w:left="720"/>
      <w:contextualSpacing/>
    </w:pPr>
  </w:style>
  <w:style w:type="character" w:styleId="IntenseEmphasis">
    <w:name w:val="Intense Emphasis"/>
    <w:basedOn w:val="DefaultParagraphFont"/>
    <w:uiPriority w:val="21"/>
    <w:qFormat/>
    <w:rsid w:val="00862294"/>
    <w:rPr>
      <w:i/>
      <w:iCs/>
      <w:color w:val="0F4761" w:themeColor="accent1" w:themeShade="BF"/>
    </w:rPr>
  </w:style>
  <w:style w:type="paragraph" w:styleId="IntenseQuote">
    <w:name w:val="Intense Quote"/>
    <w:basedOn w:val="Normal"/>
    <w:next w:val="Normal"/>
    <w:link w:val="IntenseQuoteChar"/>
    <w:uiPriority w:val="30"/>
    <w:qFormat/>
    <w:rsid w:val="00862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294"/>
    <w:rPr>
      <w:i/>
      <w:iCs/>
      <w:color w:val="0F4761" w:themeColor="accent1" w:themeShade="BF"/>
    </w:rPr>
  </w:style>
  <w:style w:type="character" w:styleId="IntenseReference">
    <w:name w:val="Intense Reference"/>
    <w:basedOn w:val="DefaultParagraphFont"/>
    <w:uiPriority w:val="32"/>
    <w:qFormat/>
    <w:rsid w:val="00862294"/>
    <w:rPr>
      <w:b/>
      <w:bCs/>
      <w:smallCaps/>
      <w:color w:val="0F4761" w:themeColor="accent1" w:themeShade="BF"/>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2026-10-03T20:30:26Z</dcterms:created>
  <dcterms:modified xsi:type="dcterms:W3CDTF">2026-10-03T20:30:26Z</dcterms:modified>
</cp:coreProperties>
</file>

<file path=docProps/custom.xml><?xml version="1.0" encoding="utf-8"?>
<Properties xmlns="http://schemas.openxmlformats.org/officeDocument/2006/custom-properties" xmlns:vt="http://schemas.openxmlformats.org/officeDocument/2006/docPropsVTypes"/>
</file>