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97376C"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97376C">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97376C">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97376C">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97376C">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97376C">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97376C">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97376C">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97376C">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97376C">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97376C">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97376C">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97376C">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97376C">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97376C">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97376C">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707B8B30"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Pr="00A2545B">
        <w:rPr>
          <w:rFonts w:ascii="Verdana" w:hAnsi="Verdana"/>
          <w:b/>
          <w:bCs/>
          <w:sz w:val="20"/>
          <w:szCs w:val="20"/>
          <w:highlight w:val="white"/>
          <w:u w:val="single"/>
        </w:rPr>
        <w:t>ec2-54-145-217-172.compute-1.amazonaws.com</w:t>
      </w:r>
      <w:r w:rsidRPr="00A2545B">
        <w:rPr>
          <w:rFonts w:ascii="Verdana" w:hAnsi="Verdana"/>
          <w:sz w:val="20"/>
          <w:szCs w:val="20"/>
          <w:highlight w:val="white"/>
        </w:rPr>
        <w:t>” OR “</w:t>
      </w:r>
      <w:r w:rsidRPr="00A2545B">
        <w:rPr>
          <w:rFonts w:ascii="Verdana" w:hAnsi="Verdana"/>
          <w:b/>
          <w:bCs/>
          <w:sz w:val="20"/>
          <w:szCs w:val="20"/>
          <w:highlight w:val="white"/>
          <w:u w:val="single"/>
        </w:rPr>
        <w:t>54.145.217.172</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6"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6"/>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7" w:name="_Toc24810578"/>
      <w:r>
        <w:rPr>
          <w:rFonts w:ascii="Verdana" w:hAnsi="Verdana" w:cs="Calibri"/>
          <w:sz w:val="20"/>
          <w:szCs w:val="20"/>
        </w:rPr>
        <w:t>Database Design</w:t>
      </w:r>
      <w:bookmarkEnd w:id="37"/>
    </w:p>
    <w:p w14:paraId="390C5B5D" w14:textId="3F3C2788" w:rsidR="00266F9D" w:rsidRPr="00266F9D" w:rsidRDefault="00C22175" w:rsidP="00266F9D">
      <w:pPr>
        <w:keepNext/>
        <w:rPr>
          <w:vertAlign w:val="subscript"/>
        </w:rPr>
      </w:pPr>
      <w:r>
        <w:rPr>
          <w:noProof/>
          <w:vertAlign w:val="subscript"/>
        </w:rPr>
        <w:drawing>
          <wp:inline distT="0" distB="0" distL="0" distR="0" wp14:anchorId="01C56414" wp14:editId="1139D7DE">
            <wp:extent cx="5943600"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HR DD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4D620DB9"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xml:space="preserve">, containing the table with information on the individual user accounts and a linked table to log authentication attempts in. The presence of the </w:t>
      </w:r>
      <w:proofErr w:type="spellStart"/>
      <w:r w:rsidRPr="00A2545B">
        <w:rPr>
          <w:rFonts w:ascii="Verdana" w:hAnsi="Verdana"/>
          <w:sz w:val="20"/>
          <w:szCs w:val="20"/>
        </w:rPr>
        <w:t>AccessLogTable</w:t>
      </w:r>
      <w:proofErr w:type="spellEnd"/>
      <w:r w:rsidRPr="00A2545B">
        <w:rPr>
          <w:rFonts w:ascii="Verdana" w:hAnsi="Verdana"/>
          <w:sz w:val="20"/>
          <w:szCs w:val="20"/>
        </w:rPr>
        <w:t xml:space="preserve"> allows for database level tracking of frequency of failed login attempts as well as an audit log of all successful system logins. At this time, this is the only database level logging implemented for this program, though future revisions may incorporate this capability to all data tables for record-level audit tracking. For all users who are not system administrator accounts, the table entry in </w:t>
      </w:r>
      <w:proofErr w:type="spellStart"/>
      <w:r w:rsidRPr="00A2545B">
        <w:rPr>
          <w:rFonts w:ascii="Verdana" w:hAnsi="Verdana"/>
          <w:sz w:val="20"/>
          <w:szCs w:val="20"/>
        </w:rPr>
        <w:t>UserLoginTable</w:t>
      </w:r>
      <w:proofErr w:type="spellEnd"/>
      <w:r w:rsidRPr="00A2545B">
        <w:rPr>
          <w:rFonts w:ascii="Verdana" w:hAnsi="Verdana"/>
          <w:sz w:val="20"/>
          <w:szCs w:val="20"/>
        </w:rPr>
        <w:t xml:space="preserve"> will link to an entry in </w:t>
      </w:r>
      <w:proofErr w:type="spellStart"/>
      <w:r w:rsidRPr="00A2545B">
        <w:rPr>
          <w:rFonts w:ascii="Verdana" w:hAnsi="Verdana"/>
          <w:sz w:val="20"/>
          <w:szCs w:val="20"/>
        </w:rPr>
        <w:t>PersonnelTable</w:t>
      </w:r>
      <w:proofErr w:type="spellEnd"/>
      <w:r w:rsidRPr="00A2545B">
        <w:rPr>
          <w:rFonts w:ascii="Verdana" w:hAnsi="Verdana"/>
          <w:sz w:val="20"/>
          <w:szCs w:val="20"/>
        </w:rPr>
        <w:t xml:space="preserve"> in a one-to one relationship.</w:t>
      </w:r>
    </w:p>
    <w:p w14:paraId="785F3F53" w14:textId="77777777" w:rsidR="00A2545B" w:rsidRDefault="00A2545B" w:rsidP="00A2545B">
      <w:pPr>
        <w:jc w:val="both"/>
        <w:rPr>
          <w:rFonts w:ascii="Verdana" w:hAnsi="Verdana"/>
          <w:sz w:val="20"/>
          <w:szCs w:val="20"/>
        </w:rPr>
      </w:pPr>
    </w:p>
    <w:p w14:paraId="3130D9A4" w14:textId="26CCA4FA"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Each entry in the </w:t>
      </w:r>
      <w:proofErr w:type="spellStart"/>
      <w:r w:rsidRPr="00A2545B">
        <w:rPr>
          <w:rFonts w:ascii="Verdana" w:hAnsi="Verdana"/>
          <w:sz w:val="20"/>
          <w:szCs w:val="20"/>
        </w:rPr>
        <w:t>Personnel</w:t>
      </w:r>
      <w:bookmarkStart w:id="38" w:name="_GoBack"/>
      <w:bookmarkEnd w:id="38"/>
      <w:r w:rsidRPr="00A2545B">
        <w:rPr>
          <w:rFonts w:ascii="Verdana" w:hAnsi="Verdana"/>
          <w:sz w:val="20"/>
          <w:szCs w:val="20"/>
        </w:rPr>
        <w:t>Table</w:t>
      </w:r>
      <w:proofErr w:type="spellEnd"/>
      <w:r w:rsidRPr="00A2545B">
        <w:rPr>
          <w:rFonts w:ascii="Verdana" w:hAnsi="Verdana"/>
          <w:sz w:val="20"/>
          <w:szCs w:val="20"/>
        </w:rPr>
        <w:t xml:space="preserve"> can be a part of zero, one, or many groups based on the number of entries in the </w:t>
      </w:r>
      <w:proofErr w:type="spellStart"/>
      <w:r w:rsidRPr="00A2545B">
        <w:rPr>
          <w:rFonts w:ascii="Verdana" w:hAnsi="Verdana"/>
          <w:sz w:val="20"/>
          <w:szCs w:val="20"/>
        </w:rPr>
        <w:t>UserGroupTable</w:t>
      </w:r>
      <w:proofErr w:type="spellEnd"/>
      <w:r w:rsidRPr="00A2545B">
        <w:rPr>
          <w:rFonts w:ascii="Verdana" w:hAnsi="Verdana"/>
          <w:sz w:val="20"/>
          <w:szCs w:val="20"/>
        </w:rPr>
        <w:t xml:space="preserve"> that </w:t>
      </w:r>
      <w:proofErr w:type="spellStart"/>
      <w:r w:rsidRPr="00A2545B">
        <w:rPr>
          <w:rFonts w:ascii="Verdana" w:hAnsi="Verdana"/>
          <w:sz w:val="20"/>
          <w:szCs w:val="20"/>
        </w:rPr>
        <w:t>employee_number</w:t>
      </w:r>
      <w:proofErr w:type="spellEnd"/>
      <w:r w:rsidRPr="00A2545B">
        <w:rPr>
          <w:rFonts w:ascii="Verdana" w:hAnsi="Verdana"/>
          <w:sz w:val="20"/>
          <w:szCs w:val="20"/>
        </w:rPr>
        <w:t xml:space="preserve"> is associate with, this flexibility allows for personnel to work across multiple departments and have that reflected in their personnel record, something most systems do not accommodate.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lastRenderedPageBreak/>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t>Class Design</w:t>
      </w:r>
      <w:bookmarkEnd w:id="39"/>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77777777" w:rsidR="006E0F0E" w:rsidRDefault="006E0F0E" w:rsidP="006E0F0E">
      <w:pPr>
        <w:keepNext/>
        <w:spacing w:after="240"/>
        <w:jc w:val="both"/>
      </w:pPr>
      <w:r>
        <w:rPr>
          <w:noProof/>
        </w:rPr>
        <w:drawing>
          <wp:inline distT="0" distB="0" distL="0" distR="0" wp14:anchorId="7028C293" wp14:editId="66BD7577">
            <wp:extent cx="5687695" cy="397531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695" cy="3975310"/>
                    </a:xfrm>
                    <a:prstGeom prst="rect">
                      <a:avLst/>
                    </a:prstGeom>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lastRenderedPageBreak/>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2"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r>
        <w:rPr>
          <w:rFonts w:ascii="Verdana" w:hAnsi="Verdana"/>
          <w:sz w:val="20"/>
          <w:szCs w:val="20"/>
        </w:rPr>
        <w:t xml:space="preserve">SDLC Forms. What is the Waterfall Software Development Life Cycle (SDLC)? Retrieved from: </w:t>
      </w:r>
      <w:hyperlink r:id="rId13"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proofErr w:type="spellStart"/>
      <w:r>
        <w:rPr>
          <w:rFonts w:ascii="Verdana" w:hAnsi="Verdana"/>
          <w:sz w:val="20"/>
          <w:szCs w:val="20"/>
        </w:rPr>
        <w:t>Alexsoft</w:t>
      </w:r>
      <w:proofErr w:type="spellEnd"/>
      <w:r>
        <w:rPr>
          <w:rFonts w:ascii="Verdana" w:hAnsi="Verdana"/>
          <w:sz w:val="20"/>
          <w:szCs w:val="20"/>
        </w:rPr>
        <w:t xml:space="preserve">. Technical Documentation in Software Development: Types, Best Practices, and Tools. Retrieved from: </w:t>
      </w:r>
      <w:hyperlink r:id="rId14"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r>
        <w:rPr>
          <w:rFonts w:ascii="Verdana" w:hAnsi="Verdana"/>
          <w:sz w:val="20"/>
          <w:szCs w:val="20"/>
        </w:rPr>
        <w:t xml:space="preserve">Agile Modeling. Core Practices for Agile/Lean Documentation. Retrieved from: </w:t>
      </w:r>
      <w:hyperlink r:id="rId15"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r>
        <w:rPr>
          <w:rFonts w:ascii="Verdana" w:hAnsi="Verdana"/>
          <w:sz w:val="20"/>
          <w:szCs w:val="20"/>
        </w:rPr>
        <w:t xml:space="preserve">Dreamcatcher. A Practical Approach for Managing Agile Technical Design. Retrieved from: </w:t>
      </w:r>
      <w:hyperlink r:id="rId16"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wps:txbx>
                      <wps:bodyPr horzOverflow="overflow" vert="horz" lIns="0" tIns="0" rIns="0" bIns="0" rtlCol="0">
                        <a:noAutofit/>
                      </wps:bodyPr>
                    </wps:wsp>
                  </a:graphicData>
                </a:graphic>
              </wp:anchor>
            </w:drawing>
          </mc:Choice>
          <mc:Fallback>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7"/>
      <w:footerReference w:type="default" r:id="rId18"/>
      <w:headerReference w:type="first" r:id="rId19"/>
      <w:footerReference w:type="first" r:id="rId20"/>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E276" w14:textId="77777777" w:rsidR="0097376C" w:rsidRDefault="0097376C">
      <w:r>
        <w:separator/>
      </w:r>
    </w:p>
  </w:endnote>
  <w:endnote w:type="continuationSeparator" w:id="0">
    <w:p w14:paraId="3FE597B2" w14:textId="77777777" w:rsidR="0097376C" w:rsidRDefault="00973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47561B4C"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582DC8">
      <w:rPr>
        <w:rFonts w:ascii="Tahoma" w:hAnsi="Tahoma" w:cs="Tahoma"/>
        <w:noProof/>
        <w:sz w:val="16"/>
        <w:szCs w:val="16"/>
      </w:rPr>
      <w:t>11/23/2019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E4246" w14:textId="77777777" w:rsidR="0097376C" w:rsidRDefault="0097376C">
      <w:r>
        <w:separator/>
      </w:r>
    </w:p>
  </w:footnote>
  <w:footnote w:type="continuationSeparator" w:id="0">
    <w:p w14:paraId="5200504E" w14:textId="77777777" w:rsidR="0097376C" w:rsidRDefault="00973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DC8"/>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76C"/>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3F0"/>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dlcforms.com/UnderstandingSDLC.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t.maryland.gov/SDLC/Pages/Templates.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reamcatchersoftware.com/agile-technical-desig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gilemodeling.com/essays/agileDocumentationBestPractices.htm" TargetMode="Externa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altexsoft.com/blog/business/technical-documentation-in-software-development-types-best-practices-and-tool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1C696-34B3-49B1-A360-116A8B7C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118</TotalTime>
  <Pages>12</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12994</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10</cp:revision>
  <cp:lastPrinted>2012-09-25T17:21:00Z</cp:lastPrinted>
  <dcterms:created xsi:type="dcterms:W3CDTF">2019-11-17T16:36:00Z</dcterms:created>
  <dcterms:modified xsi:type="dcterms:W3CDTF">2019-11-24T00:36:00Z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