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rFonts w:ascii="Arial" w:cs="Arial" w:eastAsia="Arial" w:hAnsi="Arial"/>
          <w:b/>
          <w:bCs/>
          <w:color w:val="3B4FC4"/>
          <w:spacing w:val="180"/>
          <w:sz w:val="17"/>
          <w:szCs w:val="17"/>
        </w:rPr>
        <w:t xml:space="preserve">USR LAB NOTE — 001</w:t>
      </w:r>
    </w:p>
    <w:p>
      <w:pPr>
        <w:spacing w:before="0" w:after="80"/>
      </w:pPr>
      <w:r>
        <w:rPr>
          <w:rFonts w:ascii="Georgia" w:cs="Georgia" w:eastAsia="Georgia" w:hAnsi="Georgia"/>
          <w:color w:val="0F1117"/>
          <w:sz w:val="52"/>
          <w:szCs w:val="52"/>
        </w:rPr>
        <w:t xml:space="preserve">CaseIQ: A Spaced Repetition Approach</w:t>
      </w:r>
    </w:p>
    <w:p>
      <w:pPr>
        <w:spacing w:before="0" w:after="200"/>
      </w:pPr>
      <w:r>
        <w:rPr>
          <w:rFonts w:ascii="Georgia" w:cs="Georgia" w:eastAsia="Georgia" w:hAnsi="Georgia"/>
          <w:i/>
          <w:iCs/>
          <w:color w:val="0F1117"/>
          <w:sz w:val="52"/>
          <w:szCs w:val="52"/>
        </w:rPr>
        <w:t xml:space="preserve">to Consulting Reasoning Training</w:t>
      </w:r>
    </w:p>
    <w:p>
      <w:pPr>
        <w:spacing w:before="0" w:after="60"/>
      </w:pPr>
      <w:r>
        <w:rPr>
          <w:rFonts w:ascii="Arial" w:cs="Arial" w:eastAsia="Arial" w:hAnsi="Arial"/>
          <w:color w:val="6B7280"/>
          <w:sz w:val="20"/>
          <w:szCs w:val="20"/>
        </w:rPr>
        <w:t xml:space="preserve">Unconventional Strategy Research</w:t>
      </w:r>
    </w:p>
    <w:p>
      <w:pPr>
        <w:spacing w:before="0" w:after="240"/>
      </w:pPr>
      <w:r>
        <w:rPr>
          <w:rFonts w:ascii="Arial" w:cs="Arial" w:eastAsia="Arial" w:hAnsi="Arial"/>
          <w:color w:val="9CA3AF"/>
          <w:sz w:val="18"/>
          <w:szCs w:val="18"/>
        </w:rPr>
        <w:t xml:space="preserve">March 2026  ·  unconventional-strategy-research.github.io/caseiq</w:t>
      </w:r>
    </w:p>
    <w:p>
      <w:pPr>
        <w:pBdr>
          <w:bottom w:val="single" w:color="3B4FC4" w:sz="6" w:space="1"/>
        </w:pBdr>
        <w:spacing w:before="240" w:after="240"/>
      </w:pPr>
      <w:r>
        <w:rPr>
          <w:sz w:val="2"/>
          <w:szCs w:val="2"/>
        </w:rPr>
        <w:t xml:space="preserve"/>
      </w:r>
    </w:p>
    <w:p>
      <w:pPr>
        <w:spacing w:before="320" w:after="80"/>
      </w:pPr>
      <w:r>
        <w:rPr>
          <w:rFonts w:ascii="Arial" w:cs="Arial" w:eastAsia="Arial" w:hAnsi="Arial"/>
          <w:b/>
          <w:bCs/>
          <w:color w:val="3B4FC4"/>
          <w:spacing w:val="120"/>
          <w:sz w:val="16"/>
          <w:szCs w:val="16"/>
        </w:rPr>
        <w:t xml:space="preserve">ABSTRACT</w:t>
      </w:r>
    </w:p>
    <w:p>
      <w:pPr>
        <w:spacing w:before="60" w:after="60"/>
        <w:jc w:val="both"/>
      </w:pPr>
      <w:r>
        <w:rPr>
          <w:rFonts w:ascii="Georgia" w:cs="Georgia" w:eastAsia="Georgia" w:hAnsi="Georgia"/>
          <w:b w:val="false"/>
          <w:bCs w:val="false"/>
          <w:i w:val="false"/>
          <w:iCs w:val="false"/>
          <w:color w:val="1F2937"/>
          <w:sz w:val="22"/>
          <w:szCs w:val="22"/>
        </w:rPr>
        <w:t xml:space="preserve">CaseIQ is a browser-based consulting case interview training tool built on the principle that </w:t>
      </w:r>
      <w:r>
        <w:rPr>
          <w:rFonts w:ascii="Georgia" w:cs="Georgia" w:eastAsia="Georgia" w:hAnsi="Georgia"/>
          <w:b w:val="false"/>
          <w:bCs w:val="false"/>
          <w:i/>
          <w:iCs/>
          <w:color w:val="1F2937"/>
          <w:sz w:val="22"/>
          <w:szCs w:val="22"/>
        </w:rPr>
        <w:t xml:space="preserve">reasoning patterns are best acquired through active recall and repetition</w:t>
      </w:r>
      <w:r>
        <w:rPr>
          <w:rFonts w:ascii="Georgia" w:cs="Georgia" w:eastAsia="Georgia" w:hAnsi="Georgia"/>
          <w:b w:val="false"/>
          <w:bCs w:val="false"/>
          <w:i w:val="false"/>
          <w:iCs w:val="false"/>
          <w:color w:val="1F2937"/>
          <w:sz w:val="22"/>
          <w:szCs w:val="22"/>
        </w:rPr>
        <w:t xml:space="preserve">, not passive framework study. The tool presents six focused modules covering the core cognitive skills tested in consulting interviews — from framework application to synthesis — and tracks performance at the question level across sessions. This paper describes the design rationale, the cognitive taxonomy underlying the module structure, the architecture of the stats system, and the intended use as a deliberate practice environment.</w:t>
      </w:r>
    </w:p>
    <w:p>
      <w:pPr>
        <w:pBdr>
          <w:bottom w:val="single" w:color="E5E7EB" w:sz="4" w:space="1"/>
        </w:pBdr>
        <w:spacing w:before="240" w:after="240"/>
      </w:pPr>
      <w:r>
        <w:rPr>
          <w:sz w:val="2"/>
          <w:szCs w:val="2"/>
        </w:rPr>
        <w:t xml:space="preserve"/>
      </w:r>
    </w:p>
    <w:p>
      <w:pPr>
        <w:spacing w:before="320" w:after="80"/>
      </w:pPr>
      <w:r>
        <w:rPr>
          <w:rFonts w:ascii="Arial" w:cs="Arial" w:eastAsia="Arial" w:hAnsi="Arial"/>
          <w:b/>
          <w:bCs/>
          <w:color w:val="3B4FC4"/>
          <w:spacing w:val="120"/>
          <w:sz w:val="16"/>
          <w:szCs w:val="16"/>
        </w:rPr>
        <w:t xml:space="preserve">1. MOTIVATION</w:t>
      </w:r>
    </w:p>
    <w:p>
      <w:pPr>
        <w:spacing w:before="0" w:after="100"/>
      </w:pPr>
      <w:r>
        <w:rPr>
          <w:rFonts w:ascii="Georgia" w:cs="Georgia" w:eastAsia="Georgia" w:hAnsi="Georgia"/>
          <w:b w:val="false"/>
          <w:bCs w:val="false"/>
          <w:color w:val="0F1117"/>
          <w:sz w:val="28"/>
          <w:szCs w:val="28"/>
        </w:rPr>
        <w:t xml:space="preserve">Why another case prep tool?</w:t>
      </w:r>
    </w:p>
    <w:p>
      <w:pPr>
        <w:spacing w:before="0" w:after="0"/>
      </w:pPr>
      <w:r>
        <w:rPr>
          <w:sz w:val="20"/>
          <w:szCs w:val="20"/>
        </w:rPr>
        <w:t xml:space="preserve"/>
      </w:r>
    </w:p>
    <w:p>
      <w:pPr>
        <w:spacing w:before="60" w:after="60"/>
        <w:jc w:val="both"/>
      </w:pPr>
      <w:r>
        <w:rPr>
          <w:rFonts w:ascii="Georgia" w:cs="Georgia" w:eastAsia="Georgia" w:hAnsi="Georgia"/>
          <w:b w:val="false"/>
          <w:bCs w:val="false"/>
          <w:i w:val="false"/>
          <w:iCs w:val="false"/>
          <w:color w:val="1F2937"/>
          <w:sz w:val="22"/>
          <w:szCs w:val="22"/>
        </w:rPr>
        <w:t xml:space="preserve">The dominant mode of case interview preparation is framework memorization: candidates read about MECE thinking, the profitability framework, or Porter's Five Forces, and hope that exposure translates into performance. It rarely does at the level required.</w:t>
      </w:r>
    </w:p>
    <w:p>
      <w:pPr>
        <w:spacing w:before="0" w:after="0"/>
      </w:pPr>
      <w:r>
        <w:rPr>
          <w:sz w:val="20"/>
          <w:szCs w:val="20"/>
        </w:rPr>
        <w:t xml:space="preserve"/>
      </w:r>
    </w:p>
    <w:p>
      <w:pPr>
        <w:spacing w:before="60" w:after="60"/>
        <w:jc w:val="both"/>
      </w:pPr>
      <w:r>
        <w:rPr>
          <w:rFonts w:ascii="Georgia" w:cs="Georgia" w:eastAsia="Georgia" w:hAnsi="Georgia"/>
          <w:b w:val="false"/>
          <w:bCs w:val="false"/>
          <w:i w:val="false"/>
          <w:iCs w:val="false"/>
          <w:color w:val="1F2937"/>
          <w:sz w:val="22"/>
          <w:szCs w:val="22"/>
        </w:rPr>
        <w:t xml:space="preserve">The gap is not knowledge — most candidates who fail consulting interviews can recite the frameworks. The gap is fluency: the ability to apply the right reasoning move quickly, under pressure, without consciously searching for it. That kind of fluency is only built through repeated application, not reading.</w:t>
      </w:r>
    </w:p>
    <w:p>
      <w:pPr>
        <w:spacing w:before="0" w:after="0"/>
      </w:pPr>
      <w:r>
        <w:rPr>
          <w:sz w:val="20"/>
          <w:szCs w:val="20"/>
        </w:rPr>
        <w:t xml:space="preserve"/>
      </w:r>
    </w:p>
    <w:p>
      <w:pPr>
        <w:spacing w:before="60" w:after="60"/>
        <w:jc w:val="both"/>
      </w:pPr>
      <w:r>
        <w:rPr>
          <w:rFonts w:ascii="Georgia" w:cs="Georgia" w:eastAsia="Georgia" w:hAnsi="Georgia"/>
          <w:b w:val="false"/>
          <w:bCs w:val="false"/>
          <w:i w:val="false"/>
          <w:iCs w:val="false"/>
          <w:color w:val="1F2937"/>
          <w:sz w:val="22"/>
          <w:szCs w:val="22"/>
        </w:rPr>
        <w:t xml:space="preserve">CaseIQ was built to fill that gap. The design question was not </w:t>
      </w:r>
      <w:r>
        <w:rPr>
          <w:rFonts w:ascii="Georgia" w:cs="Georgia" w:eastAsia="Georgia" w:hAnsi="Georgia"/>
          <w:b w:val="false"/>
          <w:bCs w:val="false"/>
          <w:i/>
          <w:iCs/>
          <w:color w:val="1F2937"/>
          <w:sz w:val="22"/>
          <w:szCs w:val="22"/>
        </w:rPr>
        <w:t xml:space="preserve">"how do we teach frameworks?"</w:t>
      </w:r>
      <w:r>
        <w:rPr>
          <w:rFonts w:ascii="Georgia" w:cs="Georgia" w:eastAsia="Georgia" w:hAnsi="Georgia"/>
          <w:b w:val="false"/>
          <w:bCs w:val="false"/>
          <w:i w:val="false"/>
          <w:iCs w:val="false"/>
          <w:color w:val="1F2937"/>
          <w:sz w:val="22"/>
          <w:szCs w:val="22"/>
        </w:rPr>
        <w:t xml:space="preserve"> but </w:t>
      </w:r>
      <w:r>
        <w:rPr>
          <w:rFonts w:ascii="Georgia" w:cs="Georgia" w:eastAsia="Georgia" w:hAnsi="Georgia"/>
          <w:b w:val="false"/>
          <w:bCs w:val="false"/>
          <w:i/>
          <w:iCs/>
          <w:color w:val="1F2937"/>
          <w:sz w:val="22"/>
          <w:szCs w:val="22"/>
        </w:rPr>
        <w:t xml:space="preserve">"how do we make consulting reasoning automatic?"</w:t>
      </w:r>
      <w:r>
        <w:rPr>
          <w:rFonts w:ascii="Georgia" w:cs="Georgia" w:eastAsia="Georgia" w:hAnsi="Georgia"/>
          <w:b w:val="false"/>
          <w:bCs w:val="false"/>
          <w:i w:val="false"/>
          <w:iCs w:val="false"/>
          <w:color w:val="1F2937"/>
          <w:sz w:val="22"/>
          <w:szCs w:val="22"/>
        </w:rPr>
        <w:t xml:space="preserve"> The answer is the same as for any other complex cognitive skill: structured repetition with immediate feedback, tracked over time.</w:t>
      </w:r>
    </w:p>
    <w:p>
      <w:pPr>
        <w:pBdr>
          <w:bottom w:val="single" w:color="E5E7EB" w:sz="4" w:space="1"/>
        </w:pBdr>
        <w:spacing w:before="240" w:after="240"/>
      </w:pPr>
      <w:r>
        <w:rPr>
          <w:sz w:val="2"/>
          <w:szCs w:val="2"/>
        </w:rPr>
        <w:t xml:space="preserve"/>
      </w:r>
    </w:p>
    <w:p>
      <w:pPr>
        <w:spacing w:before="320" w:after="80"/>
      </w:pPr>
      <w:r>
        <w:rPr>
          <w:rFonts w:ascii="Arial" w:cs="Arial" w:eastAsia="Arial" w:hAnsi="Arial"/>
          <w:b/>
          <w:bCs/>
          <w:color w:val="3B4FC4"/>
          <w:spacing w:val="120"/>
          <w:sz w:val="16"/>
          <w:szCs w:val="16"/>
        </w:rPr>
        <w:t xml:space="preserve">2. COGNITIVE TAXONOMY</w:t>
      </w:r>
    </w:p>
    <w:p>
      <w:pPr>
        <w:spacing w:before="0" w:after="100"/>
      </w:pPr>
      <w:r>
        <w:rPr>
          <w:rFonts w:ascii="Georgia" w:cs="Georgia" w:eastAsia="Georgia" w:hAnsi="Georgia"/>
          <w:b w:val="false"/>
          <w:bCs w:val="false"/>
          <w:color w:val="0F1117"/>
          <w:sz w:val="28"/>
          <w:szCs w:val="28"/>
        </w:rPr>
        <w:t xml:space="preserve">What consulting reasoning actually requires</w:t>
      </w:r>
    </w:p>
    <w:p>
      <w:pPr>
        <w:spacing w:before="0" w:after="0"/>
      </w:pPr>
      <w:r>
        <w:rPr>
          <w:sz w:val="20"/>
          <w:szCs w:val="20"/>
        </w:rPr>
        <w:t xml:space="preserve"/>
      </w:r>
    </w:p>
    <w:p>
      <w:pPr>
        <w:spacing w:before="60" w:after="60"/>
        <w:jc w:val="both"/>
      </w:pPr>
      <w:r>
        <w:rPr>
          <w:rFonts w:ascii="Georgia" w:cs="Georgia" w:eastAsia="Georgia" w:hAnsi="Georgia"/>
          <w:b w:val="false"/>
          <w:bCs w:val="false"/>
          <w:i w:val="false"/>
          <w:iCs w:val="false"/>
          <w:color w:val="1F2937"/>
          <w:sz w:val="22"/>
          <w:szCs w:val="22"/>
        </w:rPr>
        <w:t xml:space="preserve">The six modules are not arbitrary — they map to a deliberate taxonomy of the cognitive moves that appear in real consulting interviews. Each module isolates a distinct skill type:</w:t>
      </w:r>
    </w:p>
    <w:p>
      <w:pPr>
        <w:spacing w:before="0" w:after="0"/>
      </w:pPr>
      <w:r>
        <w:rPr>
          <w:sz w:val="20"/>
          <w:szCs w:val="20"/>
        </w:rPr>
        <w:t xml:space="preserve"/>
      </w:r>
    </w:p>
    <w:p>
      <w:pPr>
        <w:spacing w:before="200" w:after="60"/>
      </w:pPr>
      <w:r>
        <w:rPr>
          <w:rFonts w:ascii="Arial" w:cs="Arial" w:eastAsia="Arial" w:hAnsi="Arial"/>
          <w:b/>
          <w:bCs/>
          <w:color w:val="0F1117"/>
          <w:sz w:val="22"/>
          <w:szCs w:val="22"/>
        </w:rPr>
        <w:t xml:space="preserve">Module 01 — Framework Remix Matrix</w:t>
      </w:r>
    </w:p>
    <w:p>
      <w:pPr>
        <w:spacing w:before="60" w:after="60"/>
        <w:jc w:val="both"/>
      </w:pPr>
      <w:r>
        <w:rPr>
          <w:rFonts w:ascii="Georgia" w:cs="Georgia" w:eastAsia="Georgia" w:hAnsi="Georgia"/>
          <w:b w:val="false"/>
          <w:bCs w:val="false"/>
          <w:i w:val="false"/>
          <w:iCs w:val="false"/>
          <w:color w:val="1F2937"/>
          <w:sz w:val="22"/>
          <w:szCs w:val="22"/>
        </w:rPr>
        <w:t xml:space="preserve">Tests the ability to select and apply the correct analytical lens to a business problem. The "remix" structure forces candidates to see the same problem through multiple frameworks, preventing the common failure mode of defaulting to a single lens regardless of context. 12 questions across 3 case prompts.</w:t>
      </w:r>
    </w:p>
    <w:p>
      <w:pPr>
        <w:spacing w:before="200" w:after="60"/>
      </w:pPr>
      <w:r>
        <w:rPr>
          <w:rFonts w:ascii="Arial" w:cs="Arial" w:eastAsia="Arial" w:hAnsi="Arial"/>
          <w:b/>
          <w:bCs/>
          <w:color w:val="0F1117"/>
          <w:sz w:val="22"/>
          <w:szCs w:val="22"/>
        </w:rPr>
        <w:t xml:space="preserve">Module 02 — Master Bucket Identification</w:t>
      </w:r>
    </w:p>
    <w:p>
      <w:pPr>
        <w:spacing w:before="60" w:after="60"/>
        <w:jc w:val="both"/>
      </w:pPr>
      <w:r>
        <w:rPr>
          <w:rFonts w:ascii="Georgia" w:cs="Georgia" w:eastAsia="Georgia" w:hAnsi="Georgia"/>
          <w:b w:val="false"/>
          <w:bCs w:val="false"/>
          <w:i w:val="false"/>
          <w:iCs w:val="false"/>
          <w:color w:val="1F2937"/>
          <w:sz w:val="22"/>
          <w:szCs w:val="22"/>
        </w:rPr>
        <w:t xml:space="preserve">Tests pattern recognition — the ability to rapidly classify a business observation into the correct consulting category. This is a prerequisite skill: candidates who cannot quickly sort observations cannot structure their analysis. 13 questions across 12 buckets.</w:t>
      </w:r>
    </w:p>
    <w:p>
      <w:pPr>
        <w:spacing w:before="200" w:after="60"/>
      </w:pPr>
      <w:r>
        <w:rPr>
          <w:rFonts w:ascii="Arial" w:cs="Arial" w:eastAsia="Arial" w:hAnsi="Arial"/>
          <w:b/>
          <w:bCs/>
          <w:color w:val="0F1117"/>
          <w:sz w:val="22"/>
          <w:szCs w:val="22"/>
        </w:rPr>
        <w:t xml:space="preserve">Module 03 — The 7 Hidden Equations</w:t>
      </w:r>
    </w:p>
    <w:p>
      <w:pPr>
        <w:spacing w:before="60" w:after="60"/>
        <w:jc w:val="both"/>
      </w:pPr>
      <w:r>
        <w:rPr>
          <w:rFonts w:ascii="Georgia" w:cs="Georgia" w:eastAsia="Georgia" w:hAnsi="Georgia"/>
          <w:b w:val="false"/>
          <w:bCs w:val="false"/>
          <w:i w:val="false"/>
          <w:iCs w:val="false"/>
          <w:color w:val="1F2937"/>
          <w:sz w:val="22"/>
          <w:szCs w:val="22"/>
        </w:rPr>
        <w:t xml:space="preserve">Tests quantitative structure recognition — identifying which core equation underlies a case before any numbers are given. This trains the "equation-first" thinking that distinguishes strong quantitative analysts from weak ones. 13 questions.</w:t>
      </w:r>
    </w:p>
    <w:p>
      <w:pPr>
        <w:spacing w:before="200" w:after="60"/>
      </w:pPr>
      <w:r>
        <w:rPr>
          <w:rFonts w:ascii="Arial" w:cs="Arial" w:eastAsia="Arial" w:hAnsi="Arial"/>
          <w:b/>
          <w:bCs/>
          <w:color w:val="0F1117"/>
          <w:sz w:val="22"/>
          <w:szCs w:val="22"/>
        </w:rPr>
        <w:t xml:space="preserve">Module 04 — Consulting Math Under Pressure</w:t>
      </w:r>
    </w:p>
    <w:p>
      <w:pPr>
        <w:spacing w:before="60" w:after="60"/>
        <w:jc w:val="both"/>
      </w:pPr>
      <w:r>
        <w:rPr>
          <w:rFonts w:ascii="Georgia" w:cs="Georgia" w:eastAsia="Georgia" w:hAnsi="Georgia"/>
          <w:b w:val="false"/>
          <w:bCs w:val="false"/>
          <w:i w:val="false"/>
          <w:iCs w:val="false"/>
          <w:color w:val="1F2937"/>
          <w:sz w:val="22"/>
          <w:szCs w:val="22"/>
        </w:rPr>
        <w:t xml:space="preserve">Tests applied numeracy: breakeven calculations, market sizing, profit margin analysis, and growth projections under realistic case conditions. 13 questions with real numbers designed to surface calculation errors.</w:t>
      </w:r>
    </w:p>
    <w:p>
      <w:pPr>
        <w:spacing w:before="200" w:after="60"/>
      </w:pPr>
      <w:r>
        <w:rPr>
          <w:rFonts w:ascii="Arial" w:cs="Arial" w:eastAsia="Arial" w:hAnsi="Arial"/>
          <w:b/>
          <w:bCs/>
          <w:color w:val="0F1117"/>
          <w:sz w:val="22"/>
          <w:szCs w:val="22"/>
        </w:rPr>
        <w:t xml:space="preserve">Module 05 — Hypothesis Generation</w:t>
      </w:r>
    </w:p>
    <w:p>
      <w:pPr>
        <w:spacing w:before="60" w:after="60"/>
        <w:jc w:val="both"/>
      </w:pPr>
      <w:r>
        <w:rPr>
          <w:rFonts w:ascii="Georgia" w:cs="Georgia" w:eastAsia="Georgia" w:hAnsi="Georgia"/>
          <w:b w:val="false"/>
          <w:bCs w:val="false"/>
          <w:i w:val="false"/>
          <w:iCs w:val="false"/>
          <w:color w:val="1F2937"/>
          <w:sz w:val="22"/>
          <w:szCs w:val="22"/>
        </w:rPr>
        <w:t xml:space="preserve">Tests abductive reasoning — given a business observation, generate the correct set of hypotheses for why it might be occurring. This is the skill interviewers probe hardest because it is the hardest to fake. 13 questions.</w:t>
      </w:r>
    </w:p>
    <w:p>
      <w:pPr>
        <w:spacing w:before="200" w:after="60"/>
      </w:pPr>
      <w:r>
        <w:rPr>
          <w:rFonts w:ascii="Arial" w:cs="Arial" w:eastAsia="Arial" w:hAnsi="Arial"/>
          <w:b/>
          <w:bCs/>
          <w:color w:val="0F1117"/>
          <w:sz w:val="22"/>
          <w:szCs w:val="22"/>
        </w:rPr>
        <w:t xml:space="preserve">Module 06 — Synthesis &amp; Recommendation</w:t>
      </w:r>
    </w:p>
    <w:p>
      <w:pPr>
        <w:spacing w:before="60" w:after="60"/>
        <w:jc w:val="both"/>
      </w:pPr>
      <w:r>
        <w:rPr>
          <w:rFonts w:ascii="Georgia" w:cs="Georgia" w:eastAsia="Georgia" w:hAnsi="Georgia"/>
          <w:b w:val="false"/>
          <w:bCs w:val="false"/>
          <w:i w:val="false"/>
          <w:iCs w:val="false"/>
          <w:color w:val="1F2937"/>
          <w:sz w:val="22"/>
          <w:szCs w:val="22"/>
        </w:rPr>
        <w:t xml:space="preserve">Tests the ability to construct a concise, structured recommendation from a complete case context: key insight, recommendation, primary risk. The hardest module, and the one most directly predictive of interview performance. 13 questions.</w:t>
      </w:r>
    </w:p>
    <w:p>
      <w:pPr>
        <w:pBdr>
          <w:bottom w:val="single" w:color="E5E7EB" w:sz="4" w:space="1"/>
        </w:pBdr>
        <w:spacing w:before="240" w:after="240"/>
      </w:pPr>
      <w:r>
        <w:rPr>
          <w:sz w:val="2"/>
          <w:szCs w:val="2"/>
        </w:rPr>
        <w:t xml:space="preserve"/>
      </w:r>
    </w:p>
    <w:p>
      <w:pPr>
        <w:spacing w:before="320" w:after="80"/>
      </w:pPr>
      <w:r>
        <w:rPr>
          <w:rFonts w:ascii="Arial" w:cs="Arial" w:eastAsia="Arial" w:hAnsi="Arial"/>
          <w:b/>
          <w:bCs/>
          <w:color w:val="3B4FC4"/>
          <w:spacing w:val="120"/>
          <w:sz w:val="16"/>
          <w:szCs w:val="16"/>
        </w:rPr>
        <w:t xml:space="preserve">3. THE STATS SYSTEM</w:t>
      </w:r>
    </w:p>
    <w:p>
      <w:pPr>
        <w:spacing w:before="0" w:after="100"/>
      </w:pPr>
      <w:r>
        <w:rPr>
          <w:rFonts w:ascii="Georgia" w:cs="Georgia" w:eastAsia="Georgia" w:hAnsi="Georgia"/>
          <w:b w:val="false"/>
          <w:bCs w:val="false"/>
          <w:color w:val="0F1117"/>
          <w:sz w:val="28"/>
          <w:szCs w:val="28"/>
        </w:rPr>
        <w:t xml:space="preserve">Surfacing failure modes, not just scores</w:t>
      </w:r>
    </w:p>
    <w:p>
      <w:pPr>
        <w:spacing w:before="0" w:after="0"/>
      </w:pPr>
      <w:r>
        <w:rPr>
          <w:sz w:val="20"/>
          <w:szCs w:val="20"/>
        </w:rPr>
        <w:t xml:space="preserve"/>
      </w:r>
    </w:p>
    <w:p>
      <w:pPr>
        <w:spacing w:before="60" w:after="60"/>
        <w:jc w:val="both"/>
      </w:pPr>
      <w:r>
        <w:rPr>
          <w:rFonts w:ascii="Georgia" w:cs="Georgia" w:eastAsia="Georgia" w:hAnsi="Georgia"/>
          <w:b w:val="false"/>
          <w:bCs w:val="false"/>
          <w:i w:val="false"/>
          <w:iCs w:val="false"/>
          <w:color w:val="1F2937"/>
          <w:sz w:val="22"/>
          <w:szCs w:val="22"/>
        </w:rPr>
        <w:t xml:space="preserve">A score tells you how you did on one run. The stats system is designed to answer a different question: </w:t>
      </w:r>
      <w:r>
        <w:rPr>
          <w:rFonts w:ascii="Georgia" w:cs="Georgia" w:eastAsia="Georgia" w:hAnsi="Georgia"/>
          <w:b w:val="false"/>
          <w:bCs w:val="false"/>
          <w:i/>
          <w:iCs/>
          <w:color w:val="1F2937"/>
          <w:sz w:val="22"/>
          <w:szCs w:val="22"/>
        </w:rPr>
        <w:t xml:space="preserve">which specific cognitive move consistently breaks down?</w:t>
      </w:r>
    </w:p>
    <w:p>
      <w:pPr>
        <w:spacing w:before="0" w:after="0"/>
      </w:pPr>
      <w:r>
        <w:rPr>
          <w:sz w:val="20"/>
          <w:szCs w:val="20"/>
        </w:rPr>
        <w:t xml:space="preserve"/>
      </w:r>
    </w:p>
    <w:p>
      <w:pPr>
        <w:spacing w:before="60" w:after="60"/>
        <w:jc w:val="both"/>
      </w:pPr>
      <w:r>
        <w:rPr>
          <w:rFonts w:ascii="Georgia" w:cs="Georgia" w:eastAsia="Georgia" w:hAnsi="Georgia"/>
          <w:b w:val="false"/>
          <w:bCs w:val="false"/>
          <w:i w:val="false"/>
          <w:iCs w:val="false"/>
          <w:color w:val="1F2937"/>
          <w:sz w:val="22"/>
          <w:szCs w:val="22"/>
        </w:rPr>
        <w:t xml:space="preserve">Most candidates who struggle with cases are not uniformly weak. They have a specific failure mode — they can recognise a framework but cannot apply it; they can apply a framework but cannot synthesise a recommendation; they can do the math but cannot identify the right equation. CaseIQ's stats system is designed to surface that failure mode with precision, so effort can be directed at the right thing.</w:t>
      </w:r>
    </w:p>
    <w:p>
      <w:pPr>
        <w:spacing w:before="0" w:after="0"/>
      </w:pPr>
      <w:r>
        <w:rPr>
          <w:sz w:val="20"/>
          <w:szCs w:val="20"/>
        </w:rPr>
        <w:t xml:space="preserve"/>
      </w:r>
    </w:p>
    <w:p>
      <w:pPr>
        <w:spacing w:before="60" w:after="60"/>
        <w:jc w:val="both"/>
      </w:pPr>
      <w:r>
        <w:rPr>
          <w:rFonts w:ascii="Georgia" w:cs="Georgia" w:eastAsia="Georgia" w:hAnsi="Georgia"/>
          <w:b w:val="false"/>
          <w:bCs w:val="false"/>
          <w:i w:val="false"/>
          <w:iCs w:val="false"/>
          <w:color w:val="1F2937"/>
          <w:sz w:val="22"/>
          <w:szCs w:val="22"/>
        </w:rPr>
        <w:t xml:space="preserve">Every answer is recorded at the question level, not just the session level. This enables the following diagnostics:</w:t>
      </w:r>
    </w:p>
    <w:p>
      <w:pPr>
        <w:spacing w:before="0" w:after="0"/>
      </w:pPr>
      <w:r>
        <w:rPr>
          <w:sz w:val="20"/>
          <w:szCs w:val="20"/>
        </w:rP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160"/>
      </w:tblGrid>
      <w:tr>
        <w:tc>
          <w:tcPr>
            <w:tcW w:type="dxa" w:w="2400"/>
            <w:tcBorders>
              <w:top w:val="single" w:color="E5E7EB" w:sz="1"/>
              <w:left w:val="single" w:color="E5E7EB" w:sz="1"/>
              <w:bottom w:val="single" w:color="E5E7EB" w:sz="1"/>
              <w:right w:val="single" w:color="E5E7EB" w:sz="1"/>
            </w:tcBorders>
            <w:shd w:fill="0F1117" w:val="clear"/>
            <w:tcMar>
              <w:top w:type="dxa" w:w="100"/>
              <w:left w:type="dxa" w:w="160"/>
              <w:bottom w:type="dxa" w:w="100"/>
              <w:right w:type="dxa" w:w="160"/>
            </w:tcMar>
          </w:tcPr>
          <w:p>
            <w:r>
              <w:rPr>
                <w:rFonts w:ascii="Arial" w:cs="Arial" w:eastAsia="Arial" w:hAnsi="Arial"/>
                <w:b/>
                <w:bCs/>
                <w:color w:val="FFFFFF"/>
                <w:sz w:val="19"/>
                <w:szCs w:val="19"/>
              </w:rPr>
              <w:t xml:space="preserve">Metric</w:t>
            </w:r>
          </w:p>
        </w:tc>
        <w:tc>
          <w:tcPr>
            <w:tcW w:type="dxa" w:w="1560"/>
            <w:tcBorders>
              <w:top w:val="single" w:color="E5E7EB" w:sz="1"/>
              <w:left w:val="single" w:color="E5E7EB" w:sz="1"/>
              <w:bottom w:val="single" w:color="E5E7EB" w:sz="1"/>
              <w:right w:val="single" w:color="E5E7EB" w:sz="1"/>
            </w:tcBorders>
            <w:shd w:fill="0F1117" w:val="clear"/>
            <w:tcMar>
              <w:top w:type="dxa" w:w="100"/>
              <w:left w:type="dxa" w:w="160"/>
              <w:bottom w:type="dxa" w:w="100"/>
              <w:right w:type="dxa" w:w="160"/>
            </w:tcMar>
          </w:tcPr>
          <w:p>
            <w:r>
              <w:rPr>
                <w:rFonts w:ascii="Arial" w:cs="Arial" w:eastAsia="Arial" w:hAnsi="Arial"/>
                <w:b/>
                <w:bCs/>
                <w:color w:val="FFFFFF"/>
                <w:sz w:val="19"/>
                <w:szCs w:val="19"/>
              </w:rPr>
              <w:t xml:space="preserve">Location</w:t>
            </w:r>
          </w:p>
        </w:tc>
        <w:tc>
          <w:tcPr>
            <w:tcW w:type="dxa" w:w="5160"/>
            <w:tcBorders>
              <w:top w:val="single" w:color="E5E7EB" w:sz="1"/>
              <w:left w:val="single" w:color="E5E7EB" w:sz="1"/>
              <w:bottom w:val="single" w:color="E5E7EB" w:sz="1"/>
              <w:right w:val="single" w:color="E5E7EB" w:sz="1"/>
            </w:tcBorders>
            <w:shd w:fill="0F1117" w:val="clear"/>
            <w:tcMar>
              <w:top w:type="dxa" w:w="100"/>
              <w:left w:type="dxa" w:w="160"/>
              <w:bottom w:type="dxa" w:w="100"/>
              <w:right w:type="dxa" w:w="160"/>
            </w:tcMar>
          </w:tcPr>
          <w:p>
            <w:r>
              <w:rPr>
                <w:rFonts w:ascii="Arial" w:cs="Arial" w:eastAsia="Arial" w:hAnsi="Arial"/>
                <w:b/>
                <w:bCs/>
                <w:color w:val="FFFFFF"/>
                <w:sz w:val="19"/>
                <w:szCs w:val="19"/>
              </w:rPr>
              <w:t xml:space="preserve">Diagnostic value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F1117"/>
                <w:sz w:val="19"/>
                <w:szCs w:val="19"/>
              </w:rPr>
              <w:t xml:space="preserve">Overall accuracy</w:t>
            </w:r>
          </w:p>
        </w:tc>
        <w:tc>
          <w:tcPr>
            <w:tcW w:type="dxa" w:w="1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3B4FC4"/>
                <w:sz w:val="19"/>
                <w:szCs w:val="19"/>
              </w:rPr>
              <w:t xml:space="preserve">Overview card</w:t>
            </w:r>
          </w:p>
        </w:tc>
        <w:tc>
          <w:tcPr>
            <w:tcW w:type="dxa" w:w="5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Georgia" w:cs="Georgia" w:eastAsia="Georgia" w:hAnsi="Georgia"/>
                <w:color w:val="6B7280"/>
                <w:sz w:val="19"/>
                <w:szCs w:val="19"/>
              </w:rPr>
              <w:t xml:space="preserve">Single number reflecting current skill level across all attempts — more reliable than any individual session score.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F1117"/>
                <w:sz w:val="19"/>
                <w:szCs w:val="19"/>
              </w:rPr>
              <w:t xml:space="preserve">Per-question history</w:t>
            </w:r>
          </w:p>
        </w:tc>
        <w:tc>
          <w:tcPr>
            <w:tcW w:type="dxa" w:w="1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3B4FC4"/>
                <w:sz w:val="19"/>
                <w:szCs w:val="19"/>
              </w:rPr>
              <w:t xml:space="preserve">Question Map</w:t>
            </w:r>
          </w:p>
        </w:tc>
        <w:tc>
          <w:tcPr>
            <w:tcW w:type="dxa" w:w="5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Georgia" w:cs="Georgia" w:eastAsia="Georgia" w:hAnsi="Georgia"/>
                <w:color w:val="6B7280"/>
                <w:sz w:val="19"/>
                <w:szCs w:val="19"/>
              </w:rPr>
              <w:t xml:space="preserve">Attempts, misses, last result, and last wrong answer for all 76 questions. Reveals which specific questions are consistently missed.</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F1117"/>
                <w:sz w:val="19"/>
                <w:szCs w:val="19"/>
              </w:rPr>
              <w:t xml:space="preserve">Skill breakdown</w:t>
            </w:r>
          </w:p>
        </w:tc>
        <w:tc>
          <w:tcPr>
            <w:tcW w:type="dxa" w:w="1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3B4FC4"/>
                <w:sz w:val="19"/>
                <w:szCs w:val="19"/>
              </w:rPr>
              <w:t xml:space="preserve">Skill panel</w:t>
            </w:r>
          </w:p>
        </w:tc>
        <w:tc>
          <w:tcPr>
            <w:tcW w:type="dxa" w:w="5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Georgia" w:cs="Georgia" w:eastAsia="Georgia" w:hAnsi="Georgia"/>
                <w:color w:val="6B7280"/>
                <w:sz w:val="19"/>
                <w:szCs w:val="19"/>
              </w:rPr>
              <w:t xml:space="preserve">Accuracy by cognitive category: Recognising, Understanding, Applying, Generating, Math, Synthesising. Pinpoints the failure mode type.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F1117"/>
                <w:sz w:val="19"/>
                <w:szCs w:val="19"/>
              </w:rPr>
              <w:t xml:space="preserve">Accuracy over time</w:t>
            </w:r>
          </w:p>
        </w:tc>
        <w:tc>
          <w:tcPr>
            <w:tcW w:type="dxa" w:w="1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3B4FC4"/>
                <w:sz w:val="19"/>
                <w:szCs w:val="19"/>
              </w:rPr>
              <w:t xml:space="preserve">Line chart</w:t>
            </w:r>
          </w:p>
        </w:tc>
        <w:tc>
          <w:tcPr>
            <w:tcW w:type="dxa" w:w="5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Georgia" w:cs="Georgia" w:eastAsia="Georgia" w:hAnsi="Georgia"/>
                <w:color w:val="6B7280"/>
                <w:sz w:val="19"/>
                <w:szCs w:val="19"/>
              </w:rPr>
              <w:t xml:space="preserve">Last 20 sessions. Distinguishes genuine improvement from session-to-session variance.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F1117"/>
                <w:sz w:val="19"/>
                <w:szCs w:val="19"/>
              </w:rPr>
              <w:t xml:space="preserve">Module radar</w:t>
            </w:r>
          </w:p>
        </w:tc>
        <w:tc>
          <w:tcPr>
            <w:tcW w:type="dxa" w:w="1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3B4FC4"/>
                <w:sz w:val="19"/>
                <w:szCs w:val="19"/>
              </w:rPr>
              <w:t xml:space="preserve">Radar chart</w:t>
            </w:r>
          </w:p>
        </w:tc>
        <w:tc>
          <w:tcPr>
            <w:tcW w:type="dxa" w:w="5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Georgia" w:cs="Georgia" w:eastAsia="Georgia" w:hAnsi="Georgia"/>
                <w:color w:val="6B7280"/>
                <w:sz w:val="19"/>
                <w:szCs w:val="19"/>
              </w:rPr>
              <w:t xml:space="preserve">Relative strength across all 6 modules. Identifies which module to prioritise next.</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F1117"/>
                <w:sz w:val="19"/>
                <w:szCs w:val="19"/>
              </w:rPr>
              <w:t xml:space="preserve">Day streak</w:t>
            </w:r>
          </w:p>
        </w:tc>
        <w:tc>
          <w:tcPr>
            <w:tcW w:type="dxa" w:w="1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3B4FC4"/>
                <w:sz w:val="19"/>
                <w:szCs w:val="19"/>
              </w:rPr>
              <w:t xml:space="preserve">Overview card</w:t>
            </w:r>
          </w:p>
        </w:tc>
        <w:tc>
          <w:tcPr>
            <w:tcW w:type="dxa" w:w="5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Georgia" w:cs="Georgia" w:eastAsia="Georgia" w:hAnsi="Georgia"/>
                <w:color w:val="6B7280"/>
                <w:sz w:val="19"/>
                <w:szCs w:val="19"/>
              </w:rPr>
              <w:t xml:space="preserve">Consecutive days with a completed session. Tracks consistency, which is the primary predictor of improvement.</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0F1117"/>
                <w:sz w:val="19"/>
                <w:szCs w:val="19"/>
              </w:rPr>
              <w:t xml:space="preserve">Performance tier</w:t>
            </w:r>
          </w:p>
        </w:tc>
        <w:tc>
          <w:tcPr>
            <w:tcW w:type="dxa" w:w="1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3B4FC4"/>
                <w:sz w:val="19"/>
                <w:szCs w:val="19"/>
              </w:rPr>
              <w:t xml:space="preserve">Home &amp; dashboard</w:t>
            </w:r>
          </w:p>
        </w:tc>
        <w:tc>
          <w:tcPr>
            <w:tcW w:type="dxa" w:w="5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Georgia" w:cs="Georgia" w:eastAsia="Georgia" w:hAnsi="Georgia"/>
                <w:color w:val="6B7280"/>
                <w:sz w:val="19"/>
                <w:szCs w:val="19"/>
              </w:rPr>
              <w:t xml:space="preserve">Live label: Recruit → Associate → Analyst → Strategist. Updated after every question answered.</w:t>
            </w:r>
          </w:p>
        </w:tc>
      </w:tr>
    </w:tbl>
    <w:p>
      <w:pPr>
        <w:spacing w:before="0" w:after="0"/>
      </w:pPr>
      <w:r>
        <w:rPr>
          <w:sz w:val="20"/>
          <w:szCs w:val="20"/>
        </w:rPr>
        <w:t xml:space="preserve"/>
      </w:r>
    </w:p>
    <w:p>
      <w:pPr>
        <w:spacing w:before="0" w:after="0"/>
      </w:pPr>
      <w:r>
        <w:rPr>
          <w:sz w:val="20"/>
          <w:szCs w:val="20"/>
        </w:rPr>
        <w:t xml:space="preserve"/>
      </w:r>
    </w:p>
    <w:p>
      <w:pPr>
        <w:spacing w:before="200" w:after="60"/>
      </w:pPr>
      <w:r>
        <w:rPr>
          <w:rFonts w:ascii="Arial" w:cs="Arial" w:eastAsia="Arial" w:hAnsi="Arial"/>
          <w:b/>
          <w:bCs/>
          <w:color w:val="0F1117"/>
          <w:sz w:val="22"/>
          <w:szCs w:val="22"/>
        </w:rPr>
        <w:t xml:space="preserve">Skill Categories</w:t>
      </w:r>
    </w:p>
    <w:p>
      <w:pPr>
        <w:spacing w:before="60" w:after="60"/>
        <w:jc w:val="both"/>
      </w:pPr>
      <w:r>
        <w:rPr>
          <w:rFonts w:ascii="Georgia" w:cs="Georgia" w:eastAsia="Georgia" w:hAnsi="Georgia"/>
          <w:b w:val="false"/>
          <w:bCs w:val="false"/>
          <w:i w:val="false"/>
          <w:iCs w:val="false"/>
          <w:color w:val="1F2937"/>
          <w:sz w:val="22"/>
          <w:szCs w:val="22"/>
        </w:rPr>
        <w:t xml:space="preserve">The skill breakdown panel groups all 35 question phases across the 6 modules into 6 cognitive categories derived from Bloom's Taxonomy adapted for consulting contexts:</w:t>
      </w:r>
    </w:p>
    <w:p>
      <w:pPr>
        <w:spacing w:before="0" w:after="0"/>
      </w:pPr>
      <w:r>
        <w:rPr>
          <w:sz w:val="20"/>
          <w:szCs w:val="20"/>
        </w:rPr>
        <w:t xml:space="preserve"/>
      </w:r>
    </w:p>
    <w:p>
      <w:pPr>
        <w:pStyle w:val="ListParagraph"/>
        <w:numPr>
          <w:ilvl w:val="0"/>
          <w:numId w:val="2"/>
        </w:numPr>
        <w:spacing w:before="40" w:after="40"/>
      </w:pPr>
      <w:r>
        <w:rPr>
          <w:rFonts w:ascii="Georgia" w:cs="Georgia" w:eastAsia="Georgia" w:hAnsi="Georgia"/>
          <w:color w:val="1F2937"/>
          <w:sz w:val="22"/>
          <w:szCs w:val="22"/>
        </w:rPr>
        <w:t xml:space="preserve">Recognising — identifying the correct framework, equation, or bucket from a set of options</w:t>
      </w:r>
    </w:p>
    <w:p>
      <w:pPr>
        <w:pStyle w:val="ListParagraph"/>
        <w:numPr>
          <w:ilvl w:val="0"/>
          <w:numId w:val="2"/>
        </w:numPr>
        <w:spacing w:before="40" w:after="40"/>
      </w:pPr>
      <w:r>
        <w:rPr>
          <w:rFonts w:ascii="Georgia" w:cs="Georgia" w:eastAsia="Georgia" w:hAnsi="Georgia"/>
          <w:color w:val="1F2937"/>
          <w:sz w:val="22"/>
          <w:szCs w:val="22"/>
        </w:rPr>
        <w:t xml:space="preserve">Understanding — demonstrating comprehension of why a framework or approach applies</w:t>
      </w:r>
    </w:p>
    <w:p>
      <w:pPr>
        <w:pStyle w:val="ListParagraph"/>
        <w:numPr>
          <w:ilvl w:val="0"/>
          <w:numId w:val="2"/>
        </w:numPr>
        <w:spacing w:before="40" w:after="40"/>
      </w:pPr>
      <w:r>
        <w:rPr>
          <w:rFonts w:ascii="Georgia" w:cs="Georgia" w:eastAsia="Georgia" w:hAnsi="Georgia"/>
          <w:color w:val="1F2937"/>
          <w:sz w:val="22"/>
          <w:szCs w:val="22"/>
        </w:rPr>
        <w:t xml:space="preserve">Applying — using a framework or equation correctly in a novel business context</w:t>
      </w:r>
    </w:p>
    <w:p>
      <w:pPr>
        <w:pStyle w:val="ListParagraph"/>
        <w:numPr>
          <w:ilvl w:val="0"/>
          <w:numId w:val="2"/>
        </w:numPr>
        <w:spacing w:before="40" w:after="40"/>
      </w:pPr>
      <w:r>
        <w:rPr>
          <w:rFonts w:ascii="Georgia" w:cs="Georgia" w:eastAsia="Georgia" w:hAnsi="Georgia"/>
          <w:color w:val="1F2937"/>
          <w:sz w:val="22"/>
          <w:szCs w:val="22"/>
        </w:rPr>
        <w:t xml:space="preserve">Generating — producing hypotheses, recommendations, or analyses from incomplete information</w:t>
      </w:r>
    </w:p>
    <w:p>
      <w:pPr>
        <w:pStyle w:val="ListParagraph"/>
        <w:numPr>
          <w:ilvl w:val="0"/>
          <w:numId w:val="2"/>
        </w:numPr>
        <w:spacing w:before="40" w:after="40"/>
      </w:pPr>
      <w:r>
        <w:rPr>
          <w:rFonts w:ascii="Georgia" w:cs="Georgia" w:eastAsia="Georgia" w:hAnsi="Georgia"/>
          <w:color w:val="1F2937"/>
          <w:sz w:val="22"/>
          <w:szCs w:val="22"/>
        </w:rPr>
        <w:t xml:space="preserve">Math — executing quantitative reasoning correctly under realistic case conditions</w:t>
      </w:r>
    </w:p>
    <w:p>
      <w:pPr>
        <w:pStyle w:val="ListParagraph"/>
        <w:numPr>
          <w:ilvl w:val="0"/>
          <w:numId w:val="2"/>
        </w:numPr>
        <w:spacing w:before="40" w:after="40"/>
      </w:pPr>
      <w:r>
        <w:rPr>
          <w:rFonts w:ascii="Georgia" w:cs="Georgia" w:eastAsia="Georgia" w:hAnsi="Georgia"/>
          <w:color w:val="1F2937"/>
          <w:sz w:val="22"/>
          <w:szCs w:val="22"/>
        </w:rPr>
        <w:t xml:space="preserve">Synthesising — integrating multiple pieces of information into a structured conclusion</w:t>
      </w:r>
    </w:p>
    <w:p>
      <w:pPr>
        <w:pBdr>
          <w:bottom w:val="single" w:color="E5E7EB" w:sz="4" w:space="1"/>
        </w:pBdr>
        <w:spacing w:before="240" w:after="240"/>
      </w:pPr>
      <w:r>
        <w:rPr>
          <w:sz w:val="2"/>
          <w:szCs w:val="2"/>
        </w:rPr>
        <w:t xml:space="preserve"/>
      </w:r>
    </w:p>
    <w:p>
      <w:pPr>
        <w:spacing w:before="320" w:after="80"/>
      </w:pPr>
      <w:r>
        <w:rPr>
          <w:rFonts w:ascii="Arial" w:cs="Arial" w:eastAsia="Arial" w:hAnsi="Arial"/>
          <w:b/>
          <w:bCs/>
          <w:color w:val="3B4FC4"/>
          <w:spacing w:val="120"/>
          <w:sz w:val="16"/>
          <w:szCs w:val="16"/>
        </w:rPr>
        <w:t xml:space="preserve">4. USER WORKFLOW</w:t>
      </w:r>
    </w:p>
    <w:p>
      <w:pPr>
        <w:spacing w:before="0" w:after="100"/>
      </w:pPr>
      <w:r>
        <w:rPr>
          <w:rFonts w:ascii="Georgia" w:cs="Georgia" w:eastAsia="Georgia" w:hAnsi="Georgia"/>
          <w:b w:val="false"/>
          <w:bCs w:val="false"/>
          <w:color w:val="0F1117"/>
          <w:sz w:val="28"/>
          <w:szCs w:val="28"/>
        </w:rPr>
        <w:t xml:space="preserve">The deliberate practice loop</w:t>
      </w:r>
    </w:p>
    <w:p>
      <w:pPr>
        <w:spacing w:before="0" w:after="0"/>
      </w:pPr>
      <w:r>
        <w:rPr>
          <w:sz w:val="20"/>
          <w:szCs w:val="20"/>
        </w:rPr>
        <w:t xml:space="preserve"/>
      </w:r>
    </w:p>
    <w:p>
      <w:pPr>
        <w:spacing w:before="60" w:after="60"/>
        <w:jc w:val="both"/>
      </w:pPr>
      <w:r>
        <w:rPr>
          <w:rFonts w:ascii="Georgia" w:cs="Georgia" w:eastAsia="Georgia" w:hAnsi="Georgia"/>
          <w:b w:val="false"/>
          <w:bCs w:val="false"/>
          <w:i w:val="false"/>
          <w:iCs w:val="false"/>
          <w:color w:val="1F2937"/>
          <w:sz w:val="22"/>
          <w:szCs w:val="22"/>
        </w:rPr>
        <w:t xml:space="preserve">CaseIQ is designed around a deliberate practice loop — a structure where each element reinforces the next:</w:t>
      </w:r>
    </w:p>
    <w:p>
      <w:pPr>
        <w:spacing w:before="0" w:after="0"/>
      </w:pPr>
      <w:r>
        <w:rPr>
          <w:sz w:val="20"/>
          <w:szCs w:val="20"/>
        </w:rPr>
        <w:t xml:space="preserve"/>
      </w:r>
    </w:p>
    <w:p>
      <w:pPr>
        <w:pStyle w:val="ListParagraph"/>
        <w:numPr>
          <w:ilvl w:val="0"/>
          <w:numId w:val="2"/>
        </w:numPr>
        <w:spacing w:before="40" w:after="40"/>
      </w:pPr>
      <w:r>
        <w:rPr>
          <w:rFonts w:ascii="Georgia" w:cs="Georgia" w:eastAsia="Georgia" w:hAnsi="Georgia"/>
          <w:color w:val="1F2937"/>
          <w:sz w:val="22"/>
          <w:szCs w:val="22"/>
        </w:rPr>
        <w:t xml:space="preserve">Home — module cards show current accuracy and progress. A stats card surfaces overall accuracy as soon as data exists.</w:t>
      </w:r>
    </w:p>
    <w:p>
      <w:pPr>
        <w:pStyle w:val="ListParagraph"/>
        <w:numPr>
          <w:ilvl w:val="0"/>
          <w:numId w:val="2"/>
        </w:numPr>
        <w:spacing w:before="40" w:after="40"/>
      </w:pPr>
      <w:r>
        <w:rPr>
          <w:rFonts w:ascii="Georgia" w:cs="Georgia" w:eastAsia="Georgia" w:hAnsi="Georgia"/>
          <w:color w:val="1F2937"/>
          <w:sz w:val="22"/>
          <w:szCs w:val="22"/>
        </w:rPr>
        <w:t xml:space="preserve">Reference sheet — a focused one-page breakdown of the consulting skill. Reviewed before every drill session.</w:t>
      </w:r>
    </w:p>
    <w:p>
      <w:pPr>
        <w:pStyle w:val="ListParagraph"/>
        <w:numPr>
          <w:ilvl w:val="0"/>
          <w:numId w:val="2"/>
        </w:numPr>
        <w:spacing w:before="40" w:after="40"/>
      </w:pPr>
      <w:r>
        <w:rPr>
          <w:rFonts w:ascii="Georgia" w:cs="Georgia" w:eastAsia="Georgia" w:hAnsi="Georgia"/>
          <w:color w:val="1F2937"/>
          <w:sz w:val="22"/>
          <w:szCs w:val="22"/>
        </w:rPr>
        <w:t xml:space="preserve">Drill — 12–13 questions with immediate feedback on every answer. A question strip allows navigation to any question mid-session.</w:t>
      </w:r>
    </w:p>
    <w:p>
      <w:pPr>
        <w:pStyle w:val="ListParagraph"/>
        <w:numPr>
          <w:ilvl w:val="0"/>
          <w:numId w:val="2"/>
        </w:numPr>
        <w:spacing w:before="40" w:after="40"/>
      </w:pPr>
      <w:r>
        <w:rPr>
          <w:rFonts w:ascii="Georgia" w:cs="Georgia" w:eastAsia="Georgia" w:hAnsi="Georgia"/>
          <w:color w:val="1F2937"/>
          <w:sz w:val="22"/>
          <w:szCs w:val="22"/>
        </w:rPr>
        <w:t xml:space="preserve">Results — score and full cheat sheet for review before the next run.</w:t>
      </w:r>
    </w:p>
    <w:p>
      <w:pPr>
        <w:pStyle w:val="ListParagraph"/>
        <w:numPr>
          <w:ilvl w:val="0"/>
          <w:numId w:val="2"/>
        </w:numPr>
        <w:spacing w:before="40" w:after="40"/>
      </w:pPr>
      <w:r>
        <w:rPr>
          <w:rFonts w:ascii="Georgia" w:cs="Georgia" w:eastAsia="Georgia" w:hAnsi="Georgia"/>
          <w:color w:val="1F2937"/>
          <w:sz w:val="22"/>
          <w:szCs w:val="22"/>
        </w:rPr>
        <w:t xml:space="preserve">Stats dashboard — full training history, skill breakdown, question map, and trend charts. Accessible from any screen.</w:t>
      </w:r>
    </w:p>
    <w:p>
      <w:pPr>
        <w:spacing w:before="0" w:after="0"/>
      </w:pPr>
      <w:r>
        <w:rPr>
          <w:sz w:val="20"/>
          <w:szCs w:val="20"/>
        </w:rPr>
        <w:t xml:space="preserve"/>
      </w:r>
    </w:p>
    <w:p>
      <w:pPr>
        <w:spacing w:before="60" w:after="60"/>
        <w:jc w:val="both"/>
      </w:pPr>
      <w:r>
        <w:rPr>
          <w:rFonts w:ascii="Georgia" w:cs="Georgia" w:eastAsia="Georgia" w:hAnsi="Georgia"/>
          <w:b w:val="false"/>
          <w:bCs w:val="false"/>
          <w:i w:val="false"/>
          <w:iCs w:val="false"/>
          <w:color w:val="1F2937"/>
          <w:sz w:val="22"/>
          <w:szCs w:val="22"/>
        </w:rPr>
        <w:t xml:space="preserve">The loop is intentional. Reference → drill → review → stats → repeat. Each pass through a module adds data points, and the stats compound into a </w:t>
      </w:r>
      <w:r>
        <w:rPr>
          <w:rFonts w:ascii="Georgia" w:cs="Georgia" w:eastAsia="Georgia" w:hAnsi="Georgia"/>
          <w:b w:val="false"/>
          <w:bCs w:val="false"/>
          <w:i/>
          <w:iCs/>
          <w:color w:val="1F2937"/>
          <w:sz w:val="22"/>
          <w:szCs w:val="22"/>
        </w:rPr>
        <w:t xml:space="preserve">precise skill profile</w:t>
      </w:r>
      <w:r>
        <w:rPr>
          <w:rFonts w:ascii="Georgia" w:cs="Georgia" w:eastAsia="Georgia" w:hAnsi="Georgia"/>
          <w:b w:val="false"/>
          <w:bCs w:val="false"/>
          <w:i w:val="false"/>
          <w:iCs w:val="false"/>
          <w:color w:val="1F2937"/>
          <w:sz w:val="22"/>
          <w:szCs w:val="22"/>
        </w:rPr>
        <w:t xml:space="preserve"> rather than a collection of individual scores. The question map — a visual grid of all 76 questions coloured by performance history — makes it possible to see at a glance which areas require focused remediation.</w:t>
      </w:r>
    </w:p>
    <w:p>
      <w:pPr>
        <w:pBdr>
          <w:bottom w:val="single" w:color="E5E7EB" w:sz="4" w:space="1"/>
        </w:pBdr>
        <w:spacing w:before="240" w:after="240"/>
      </w:pPr>
      <w:r>
        <w:rPr>
          <w:sz w:val="2"/>
          <w:szCs w:val="2"/>
        </w:rPr>
        <w:t xml:space="preserve"/>
      </w:r>
    </w:p>
    <w:p>
      <w:pPr>
        <w:spacing w:before="320" w:after="80"/>
      </w:pPr>
      <w:r>
        <w:rPr>
          <w:rFonts w:ascii="Arial" w:cs="Arial" w:eastAsia="Arial" w:hAnsi="Arial"/>
          <w:b/>
          <w:bCs/>
          <w:color w:val="3B4FC4"/>
          <w:spacing w:val="120"/>
          <w:sz w:val="16"/>
          <w:szCs w:val="16"/>
        </w:rPr>
        <w:t xml:space="preserve">5. DESIGN PRINCIPLES</w:t>
      </w:r>
    </w:p>
    <w:p>
      <w:pPr>
        <w:spacing w:before="0" w:after="100"/>
      </w:pPr>
      <w:r>
        <w:rPr>
          <w:rFonts w:ascii="Georgia" w:cs="Georgia" w:eastAsia="Georgia" w:hAnsi="Georgia"/>
          <w:b w:val="false"/>
          <w:bCs w:val="false"/>
          <w:color w:val="0F1117"/>
          <w:sz w:val="28"/>
          <w:szCs w:val="28"/>
        </w:rPr>
        <w:t xml:space="preserve">What we optimised for</w:t>
      </w:r>
    </w:p>
    <w:p>
      <w:pPr>
        <w:spacing w:before="0" w:after="0"/>
      </w:pPr>
      <w:r>
        <w:rPr>
          <w:sz w:val="20"/>
          <w:szCs w:val="20"/>
        </w:rPr>
        <w:t xml:space="preserve"/>
      </w:r>
    </w:p>
    <w:p>
      <w:pPr>
        <w:spacing w:before="200" w:after="60"/>
      </w:pPr>
      <w:r>
        <w:rPr>
          <w:rFonts w:ascii="Arial" w:cs="Arial" w:eastAsia="Arial" w:hAnsi="Arial"/>
          <w:b/>
          <w:bCs/>
          <w:color w:val="0F1117"/>
          <w:sz w:val="22"/>
          <w:szCs w:val="22"/>
        </w:rPr>
        <w:t xml:space="preserve">Zero friction</w:t>
      </w:r>
    </w:p>
    <w:p>
      <w:pPr>
        <w:spacing w:before="60" w:after="60"/>
        <w:jc w:val="both"/>
      </w:pPr>
      <w:r>
        <w:rPr>
          <w:rFonts w:ascii="Georgia" w:cs="Georgia" w:eastAsia="Georgia" w:hAnsi="Georgia"/>
          <w:b w:val="false"/>
          <w:bCs w:val="false"/>
          <w:i w:val="false"/>
          <w:iCs w:val="false"/>
          <w:color w:val="1F2937"/>
          <w:sz w:val="22"/>
          <w:szCs w:val="22"/>
        </w:rPr>
        <w:t xml:space="preserve">No account. No installation. No backend. The tool loads instantly and works offline. Every barrier removed is a session that actually happens.</w:t>
      </w:r>
    </w:p>
    <w:p>
      <w:pPr>
        <w:spacing w:before="200" w:after="60"/>
      </w:pPr>
      <w:r>
        <w:rPr>
          <w:rFonts w:ascii="Arial" w:cs="Arial" w:eastAsia="Arial" w:hAnsi="Arial"/>
          <w:b/>
          <w:bCs/>
          <w:color w:val="0F1117"/>
          <w:sz w:val="22"/>
          <w:szCs w:val="22"/>
        </w:rPr>
        <w:t xml:space="preserve">Feedback quality over question volume</w:t>
      </w:r>
    </w:p>
    <w:p>
      <w:pPr>
        <w:spacing w:before="60" w:after="60"/>
        <w:jc w:val="both"/>
      </w:pPr>
      <w:r>
        <w:rPr>
          <w:rFonts w:ascii="Georgia" w:cs="Georgia" w:eastAsia="Georgia" w:hAnsi="Georgia"/>
          <w:b w:val="false"/>
          <w:bCs w:val="false"/>
          <w:i w:val="false"/>
          <w:iCs w:val="false"/>
          <w:color w:val="1F2937"/>
          <w:sz w:val="22"/>
          <w:szCs w:val="22"/>
        </w:rPr>
        <w:t xml:space="preserve">76 questions with high-quality explanations outperform 500 questions with no feedback. Every incorrect answer in CaseIQ includes a specific explanation of the reasoning error, not just the correct answer.</w:t>
      </w:r>
    </w:p>
    <w:p>
      <w:pPr>
        <w:spacing w:before="200" w:after="60"/>
      </w:pPr>
      <w:r>
        <w:rPr>
          <w:rFonts w:ascii="Arial" w:cs="Arial" w:eastAsia="Arial" w:hAnsi="Arial"/>
          <w:b/>
          <w:bCs/>
          <w:color w:val="0F1117"/>
          <w:sz w:val="22"/>
          <w:szCs w:val="22"/>
        </w:rPr>
        <w:t xml:space="preserve">Stats as a diagnostic tool, not a vanity metric</w:t>
      </w:r>
    </w:p>
    <w:p>
      <w:pPr>
        <w:spacing w:before="60" w:after="60"/>
        <w:jc w:val="both"/>
      </w:pPr>
      <w:r>
        <w:rPr>
          <w:rFonts w:ascii="Georgia" w:cs="Georgia" w:eastAsia="Georgia" w:hAnsi="Georgia"/>
          <w:b w:val="false"/>
          <w:bCs w:val="false"/>
          <w:i w:val="false"/>
          <w:iCs w:val="false"/>
          <w:color w:val="1F2937"/>
          <w:sz w:val="22"/>
          <w:szCs w:val="22"/>
        </w:rPr>
        <w:t xml:space="preserve">The stats system is designed to surface actionable information: not just accuracy, but which type of cognitive move fails, on which specific questions, with what frequency. The tier system (Recruit → Strategist) provides a single orientating label, but the detailed diagnostics are what drive improvement.</w:t>
      </w:r>
    </w:p>
    <w:p>
      <w:pPr>
        <w:spacing w:before="200" w:after="60"/>
      </w:pPr>
      <w:r>
        <w:rPr>
          <w:rFonts w:ascii="Arial" w:cs="Arial" w:eastAsia="Arial" w:hAnsi="Arial"/>
          <w:b/>
          <w:bCs/>
          <w:color w:val="0F1117"/>
          <w:sz w:val="22"/>
          <w:szCs w:val="22"/>
        </w:rPr>
        <w:t xml:space="preserve">Privacy by design</w:t>
      </w:r>
    </w:p>
    <w:p>
      <w:pPr>
        <w:spacing w:before="60" w:after="60"/>
        <w:jc w:val="both"/>
      </w:pPr>
      <w:r>
        <w:rPr>
          <w:rFonts w:ascii="Georgia" w:cs="Georgia" w:eastAsia="Georgia" w:hAnsi="Georgia"/>
          <w:b w:val="false"/>
          <w:bCs w:val="false"/>
          <w:i w:val="false"/>
          <w:iCs w:val="false"/>
          <w:color w:val="1F2937"/>
          <w:sz w:val="22"/>
          <w:szCs w:val="22"/>
        </w:rPr>
        <w:t xml:space="preserve">All data is stored locally in the browser's localStorage. Nothing is transmitted to any server. Clearing browser data resets all stats. This is a deliberate choice: the tool should feel safe to use honestly.</w:t>
      </w:r>
    </w:p>
    <w:p>
      <w:pPr>
        <w:pBdr>
          <w:bottom w:val="single" w:color="E5E7EB" w:sz="4" w:space="1"/>
        </w:pBdr>
        <w:spacing w:before="240" w:after="240"/>
      </w:pPr>
      <w:r>
        <w:rPr>
          <w:sz w:val="2"/>
          <w:szCs w:val="2"/>
        </w:rPr>
        <w:t xml:space="preserve"/>
      </w:r>
    </w:p>
    <w:p>
      <w:pPr>
        <w:spacing w:before="320" w:after="80"/>
      </w:pPr>
      <w:r>
        <w:rPr>
          <w:rFonts w:ascii="Arial" w:cs="Arial" w:eastAsia="Arial" w:hAnsi="Arial"/>
          <w:b/>
          <w:bCs/>
          <w:color w:val="3B4FC4"/>
          <w:spacing w:val="120"/>
          <w:sz w:val="16"/>
          <w:szCs w:val="16"/>
        </w:rPr>
        <w:t xml:space="preserve">7. QUESTION DESIGN</w:t>
      </w:r>
    </w:p>
    <w:p>
      <w:pPr>
        <w:spacing w:before="0" w:after="100"/>
      </w:pPr>
      <w:r>
        <w:rPr>
          <w:rFonts w:ascii="Georgia" w:cs="Georgia" w:eastAsia="Georgia" w:hAnsi="Georgia"/>
          <w:b w:val="false"/>
          <w:bCs w:val="false"/>
          <w:color w:val="0F1117"/>
          <w:sz w:val="28"/>
          <w:szCs w:val="28"/>
        </w:rPr>
        <w:t xml:space="preserve">How questions are formulated and what they test</w:t>
      </w:r>
    </w:p>
    <w:p>
      <w:pPr>
        <w:spacing w:before="0" w:after="0"/>
      </w:pPr>
      <w:r>
        <w:rPr>
          <w:sz w:val="20"/>
          <w:szCs w:val="20"/>
        </w:rPr>
        <w:t xml:space="preserve"/>
      </w:r>
    </w:p>
    <w:p>
      <w:pPr>
        <w:spacing w:before="60" w:after="60"/>
        <w:jc w:val="both"/>
      </w:pPr>
      <w:r>
        <w:rPr>
          <w:rFonts w:ascii="Georgia" w:cs="Georgia" w:eastAsia="Georgia" w:hAnsi="Georgia"/>
          <w:b w:val="false"/>
          <w:bCs w:val="false"/>
          <w:i w:val="false"/>
          <w:iCs w:val="false"/>
          <w:color w:val="1F2937"/>
          <w:sz w:val="22"/>
          <w:szCs w:val="22"/>
        </w:rPr>
        <w:t xml:space="preserve">Every question in CaseIQ is designed around a single principle: the wrong answers must be plausible. A question where the correct answer is obvious does not build reasoning skill — it builds pattern matching. The goal is to force a genuine cognitive judgment.</w:t>
      </w:r>
    </w:p>
    <w:p>
      <w:pPr>
        <w:spacing w:before="0" w:after="0"/>
      </w:pPr>
      <w:r>
        <w:rPr>
          <w:sz w:val="20"/>
          <w:szCs w:val="20"/>
        </w:rPr>
        <w:t xml:space="preserve"/>
      </w:r>
    </w:p>
    <w:p>
      <w:pPr>
        <w:spacing w:before="200" w:after="60"/>
      </w:pPr>
      <w:r>
        <w:rPr>
          <w:rFonts w:ascii="Arial" w:cs="Arial" w:eastAsia="Arial" w:hAnsi="Arial"/>
          <w:b/>
          <w:bCs/>
          <w:color w:val="0F1117"/>
          <w:sz w:val="22"/>
          <w:szCs w:val="22"/>
        </w:rPr>
        <w:t xml:space="preserve">Structure</w:t>
      </w:r>
    </w:p>
    <w:p>
      <w:pPr>
        <w:spacing w:before="60" w:after="60"/>
        <w:jc w:val="both"/>
      </w:pPr>
      <w:r>
        <w:rPr>
          <w:rFonts w:ascii="Georgia" w:cs="Georgia" w:eastAsia="Georgia" w:hAnsi="Georgia"/>
          <w:b w:val="false"/>
          <w:bCs w:val="false"/>
          <w:i w:val="false"/>
          <w:iCs w:val="false"/>
          <w:color w:val="1F2937"/>
          <w:sz w:val="22"/>
          <w:szCs w:val="22"/>
        </w:rPr>
        <w:t xml:space="preserve">Each question presents four options structured so that at least two are defensible at first glance. The correct answer requires applying the right reasoning move precisely — not just recognising the general topic area. Wrong answers are drawn from common candidate mistakes: the adjacent framework, the superficially similar equation, the hypothesis that sounds right but misreads the data.</w:t>
      </w:r>
    </w:p>
    <w:p>
      <w:pPr>
        <w:spacing w:before="0" w:after="0"/>
      </w:pPr>
      <w:r>
        <w:rPr>
          <w:sz w:val="20"/>
          <w:szCs w:val="20"/>
        </w:rPr>
        <w:t xml:space="preserve"/>
      </w:r>
    </w:p>
    <w:p>
      <w:pPr>
        <w:spacing w:before="200" w:after="60"/>
      </w:pPr>
      <w:r>
        <w:rPr>
          <w:rFonts w:ascii="Arial" w:cs="Arial" w:eastAsia="Arial" w:hAnsi="Arial"/>
          <w:b/>
          <w:bCs/>
          <w:color w:val="0F1117"/>
          <w:sz w:val="22"/>
          <w:szCs w:val="22"/>
        </w:rPr>
        <w:t xml:space="preserve">Feedback as the learning moment</w:t>
      </w:r>
    </w:p>
    <w:p>
      <w:pPr>
        <w:spacing w:before="60" w:after="60"/>
        <w:jc w:val="both"/>
      </w:pPr>
      <w:r>
        <w:rPr>
          <w:rFonts w:ascii="Georgia" w:cs="Georgia" w:eastAsia="Georgia" w:hAnsi="Georgia"/>
          <w:b w:val="false"/>
          <w:bCs w:val="false"/>
          <w:i w:val="false"/>
          <w:iCs w:val="false"/>
          <w:color w:val="1F2937"/>
          <w:sz w:val="22"/>
          <w:szCs w:val="22"/>
        </w:rPr>
        <w:t xml:space="preserve">The feedback on each answer is as important as the question itself. For correct answers, the feedback explains why the reasoning works — not just that it is right. For incorrect answers, it identifies the specific reasoning error: why this answer was tempting, what it gets wrong, and what the correct move looks like. This transforms every wrong answer from a failure into a precise diagnostic.</w:t>
      </w:r>
    </w:p>
    <w:p>
      <w:pPr>
        <w:spacing w:before="0" w:after="0"/>
      </w:pPr>
      <w:r>
        <w:rPr>
          <w:sz w:val="20"/>
          <w:szCs w:val="20"/>
        </w:rPr>
        <w:t xml:space="preserve"/>
      </w:r>
    </w:p>
    <w:p>
      <w:pPr>
        <w:spacing w:before="200" w:after="60"/>
      </w:pPr>
      <w:r>
        <w:rPr>
          <w:rFonts w:ascii="Arial" w:cs="Arial" w:eastAsia="Arial" w:hAnsi="Arial"/>
          <w:b/>
          <w:bCs/>
          <w:color w:val="0F1117"/>
          <w:sz w:val="22"/>
          <w:szCs w:val="22"/>
        </w:rPr>
        <w:t xml:space="preserve">What each module's questions aim to achieve</w:t>
      </w:r>
    </w:p>
    <w:p>
      <w:pPr>
        <w:spacing w:before="0" w:after="0"/>
      </w:pPr>
      <w:r>
        <w:rPr>
          <w:sz w:val="20"/>
          <w:szCs w:val="20"/>
        </w:rPr>
        <w:t xml:space="preserve"/>
      </w:r>
    </w:p>
    <w:p>
      <w:pPr>
        <w:pStyle w:val="ListParagraph"/>
        <w:numPr>
          <w:ilvl w:val="0"/>
          <w:numId w:val="2"/>
        </w:numPr>
        <w:spacing w:before="40" w:after="40"/>
      </w:pPr>
      <w:r>
        <w:rPr>
          <w:rFonts w:ascii="Georgia" w:cs="Georgia" w:eastAsia="Georgia" w:hAnsi="Georgia"/>
          <w:color w:val="1F2937"/>
          <w:sz w:val="22"/>
          <w:szCs w:val="22"/>
        </w:rPr>
        <w:t xml:space="preserve">Module 01 (Framework Remix) — Questions force a choice between four legitimate frameworks applied to the same prompt. The aim is to break the habit of defaulting to one framework and build genuine lens-switching fluency.</w:t>
      </w:r>
    </w:p>
    <w:p>
      <w:pPr>
        <w:pStyle w:val="ListParagraph"/>
        <w:numPr>
          <w:ilvl w:val="0"/>
          <w:numId w:val="2"/>
        </w:numPr>
        <w:spacing w:before="40" w:after="40"/>
      </w:pPr>
      <w:r>
        <w:rPr>
          <w:rFonts w:ascii="Georgia" w:cs="Georgia" w:eastAsia="Georgia" w:hAnsi="Georgia"/>
          <w:color w:val="1F2937"/>
          <w:sz w:val="22"/>
          <w:szCs w:val="22"/>
        </w:rPr>
        <w:t xml:space="preserve">Module 02 (Bucket Identification) — Questions present a single business observation and ask which of 12 buckets it belongs to. The aim is to make classification automatic — the speed and accuracy required in a real interview.</w:t>
      </w:r>
    </w:p>
    <w:p>
      <w:pPr>
        <w:pStyle w:val="ListParagraph"/>
        <w:numPr>
          <w:ilvl w:val="0"/>
          <w:numId w:val="2"/>
        </w:numPr>
        <w:spacing w:before="40" w:after="40"/>
      </w:pPr>
      <w:r>
        <w:rPr>
          <w:rFonts w:ascii="Georgia" w:cs="Georgia" w:eastAsia="Georgia" w:hAnsi="Georgia"/>
          <w:color w:val="1F2937"/>
          <w:sz w:val="22"/>
          <w:szCs w:val="22"/>
        </w:rPr>
        <w:t xml:space="preserve">Module 03 (Hidden Equations) — Questions present a case scenario and ask which equation underlies it, before any numbers appear. The aim is to train the habit of identifying quantitative structure before attempting calculation.</w:t>
      </w:r>
    </w:p>
    <w:p>
      <w:pPr>
        <w:pStyle w:val="ListParagraph"/>
        <w:numPr>
          <w:ilvl w:val="0"/>
          <w:numId w:val="2"/>
        </w:numPr>
        <w:spacing w:before="40" w:after="40"/>
      </w:pPr>
      <w:r>
        <w:rPr>
          <w:rFonts w:ascii="Georgia" w:cs="Georgia" w:eastAsia="Georgia" w:hAnsi="Georgia"/>
          <w:color w:val="1F2937"/>
          <w:sz w:val="22"/>
          <w:szCs w:val="22"/>
        </w:rPr>
        <w:t xml:space="preserve">Module 04 (Consulting Math) — Questions present real numbers and require a specific calculation. Wrong answers include common arithmetic errors and correct calculations of the wrong quantity. The aim is accuracy under time pressure.</w:t>
      </w:r>
    </w:p>
    <w:p>
      <w:pPr>
        <w:pStyle w:val="ListParagraph"/>
        <w:numPr>
          <w:ilvl w:val="0"/>
          <w:numId w:val="2"/>
        </w:numPr>
        <w:spacing w:before="40" w:after="40"/>
      </w:pPr>
      <w:r>
        <w:rPr>
          <w:rFonts w:ascii="Georgia" w:cs="Georgia" w:eastAsia="Georgia" w:hAnsi="Georgia"/>
          <w:color w:val="1F2937"/>
          <w:sz w:val="22"/>
          <w:szCs w:val="22"/>
        </w:rPr>
        <w:t xml:space="preserve">Module 05 (Hypothesis Generation) — Questions present a business observation and ask which set of hypotheses is most complete and mutually exclusive. The aim is to train MECE hypothesis generation, not just brainstorming.</w:t>
      </w:r>
    </w:p>
    <w:p>
      <w:pPr>
        <w:pStyle w:val="ListParagraph"/>
        <w:numPr>
          <w:ilvl w:val="0"/>
          <w:numId w:val="2"/>
        </w:numPr>
        <w:spacing w:before="40" w:after="40"/>
      </w:pPr>
      <w:r>
        <w:rPr>
          <w:rFonts w:ascii="Georgia" w:cs="Georgia" w:eastAsia="Georgia" w:hAnsi="Georgia"/>
          <w:color w:val="1F2937"/>
          <w:sz w:val="22"/>
          <w:szCs w:val="22"/>
        </w:rPr>
        <w:t xml:space="preserve">Module 06 (Synthesis) — Questions present a full case context and ask for the strongest 30-second recommendation structure. Wrong answers include recommendations that are accurate but incomplete, or complete but imprecisely framed. The aim is the highest-leverage consulting skill: turning analysis into a clear, defensible position.</w:t>
      </w:r>
    </w:p>
    <w:p>
      <w:pPr>
        <w:spacing w:before="0" w:after="0"/>
      </w:pPr>
      <w:r>
        <w:rPr>
          <w:sz w:val="20"/>
          <w:szCs w:val="20"/>
        </w:rPr>
        <w:t xml:space="preserve"/>
      </w:r>
    </w:p>
    <w:p>
      <w:pPr>
        <w:spacing w:before="200" w:after="60"/>
      </w:pPr>
      <w:r>
        <w:rPr>
          <w:rFonts w:ascii="Arial" w:cs="Arial" w:eastAsia="Arial" w:hAnsi="Arial"/>
          <w:b/>
          <w:bCs/>
          <w:color w:val="0F1117"/>
          <w:sz w:val="22"/>
          <w:szCs w:val="22"/>
        </w:rPr>
        <w:t xml:space="preserve">Question phases</w:t>
      </w:r>
    </w:p>
    <w:p>
      <w:pPr>
        <w:spacing w:before="60" w:after="60"/>
        <w:jc w:val="both"/>
      </w:pPr>
      <w:r>
        <w:rPr>
          <w:rFonts w:ascii="Georgia" w:cs="Georgia" w:eastAsia="Georgia" w:hAnsi="Georgia"/>
          <w:b w:val="false"/>
          <w:bCs w:val="false"/>
          <w:i w:val="false"/>
          <w:iCs w:val="false"/>
          <w:color w:val="1F2937"/>
          <w:sz w:val="22"/>
          <w:szCs w:val="22"/>
        </w:rPr>
        <w:t xml:space="preserve">Within each module, questions are tagged with a phase label that indicates which specific skill within the module they target. These phase labels feed directly into the skill breakdown panel in the stats dashboard, enabling diagnosis at the sub-module level. A candidate may score well on Module 01 overall but consistently miss questions in the "Value Chain lens" phase — a level of precision that a module-level score alone cannot reveal.</w:t>
      </w:r>
    </w:p>
    <w:p>
      <w:pPr>
        <w:pBdr>
          <w:bottom w:val="single" w:color="E5E7EB" w:sz="4" w:space="1"/>
        </w:pBdr>
        <w:spacing w:before="240" w:after="240"/>
      </w:pPr>
      <w:r>
        <w:rPr>
          <w:sz w:val="2"/>
          <w:szCs w:val="2"/>
        </w:rPr>
        <w:t xml:space="preserve"/>
      </w:r>
    </w:p>
    <w:p>
      <w:pPr>
        <w:spacing w:before="320" w:after="80"/>
      </w:pPr>
      <w:r>
        <w:rPr>
          <w:rFonts w:ascii="Arial" w:cs="Arial" w:eastAsia="Arial" w:hAnsi="Arial"/>
          <w:b/>
          <w:bCs/>
          <w:color w:val="3B4FC4"/>
          <w:spacing w:val="120"/>
          <w:sz w:val="16"/>
          <w:szCs w:val="16"/>
        </w:rPr>
        <w:t xml:space="preserve">7. TECHNICAL NOTE</w:t>
      </w:r>
    </w:p>
    <w:p>
      <w:pPr>
        <w:spacing w:before="0" w:after="100"/>
      </w:pPr>
      <w:r>
        <w:rPr>
          <w:rFonts w:ascii="Georgia" w:cs="Georgia" w:eastAsia="Georgia" w:hAnsi="Georgia"/>
          <w:b w:val="false"/>
          <w:bCs w:val="false"/>
          <w:color w:val="0F1117"/>
          <w:sz w:val="28"/>
          <w:szCs w:val="28"/>
        </w:rPr>
        <w:t xml:space="preserve">Architecture</w:t>
      </w:r>
    </w:p>
    <w:p>
      <w:pPr>
        <w:spacing w:before="0" w:after="0"/>
      </w:pPr>
      <w:r>
        <w:rPr>
          <w:sz w:val="20"/>
          <w:szCs w:val="20"/>
        </w:rPr>
        <w:t xml:space="preserve"/>
      </w:r>
    </w:p>
    <w:p>
      <w:pPr>
        <w:spacing w:before="60" w:after="60"/>
        <w:jc w:val="both"/>
      </w:pPr>
      <w:r>
        <w:rPr>
          <w:rFonts w:ascii="Georgia" w:cs="Georgia" w:eastAsia="Georgia" w:hAnsi="Georgia"/>
          <w:b w:val="false"/>
          <w:bCs w:val="false"/>
          <w:i w:val="false"/>
          <w:iCs w:val="false"/>
          <w:color w:val="1F2937"/>
          <w:sz w:val="22"/>
          <w:szCs w:val="22"/>
        </w:rPr>
        <w:t xml:space="preserve">CaseIQ is deployed as a static site on GitHub Pages. The stats system uses localStorage exclusively. The data schema is designed for forward compatibility: when user accounts and a persistent backend are added, the two storage functions (loadStats, saveStats) are the only ones that need to change. The rest of the application is backend-agnostic.</w:t>
      </w:r>
    </w:p>
    <w:p>
      <w:pPr>
        <w:spacing w:before="0" w:after="0"/>
      </w:pPr>
      <w:r>
        <w:rPr>
          <w:sz w:val="20"/>
          <w:szCs w:val="20"/>
        </w:rPr>
        <w:t xml:space="preserve"/>
      </w:r>
    </w:p>
    <w:p>
      <w:pPr>
        <w:pBdr>
          <w:bottom w:val="single" w:color="E5E7EB" w:sz="4" w:space="1"/>
        </w:pBdr>
        <w:spacing w:before="240" w:after="240"/>
      </w:pPr>
      <w:r>
        <w:rPr>
          <w:sz w:val="2"/>
          <w:szCs w:val="2"/>
        </w:rPr>
        <w:t xml:space="preserve"/>
      </w:r>
    </w:p>
    <w:p>
      <w:pPr>
        <w:spacing w:before="0" w:after="0"/>
      </w:pPr>
      <w:r>
        <w:rPr>
          <w:sz w:val="20"/>
          <w:szCs w:val="20"/>
        </w:rPr>
        <w:t xml:space="preserve"/>
      </w:r>
    </w:p>
    <w:p>
      <w:pPr>
        <w:spacing w:before="0" w:after="0"/>
      </w:pPr>
      <w:r>
        <w:rPr>
          <w:sz w:val="20"/>
          <w:szCs w:val="20"/>
        </w:rPr>
        <w:t xml:space="preserve"/>
      </w:r>
    </w:p>
    <w:p>
      <w:pPr>
        <w:spacing w:before="0" w:after="40"/>
      </w:pPr>
      <w:r>
        <w:rPr>
          <w:rFonts w:ascii="Arial" w:cs="Arial" w:eastAsia="Arial" w:hAnsi="Arial"/>
          <w:color w:val="9CA3AF"/>
          <w:sz w:val="17"/>
          <w:szCs w:val="17"/>
        </w:rPr>
        <w:t xml:space="preserve">Unconventional Strategy Research  ·  Lab Note 001  ·  March 2026</w:t>
      </w:r>
    </w:p>
    <w:p>
      <w:pPr>
        <w:spacing w:before="0" w:after="0"/>
      </w:pPr>
      <w:r>
        <w:rPr>
          <w:rFonts w:ascii="Arial" w:cs="Arial" w:eastAsia="Arial" w:hAnsi="Arial"/>
          <w:color w:val="9CA3AF"/>
          <w:sz w:val="17"/>
          <w:szCs w:val="17"/>
        </w:rPr>
        <w:t xml:space="preserve">unconventional-strategy-research.github.io  ·  All tools are free. No accounts. No tracking.</w:t>
      </w:r>
    </w:p>
    <w:sectPr>
      <w:headerReference w:type="default" r:id="rId6"/>
      <w:footerReference w:type="default" r:id="rId7"/>
      <w:pgSz w:w="12240" w:h="15840" w:orient="portrait"/>
      <w:pgMar w:top="1440" w:right="156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tabs>
        <w:tab w:val="right" w:pos="9120"/>
      </w:tabs>
      <w:spacing w:before="160" w:after="0"/>
    </w:pPr>
    <w:r>
      <w:rPr>
        <w:rFonts w:ascii="Arial" w:cs="Arial" w:eastAsia="Arial" w:hAnsi="Arial"/>
        <w:color w:val="9CA3AF"/>
        <w:sz w:val="16"/>
        <w:szCs w:val="16"/>
      </w:rPr>
      <w:t xml:space="preserve">Unconventional Strategy Research</w:t>
    </w:r>
    <w:r>
      <w:rPr>
        <w:rFonts w:ascii="Arial" w:cs="Arial" w:eastAsia="Arial" w:hAnsi="Arial"/>
        <w:sz w:val="16"/>
        <w:szCs w:val="16"/>
      </w:rPr>
      <w:t xml:space="preserv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1"/>
      </w:pBdr>
      <w:tabs>
        <w:tab w:val="right" w:pos="9120"/>
      </w:tabs>
      <w:spacing w:before="0" w:after="200"/>
    </w:pPr>
    <w:r>
      <w:rPr>
        <w:rFonts w:ascii="Arial" w:cs="Arial" w:eastAsia="Arial" w:hAnsi="Arial"/>
        <w:color w:val="9CA3AF"/>
        <w:sz w:val="16"/>
        <w:szCs w:val="16"/>
      </w:rPr>
      <w:t xml:space="preserve">USR Lab Note — CaseIQ</w:t>
    </w:r>
    <w:r>
      <w:rPr>
        <w:rFonts w:ascii="Arial" w:cs="Arial" w:eastAsia="Arial" w:hAnsi="Arial"/>
        <w:color w:val="9CA3AF"/>
        <w:sz w:val="16"/>
        <w:szCs w:val="16"/>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2026-03-08T03:10:43.359Z</dcterms:created>
  <dcterms:modified xsi:type="dcterms:W3CDTF">2026-03-08T03:10:43.360Z</dcterms:modified>
</cp:coreProperties>
</file>

<file path=docProps/custom.xml><?xml version="1.0" encoding="utf-8"?>
<Properties xmlns="http://schemas.openxmlformats.org/officeDocument/2006/custom-properties" xmlns:vt="http://schemas.openxmlformats.org/officeDocument/2006/docPropsVTypes"/>
</file>