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0.png" ContentType="image/png"/>
  <Override PartName="/word/media/image6.jpeg" ContentType="image/jpeg"/>
  <Override PartName="/word/media/image1.png" ContentType="image/png"/>
  <Override PartName="/word/media/image12.jpeg" ContentType="image/jpeg"/>
  <Override PartName="/word/media/image11.png" ContentType="image/png"/>
  <Override PartName="/word/media/image18.jpeg" ContentType="image/jpeg"/>
  <Override PartName="/word/media/image17.png" ContentType="image/png"/>
  <Override PartName="/word/media/image4.jpeg" ContentType="image/jpeg"/>
  <Override PartName="/word/media/image16.jpeg" ContentType="image/jpeg"/>
  <Override PartName="/word/media/image2.jpeg" ContentType="image/jpeg"/>
  <Override PartName="/word/media/image15.png" ContentType="image/png"/>
  <Override PartName="/word/media/image3.jpeg" ContentType="image/jpeg"/>
  <Override PartName="/word/media/image14.png" ContentType="image/png"/>
  <Override PartName="/word/media/image5.png" ContentType="image/png"/>
  <Override PartName="/word/media/image8.jpeg" ContentType="image/jpeg"/>
  <Override PartName="/word/media/image13.png" ContentType="image/png"/>
  <Override PartName="/word/media/image9.png" ContentType="image/png"/>
  <Override PartName="/word/media/image7.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Web"/>
        <w:spacing w:beforeAutospacing="0" w:before="0" w:afterAutospacing="0" w:after="0"/>
        <w:rPr>
          <w:color w:val="000000"/>
          <w:sz w:val="22"/>
          <w:szCs w:val="22"/>
          <w:lang w:val="kk-KZ"/>
        </w:rPr>
      </w:pPr>
      <w:r>
        <w:rPr>
          <w:sz w:val="22"/>
          <w:szCs w:val="22"/>
          <w:lang w:val="kk-KZ"/>
        </w:rPr>
        <w:t xml:space="preserve">IRSTI </w:t>
      </w:r>
      <w:r>
        <w:rPr>
          <w:color w:val="000000"/>
          <w:sz w:val="22"/>
          <w:szCs w:val="22"/>
          <w:lang w:val="kk-KZ"/>
        </w:rPr>
        <w:t>52.35.29</w:t>
      </w:r>
    </w:p>
    <w:p>
      <w:pPr>
        <w:pStyle w:val="Normal"/>
        <w:spacing w:before="0" w:after="0"/>
        <w:ind w:firstLine="567"/>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center"/>
        <w:rPr>
          <w:rFonts w:ascii="Times New Roman" w:hAnsi="Times New Roman" w:cs="Times New Roman"/>
          <w:b/>
          <w:lang w:val="en-US"/>
        </w:rPr>
      </w:pPr>
      <w:r>
        <w:rPr>
          <w:rFonts w:cs="Times New Roman" w:ascii="Times New Roman" w:hAnsi="Times New Roman"/>
          <w:b/>
          <w:lang w:val="en-US"/>
        </w:rPr>
        <w:t>PRODUCTION OF HIGH-CALORIC COAL BRIQUETTES FROM THE EKIBASTUZ COAL DEPOSIT</w:t>
      </w:r>
    </w:p>
    <w:p>
      <w:pPr>
        <w:pStyle w:val="Normal"/>
        <w:spacing w:before="0" w:after="0"/>
        <w:ind w:firstLine="567"/>
        <w:jc w:val="center"/>
        <w:rPr>
          <w:rFonts w:ascii="Times New Roman" w:hAnsi="Times New Roman" w:cs="Times New Roman"/>
          <w:b/>
          <w:lang w:val="en-US"/>
        </w:rPr>
      </w:pPr>
      <w:r>
        <w:rPr>
          <w:rFonts w:cs="Times New Roman" w:ascii="Times New Roman" w:hAnsi="Times New Roman"/>
          <w:b/>
          <w:lang w:val="en-US"/>
        </w:rPr>
      </w:r>
    </w:p>
    <w:p>
      <w:pPr>
        <w:pStyle w:val="NormalWeb"/>
        <w:spacing w:beforeAutospacing="0" w:before="0" w:afterAutospacing="0" w:after="0"/>
        <w:jc w:val="center"/>
        <w:rPr>
          <w:b/>
          <w:sz w:val="22"/>
          <w:szCs w:val="22"/>
          <w:lang w:val="en-US"/>
        </w:rPr>
      </w:pPr>
      <w:r>
        <w:rPr>
          <w:b/>
          <w:sz w:val="22"/>
          <w:szCs w:val="22"/>
          <w:vertAlign w:val="superscript"/>
          <w:lang w:val="kk-KZ"/>
        </w:rPr>
        <w:t>1</w:t>
      </w:r>
      <w:r>
        <w:rPr>
          <w:b/>
          <w:sz w:val="22"/>
          <w:szCs w:val="22"/>
          <w:lang w:val="en-US"/>
        </w:rPr>
        <w:t>Ye.S.</w:t>
      </w:r>
      <w:r>
        <w:rPr>
          <w:b/>
          <w:sz w:val="22"/>
          <w:szCs w:val="22"/>
          <w:lang w:val="kk-KZ"/>
        </w:rPr>
        <w:t>Abdrakhmanov</w:t>
      </w:r>
      <w:r>
        <w:rPr/>
        <w:drawing>
          <wp:inline distT="0" distB="0" distL="0" distR="0">
            <wp:extent cx="137160" cy="137160"/>
            <wp:effectExtent l="0" t="0" r="0" b="0"/>
            <wp:docPr id="1" name="Рисунок 41" descr="D:\Desktop\иконка.png">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1" descr="D:\Desktop\иконка.png">
                      <a:hlinkClick r:id="rId3"/>
                    </pic:cNvPr>
                    <pic:cNvPicPr>
                      <a:picLocks noChangeAspect="1" noChangeArrowheads="1"/>
                    </pic:cNvPicPr>
                  </pic:nvPicPr>
                  <pic:blipFill>
                    <a:blip r:embed="rId2"/>
                    <a:stretch>
                      <a:fillRect/>
                    </a:stretch>
                  </pic:blipFill>
                  <pic:spPr bwMode="auto">
                    <a:xfrm>
                      <a:off x="0" y="0"/>
                      <a:ext cx="137160" cy="137160"/>
                    </a:xfrm>
                    <a:prstGeom prst="rect">
                      <a:avLst/>
                    </a:prstGeom>
                    <a:noFill/>
                  </pic:spPr>
                </pic:pic>
              </a:graphicData>
            </a:graphic>
          </wp:inline>
        </w:drawing>
      </w:r>
      <w:r>
        <w:rPr>
          <w:b/>
          <w:sz w:val="22"/>
          <w:szCs w:val="22"/>
          <w:lang w:val="en-US"/>
        </w:rPr>
        <w:t>,</w:t>
      </w:r>
      <w:r>
        <w:rPr>
          <w:b/>
          <w:sz w:val="22"/>
          <w:szCs w:val="22"/>
          <w:lang w:val="kk-KZ"/>
        </w:rPr>
        <w:t xml:space="preserve"> </w:t>
      </w:r>
      <w:r>
        <w:rPr>
          <w:b/>
          <w:sz w:val="22"/>
          <w:szCs w:val="22"/>
          <w:vertAlign w:val="superscript"/>
          <w:lang w:val="kk-KZ"/>
        </w:rPr>
        <w:t>1</w:t>
      </w:r>
      <w:r>
        <w:rPr>
          <w:b/>
          <w:sz w:val="22"/>
          <w:szCs w:val="22"/>
          <w:lang w:val="en-US"/>
        </w:rPr>
        <w:t>Kh.B.</w:t>
      </w:r>
      <w:r>
        <w:rPr>
          <w:b/>
          <w:sz w:val="22"/>
          <w:szCs w:val="22"/>
          <w:lang w:val="kk-KZ"/>
        </w:rPr>
        <w:t>Temirtas</w:t>
      </w:r>
      <w:r>
        <w:rPr/>
        <w:drawing>
          <wp:inline distT="0" distB="0" distL="0" distR="0">
            <wp:extent cx="137160" cy="137160"/>
            <wp:effectExtent l="0" t="0" r="0" b="0"/>
            <wp:docPr id="2" name="Рисунок 42" descr="D:\Desktop\иконка.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2" descr="D:\Desktop\иконка.png">
                      <a:hlinkClick r:id="rId5"/>
                    </pic:cNvPr>
                    <pic:cNvPicPr>
                      <a:picLocks noChangeAspect="1" noChangeArrowheads="1"/>
                    </pic:cNvPicPr>
                  </pic:nvPicPr>
                  <pic:blipFill>
                    <a:blip r:embed="rId4"/>
                    <a:stretch>
                      <a:fillRect/>
                    </a:stretch>
                  </pic:blipFill>
                  <pic:spPr bwMode="auto">
                    <a:xfrm>
                      <a:off x="0" y="0"/>
                      <a:ext cx="137160" cy="137160"/>
                    </a:xfrm>
                    <a:prstGeom prst="rect">
                      <a:avLst/>
                    </a:prstGeom>
                    <a:noFill/>
                  </pic:spPr>
                </pic:pic>
              </a:graphicData>
            </a:graphic>
          </wp:inline>
        </w:drawing>
      </w:r>
      <w:r>
        <w:rPr>
          <w:b/>
          <w:sz w:val="22"/>
          <w:szCs w:val="22"/>
          <w:lang w:val="en-US"/>
        </w:rPr>
        <w:t xml:space="preserve">, </w:t>
      </w:r>
      <w:r>
        <w:rPr>
          <w:b/>
          <w:sz w:val="22"/>
          <w:szCs w:val="22"/>
          <w:vertAlign w:val="superscript"/>
          <w:lang w:val="en-US"/>
        </w:rPr>
        <w:t>2,3</w:t>
      </w:r>
      <w:r>
        <w:rPr>
          <w:b/>
          <w:sz w:val="22"/>
          <w:szCs w:val="22"/>
          <w:lang w:val="en-US"/>
        </w:rPr>
        <w:t>B.T.Yermagambet</w:t>
      </w:r>
      <w:r>
        <w:rPr/>
        <w:drawing>
          <wp:inline distT="0" distB="0" distL="0" distR="0">
            <wp:extent cx="137160" cy="137160"/>
            <wp:effectExtent l="0" t="0" r="0" b="0"/>
            <wp:docPr id="3" name="Рисунок 43" descr="D:\Desktop\иконка.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3" descr="D:\Desktop\иконка.png">
                      <a:hlinkClick r:id="rId7"/>
                    </pic:cNvPr>
                    <pic:cNvPicPr>
                      <a:picLocks noChangeAspect="1" noChangeArrowheads="1"/>
                    </pic:cNvPicPr>
                  </pic:nvPicPr>
                  <pic:blipFill>
                    <a:blip r:embed="rId6"/>
                    <a:stretch>
                      <a:fillRect/>
                    </a:stretch>
                  </pic:blipFill>
                  <pic:spPr bwMode="auto">
                    <a:xfrm>
                      <a:off x="0" y="0"/>
                      <a:ext cx="137160" cy="137160"/>
                    </a:xfrm>
                    <a:prstGeom prst="rect">
                      <a:avLst/>
                    </a:prstGeom>
                    <a:noFill/>
                  </pic:spPr>
                </pic:pic>
              </a:graphicData>
            </a:graphic>
          </wp:inline>
        </w:drawing>
      </w:r>
      <w:r>
        <w:rPr>
          <w:b/>
          <w:sz w:val="22"/>
          <w:szCs w:val="22"/>
          <w:lang w:val="en-US"/>
        </w:rPr>
        <w:t>,</w:t>
      </w:r>
      <w:r>
        <w:rPr>
          <w:b/>
          <w:sz w:val="22"/>
          <w:szCs w:val="22"/>
          <w:vertAlign w:val="superscript"/>
          <w:lang w:val="en-US"/>
        </w:rPr>
        <w:t>2,3</w:t>
      </w:r>
      <w:r>
        <w:rPr>
          <w:b/>
          <w:sz w:val="22"/>
          <w:szCs w:val="22"/>
          <w:lang w:val="en-US"/>
        </w:rPr>
        <w:t>Zh.M.Kassenova</w:t>
      </w:r>
    </w:p>
    <w:p>
      <w:pPr>
        <w:pStyle w:val="NormalWeb"/>
        <w:spacing w:beforeAutospacing="0" w:before="0" w:afterAutospacing="0" w:after="0"/>
        <w:jc w:val="center"/>
        <w:rPr>
          <w:sz w:val="22"/>
          <w:szCs w:val="22"/>
          <w:lang w:val="en-US"/>
        </w:rPr>
      </w:pPr>
      <w:r>
        <w:rPr/>
        <w:drawing>
          <wp:inline distT="0" distB="0" distL="0" distR="0">
            <wp:extent cx="137160" cy="137160"/>
            <wp:effectExtent l="0" t="0" r="0" b="0"/>
            <wp:docPr id="4" name="Рисунок 44" descr="D:\Desktop\иконка.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4" descr="D:\Desktop\иконка.png">
                      <a:hlinkClick r:id="rId9"/>
                    </pic:cNvPr>
                    <pic:cNvPicPr>
                      <a:picLocks noChangeAspect="1" noChangeArrowheads="1"/>
                    </pic:cNvPicPr>
                  </pic:nvPicPr>
                  <pic:blipFill>
                    <a:blip r:embed="rId8"/>
                    <a:stretch>
                      <a:fillRect/>
                    </a:stretch>
                  </pic:blipFill>
                  <pic:spPr bwMode="auto">
                    <a:xfrm>
                      <a:off x="0" y="0"/>
                      <a:ext cx="137160" cy="137160"/>
                    </a:xfrm>
                    <a:prstGeom prst="rect">
                      <a:avLst/>
                    </a:prstGeom>
                    <a:noFill/>
                  </pic:spPr>
                </pic:pic>
              </a:graphicData>
            </a:graphic>
          </wp:inline>
        </w:drawing>
      </w:r>
      <w:r>
        <w:rPr>
          <w:b/>
          <w:sz w:val="22"/>
          <w:szCs w:val="22"/>
          <w:lang w:val="en-US"/>
        </w:rPr>
        <w:t>,</w:t>
      </w:r>
      <w:r>
        <w:rPr>
          <w:b/>
          <w:sz w:val="22"/>
          <w:szCs w:val="22"/>
          <w:vertAlign w:val="superscript"/>
          <w:lang w:val="en-US"/>
        </w:rPr>
        <w:t>2,3</w:t>
      </w:r>
      <w:r>
        <w:rPr>
          <w:b/>
          <w:sz w:val="22"/>
          <w:szCs w:val="22"/>
          <w:lang w:val="kk-KZ"/>
        </w:rPr>
        <w:t>Zh.T.Dauletzhanova</w:t>
      </w:r>
      <w:r>
        <w:rPr/>
        <w:drawing>
          <wp:inline distT="0" distB="0" distL="0" distR="0">
            <wp:extent cx="137160" cy="137160"/>
            <wp:effectExtent l="0" t="0" r="0" b="0"/>
            <wp:docPr id="5" name="Рисунок 45" descr="D:\Desktop\иконка.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5" descr="D:\Desktop\иконка.png">
                      <a:hlinkClick r:id="rId11"/>
                    </pic:cNvPr>
                    <pic:cNvPicPr>
                      <a:picLocks noChangeAspect="1" noChangeArrowheads="1"/>
                    </pic:cNvPicPr>
                  </pic:nvPicPr>
                  <pic:blipFill>
                    <a:blip r:embed="rId10"/>
                    <a:stretch>
                      <a:fillRect/>
                    </a:stretch>
                  </pic:blipFill>
                  <pic:spPr bwMode="auto">
                    <a:xfrm>
                      <a:off x="0" y="0"/>
                      <a:ext cx="137160" cy="137160"/>
                    </a:xfrm>
                    <a:prstGeom prst="rect">
                      <a:avLst/>
                    </a:prstGeom>
                    <a:noFill/>
                  </pic:spPr>
                </pic:pic>
              </a:graphicData>
            </a:graphic>
          </wp:inline>
        </w:drawing>
      </w:r>
      <w:r>
        <w:rPr>
          <w:rFonts w:eastAsia="Wingdings" w:cs="Wingdings" w:ascii="Wingdings" w:hAnsi="Wingdings"/>
          <w:b/>
          <w:bCs/>
          <w:color w:val="5B9BD5"/>
          <w:sz w:val="22"/>
          <w:szCs w:val="22"/>
          <w:vertAlign w:val="superscript"/>
        </w:rPr>
        <w:sym w:font="Wingdings" w:char="f02a"/>
      </w:r>
      <w:r>
        <w:rPr>
          <w:b/>
          <w:sz w:val="22"/>
          <w:szCs w:val="22"/>
          <w:lang w:val="en-US"/>
        </w:rPr>
        <w:t>,</w:t>
      </w:r>
      <w:r>
        <w:rPr>
          <w:b/>
          <w:sz w:val="22"/>
          <w:szCs w:val="22"/>
          <w:lang w:val="kk-KZ"/>
        </w:rPr>
        <w:t xml:space="preserve">   </w:t>
      </w:r>
      <w:r>
        <w:rPr>
          <w:b/>
          <w:sz w:val="22"/>
          <w:szCs w:val="22"/>
          <w:vertAlign w:val="superscript"/>
          <w:lang w:val="kk-KZ"/>
        </w:rPr>
        <w:t>2,3</w:t>
      </w:r>
      <w:r>
        <w:rPr>
          <w:b/>
          <w:sz w:val="22"/>
          <w:szCs w:val="22"/>
          <w:lang w:val="kk-KZ"/>
        </w:rPr>
        <w:t>M.K.</w:t>
      </w:r>
      <w:r>
        <w:rPr>
          <w:b/>
          <w:sz w:val="22"/>
          <w:szCs w:val="22"/>
          <w:vertAlign w:val="superscript"/>
          <w:lang w:val="kk-KZ"/>
        </w:rPr>
        <w:t xml:space="preserve"> </w:t>
      </w:r>
      <w:r>
        <w:rPr>
          <w:b/>
          <w:sz w:val="22"/>
          <w:szCs w:val="22"/>
          <w:lang w:val="kk-KZ"/>
        </w:rPr>
        <w:t>Kazankapova</w:t>
      </w:r>
      <w:r>
        <w:rPr/>
        <w:drawing>
          <wp:inline distT="0" distB="0" distL="0" distR="0">
            <wp:extent cx="137160" cy="137160"/>
            <wp:effectExtent l="0" t="0" r="0" b="0"/>
            <wp:docPr id="6" name="Рисунок 46" descr="D:\Desktop\иконка.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6" descr="D:\Desktop\иконка.png">
                      <a:hlinkClick r:id="rId13"/>
                    </pic:cNvPr>
                    <pic:cNvPicPr>
                      <a:picLocks noChangeAspect="1" noChangeArrowheads="1"/>
                    </pic:cNvPicPr>
                  </pic:nvPicPr>
                  <pic:blipFill>
                    <a:blip r:embed="rId12"/>
                    <a:stretch>
                      <a:fillRect/>
                    </a:stretch>
                  </pic:blipFill>
                  <pic:spPr bwMode="auto">
                    <a:xfrm>
                      <a:off x="0" y="0"/>
                      <a:ext cx="137160" cy="137160"/>
                    </a:xfrm>
                    <a:prstGeom prst="rect">
                      <a:avLst/>
                    </a:prstGeom>
                    <a:noFill/>
                  </pic:spPr>
                </pic:pic>
              </a:graphicData>
            </a:graphic>
          </wp:inline>
        </w:drawing>
      </w:r>
      <w:r>
        <w:rPr>
          <w:b/>
          <w:sz w:val="22"/>
          <w:szCs w:val="22"/>
          <w:lang w:val="kk-KZ"/>
        </w:rPr>
        <w:t>,</w:t>
      </w:r>
      <w:r>
        <w:rPr>
          <w:b/>
          <w:sz w:val="22"/>
          <w:szCs w:val="22"/>
          <w:vertAlign w:val="superscript"/>
          <w:lang w:val="kk-KZ"/>
        </w:rPr>
        <w:t>4</w:t>
      </w:r>
      <w:r>
        <w:rPr>
          <w:b/>
          <w:sz w:val="22"/>
          <w:szCs w:val="22"/>
          <w:lang w:val="kk-KZ"/>
        </w:rPr>
        <w:t>N.Sh.Akimbekov</w:t>
      </w:r>
      <w:r>
        <w:rPr/>
        <w:drawing>
          <wp:inline distT="0" distB="0" distL="0" distR="0">
            <wp:extent cx="137160" cy="137160"/>
            <wp:effectExtent l="0" t="0" r="0" b="0"/>
            <wp:docPr id="7" name="Рисунок 47" descr="D:\Desktop\иконка.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47" descr="D:\Desktop\иконка.png">
                      <a:hlinkClick r:id="rId15"/>
                    </pic:cNvPr>
                    <pic:cNvPicPr>
                      <a:picLocks noChangeAspect="1" noChangeArrowheads="1"/>
                    </pic:cNvPicPr>
                  </pic:nvPicPr>
                  <pic:blipFill>
                    <a:blip r:embed="rId14"/>
                    <a:stretch>
                      <a:fillRect/>
                    </a:stretch>
                  </pic:blipFill>
                  <pic:spPr bwMode="auto">
                    <a:xfrm>
                      <a:off x="0" y="0"/>
                      <a:ext cx="137160" cy="137160"/>
                    </a:xfrm>
                    <a:prstGeom prst="rect">
                      <a:avLst/>
                    </a:prstGeom>
                    <a:noFill/>
                  </pic:spPr>
                </pic:pic>
              </a:graphicData>
            </a:graphic>
          </wp:inline>
        </w:drawing>
      </w:r>
      <w:r>
        <w:rPr>
          <w:b/>
          <w:sz w:val="22"/>
          <w:szCs w:val="22"/>
          <w:lang w:val="kk-KZ"/>
        </w:rPr>
        <w:t>,</w:t>
      </w:r>
    </w:p>
    <w:p>
      <w:pPr>
        <w:pStyle w:val="NormalWeb"/>
        <w:spacing w:beforeAutospacing="0" w:before="0" w:afterAutospacing="0" w:after="0"/>
        <w:ind w:firstLine="709"/>
        <w:jc w:val="center"/>
        <w:rPr>
          <w:sz w:val="22"/>
          <w:szCs w:val="22"/>
          <w:lang w:val="en-US"/>
        </w:rPr>
      </w:pPr>
      <w:r>
        <w:rPr>
          <w:b/>
          <w:sz w:val="22"/>
          <w:szCs w:val="22"/>
          <w:vertAlign w:val="superscript"/>
          <w:lang w:val="en-US"/>
        </w:rPr>
        <w:t>4</w:t>
      </w:r>
      <w:r>
        <w:rPr>
          <w:b/>
          <w:sz w:val="22"/>
          <w:szCs w:val="22"/>
          <w:lang w:val="kk-KZ"/>
        </w:rPr>
        <w:t>K.Т.Tastambek</w:t>
      </w:r>
      <w:r>
        <w:rPr/>
        <w:drawing>
          <wp:inline distT="0" distB="0" distL="0" distR="0">
            <wp:extent cx="137160" cy="137160"/>
            <wp:effectExtent l="0" t="0" r="0" b="0"/>
            <wp:docPr id="8" name="Рисунок 48" descr="D:\Desktop\иконка.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8" descr="D:\Desktop\иконка.png">
                      <a:hlinkClick r:id="rId17"/>
                    </pic:cNvPr>
                    <pic:cNvPicPr>
                      <a:picLocks noChangeAspect="1" noChangeArrowheads="1"/>
                    </pic:cNvPicPr>
                  </pic:nvPicPr>
                  <pic:blipFill>
                    <a:blip r:embed="rId16"/>
                    <a:stretch>
                      <a:fillRect/>
                    </a:stretch>
                  </pic:blipFill>
                  <pic:spPr bwMode="auto">
                    <a:xfrm>
                      <a:off x="0" y="0"/>
                      <a:ext cx="137160" cy="137160"/>
                    </a:xfrm>
                    <a:prstGeom prst="rect">
                      <a:avLst/>
                    </a:prstGeom>
                    <a:noFill/>
                  </pic:spPr>
                </pic:pic>
              </a:graphicData>
            </a:graphic>
          </wp:inline>
        </w:drawing>
      </w:r>
    </w:p>
    <w:p>
      <w:pPr>
        <w:pStyle w:val="Normal"/>
        <w:spacing w:lineRule="auto" w:line="240" w:before="0" w:after="0"/>
        <w:ind w:firstLine="709"/>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1</w:t>
      </w:r>
      <w:r>
        <w:rPr>
          <w:rFonts w:cs="Times New Roman" w:ascii="Times New Roman" w:hAnsi="Times New Roman"/>
          <w:i/>
          <w:sz w:val="20"/>
          <w:szCs w:val="20"/>
          <w:lang w:val="kk-KZ"/>
        </w:rPr>
        <w:t xml:space="preserve">Toraighyrov university, </w:t>
      </w:r>
      <w:r>
        <w:rPr>
          <w:rFonts w:cs="Times New Roman" w:ascii="Times New Roman" w:hAnsi="Times New Roman"/>
          <w:i/>
          <w:sz w:val="20"/>
          <w:szCs w:val="20"/>
          <w:lang w:val="en-US"/>
        </w:rPr>
        <w:t>Pavlodar</w:t>
      </w:r>
      <w:r>
        <w:rPr>
          <w:rFonts w:cs="Times New Roman" w:ascii="Times New Roman" w:hAnsi="Times New Roman"/>
          <w:i/>
          <w:sz w:val="20"/>
          <w:szCs w:val="20"/>
          <w:lang w:val="kk-KZ"/>
        </w:rPr>
        <w:t>, Kazakhstan,</w:t>
      </w:r>
    </w:p>
    <w:p>
      <w:pPr>
        <w:pStyle w:val="17"/>
        <w:spacing w:lineRule="auto" w:line="240" w:before="0" w:after="0"/>
        <w:ind w:firstLine="709"/>
        <w:jc w:val="center"/>
        <w:rPr>
          <w:rFonts w:ascii="Times New Roman" w:hAnsi="Times New Roman" w:eastAsia="Times New Roman" w:cs="Times New Roman"/>
          <w:i/>
          <w:i/>
          <w:sz w:val="20"/>
          <w:szCs w:val="20"/>
          <w:lang w:val="en-US"/>
        </w:rPr>
      </w:pPr>
      <w:r>
        <w:rPr>
          <w:rFonts w:eastAsia="Times New Roman" w:cs="Times New Roman" w:ascii="Times New Roman" w:hAnsi="Times New Roman"/>
          <w:i/>
          <w:sz w:val="20"/>
          <w:szCs w:val="20"/>
          <w:vertAlign w:val="superscript"/>
          <w:lang w:val="en-US"/>
        </w:rPr>
        <w:t>2</w:t>
      </w:r>
      <w:r>
        <w:rPr>
          <w:rFonts w:eastAsia="Times New Roman" w:cs="Times New Roman" w:ascii="Times New Roman" w:hAnsi="Times New Roman"/>
          <w:i/>
          <w:sz w:val="20"/>
          <w:szCs w:val="20"/>
          <w:lang w:val="en-US"/>
        </w:rPr>
        <w:t>Institute of Coal Chemistry and Technolog» LLP, Astana, Kazakhstan,</w:t>
      </w:r>
    </w:p>
    <w:p>
      <w:pPr>
        <w:pStyle w:val="Normal"/>
        <w:spacing w:lineRule="auto" w:line="240" w:before="0" w:after="0"/>
        <w:ind w:firstLine="709"/>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3</w:t>
      </w:r>
      <w:r>
        <w:rPr>
          <w:rFonts w:eastAsia="Times New Roman" w:cs="Times New Roman" w:ascii="Times New Roman" w:hAnsi="Times New Roman"/>
          <w:i/>
          <w:sz w:val="20"/>
          <w:szCs w:val="20"/>
          <w:lang w:val="en-US" w:eastAsia="ru-RU"/>
        </w:rPr>
        <w:t xml:space="preserve"> K.Kulazhanov named Kazakh University of Technology and Business</w:t>
      </w:r>
      <w:r>
        <w:rPr>
          <w:rFonts w:cs="Times New Roman" w:ascii="Times New Roman" w:hAnsi="Times New Roman"/>
          <w:i/>
          <w:sz w:val="20"/>
          <w:szCs w:val="20"/>
          <w:lang w:val="kk-KZ"/>
        </w:rPr>
        <w:t xml:space="preserve">, </w:t>
      </w:r>
      <w:r>
        <w:rPr>
          <w:rFonts w:cs="Times New Roman" w:ascii="Times New Roman" w:hAnsi="Times New Roman"/>
          <w:i/>
          <w:sz w:val="20"/>
          <w:szCs w:val="20"/>
          <w:lang w:val="en-US"/>
        </w:rPr>
        <w:t>Astana</w:t>
      </w:r>
      <w:r>
        <w:rPr>
          <w:rFonts w:cs="Times New Roman" w:ascii="Times New Roman" w:hAnsi="Times New Roman"/>
          <w:i/>
          <w:sz w:val="20"/>
          <w:szCs w:val="20"/>
          <w:lang w:val="kk-KZ"/>
        </w:rPr>
        <w:t>, Kazakhstan,</w:t>
      </w:r>
    </w:p>
    <w:p>
      <w:pPr>
        <w:pStyle w:val="Normal"/>
        <w:spacing w:lineRule="auto" w:line="240" w:before="0" w:after="0"/>
        <w:ind w:firstLine="709"/>
        <w:jc w:val="center"/>
        <w:rPr>
          <w:rFonts w:ascii="Times New Roman" w:hAnsi="Times New Roman" w:cs="Times New Roman"/>
          <w:i/>
          <w:i/>
          <w:sz w:val="20"/>
          <w:szCs w:val="20"/>
          <w:lang w:val="en-US"/>
        </w:rPr>
      </w:pPr>
      <w:r>
        <w:rPr>
          <w:rFonts w:cs="Times New Roman" w:ascii="Times New Roman" w:hAnsi="Times New Roman"/>
          <w:i/>
          <w:sz w:val="20"/>
          <w:szCs w:val="20"/>
          <w:vertAlign w:val="superscript"/>
          <w:lang w:val="kk-KZ"/>
        </w:rPr>
        <w:t>4</w:t>
      </w:r>
      <w:r>
        <w:rPr>
          <w:rFonts w:cs="Times New Roman" w:ascii="Times New Roman" w:hAnsi="Times New Roman"/>
          <w:i/>
          <w:sz w:val="20"/>
          <w:szCs w:val="20"/>
          <w:lang w:val="en-US"/>
        </w:rPr>
        <w:t xml:space="preserve">SRI «Sustainability of ecology and bioresources», KazNU named after al-Farabi, Almaty, </w:t>
      </w:r>
    </w:p>
    <w:p>
      <w:pPr>
        <w:pStyle w:val="Normal"/>
        <w:spacing w:lineRule="auto" w:line="240" w:before="0" w:after="0"/>
        <w:ind w:firstLine="709"/>
        <w:jc w:val="center"/>
        <w:rPr>
          <w:rFonts w:ascii="Times New Roman" w:hAnsi="Times New Roman" w:cs="Times New Roman"/>
          <w:i/>
          <w:i/>
          <w:sz w:val="20"/>
          <w:szCs w:val="20"/>
          <w:lang w:val="en-US"/>
        </w:rPr>
      </w:pPr>
      <w:r>
        <w:rPr>
          <w:rFonts w:cs="Times New Roman" w:ascii="Times New Roman" w:hAnsi="Times New Roman"/>
          <w:i/>
          <w:sz w:val="20"/>
          <w:szCs w:val="20"/>
          <w:lang w:val="en-US"/>
        </w:rPr>
        <w:t>Kazakhstan</w:t>
      </w:r>
    </w:p>
    <w:p>
      <w:pPr>
        <w:pStyle w:val="Normal"/>
        <w:spacing w:lineRule="auto" w:line="240" w:before="0" w:after="0"/>
        <w:ind w:firstLine="709"/>
        <w:jc w:val="center"/>
        <w:rPr>
          <w:rFonts w:ascii="Times New Roman" w:hAnsi="Times New Roman" w:cs="Times New Roman"/>
          <w:i/>
          <w:i/>
          <w:sz w:val="20"/>
          <w:szCs w:val="20"/>
          <w:lang w:val="kk-KZ"/>
        </w:rPr>
      </w:pPr>
      <w:r>
        <w:rPr>
          <w:rFonts w:cs="Times New Roman" w:ascii="Times New Roman" w:hAnsi="Times New Roman"/>
          <w:i/>
          <w:sz w:val="20"/>
          <w:szCs w:val="20"/>
          <w:lang w:val="kk-KZ"/>
        </w:rPr>
      </w:r>
    </w:p>
    <w:p>
      <w:pPr>
        <w:pStyle w:val="Normal"/>
        <w:spacing w:lineRule="auto" w:line="240" w:before="0" w:after="0"/>
        <w:jc w:val="both"/>
        <w:rPr>
          <w:rFonts w:ascii="Times New Roman" w:hAnsi="Times New Roman" w:cs="Times New Roman"/>
          <w:lang w:val="en-US"/>
        </w:rPr>
      </w:pPr>
      <w:r>
        <w:rPr>
          <w:rFonts w:eastAsia="Wingdings" w:cs="Wingdings" w:ascii="Wingdings" w:hAnsi="Wingdings"/>
          <w:b/>
          <w:bCs/>
          <w:color w:val="5B9BD5"/>
          <w:vertAlign w:val="superscript"/>
        </w:rPr>
        <w:sym w:font="Wingdings" w:char="f02a"/>
      </w:r>
      <w:r>
        <w:rPr>
          <w:rFonts w:cs="Times New Roman" w:ascii="Times New Roman" w:hAnsi="Times New Roman"/>
          <w:lang w:val="en-US"/>
        </w:rPr>
        <w:t>Corresponding-author:</w:t>
      </w:r>
      <w:r>
        <w:rPr>
          <w:lang w:val="en-US"/>
        </w:rPr>
        <w:t xml:space="preserve"> </w:t>
      </w:r>
      <w:hyperlink r:id="rId18">
        <w:r>
          <w:rPr>
            <w:rStyle w:val="Hyperlink"/>
            <w:rFonts w:cs="Times New Roman" w:ascii="Times New Roman" w:hAnsi="Times New Roman"/>
            <w:color w:themeColor="text1" w:val="000000"/>
            <w:u w:val="none"/>
            <w:lang w:val="en-US"/>
          </w:rPr>
          <w:t>kaliyeva_zhanna@mail.ru</w:t>
        </w:r>
      </w:hyperlink>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article provides information on the coal briquetting process, the briquetting process, and establishes the mechanism of coal briquettes structure formation taking into account the physicochemical and structural-rheological properties of coal. Of great importance is the uniform distribution of elementary size classes in the briquette charge. It is achieved by choosing a coal classification process flow chart and appropriate equipment. The coal size determines the total surface area of the briquetting mass particles. The more developed this surface area is, the greater the number of particle contacts inside the briquettes and the more intense the action of molecular adhesion forces. The increase in the total surface area of the grains can be achieved by crushing. The main factors influencing the coal briquetting process are: coal moisture and moisture distribution in individual classes, coal size, distribution of elementary size classes in the briquette charge, granulometric composition, pressure, pressing duration and temperature, water content.</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b/>
          <w:sz w:val="24"/>
          <w:szCs w:val="24"/>
          <w:lang w:val="kk-KZ"/>
        </w:rPr>
        <w:t>Keywords:</w:t>
      </w:r>
      <w:r>
        <w:rPr>
          <w:rFonts w:cs="Times New Roman" w:ascii="Times New Roman" w:hAnsi="Times New Roman"/>
          <w:sz w:val="24"/>
          <w:szCs w:val="24"/>
          <w:lang w:val="kk-KZ"/>
        </w:rPr>
        <w:t xml:space="preserve"> coal, ash content, briquetting, raw material quality management, combustion heat, coal size.</w:t>
      </w:r>
    </w:p>
    <w:p>
      <w:pPr>
        <w:pStyle w:val="Normal"/>
        <w:spacing w:before="0" w:after="0"/>
        <w:ind w:firstLine="567"/>
        <w:jc w:val="center"/>
        <w:rPr>
          <w:rFonts w:ascii="Times New Roman" w:hAnsi="Times New Roman" w:cs="Times New Roman"/>
          <w:b/>
          <w:sz w:val="24"/>
          <w:szCs w:val="24"/>
          <w:lang w:val="en-US"/>
        </w:rPr>
      </w:pPr>
      <w:r>
        <w:rPr>
          <w:rFonts w:cs="Times New Roman" w:ascii="Times New Roman" w:hAnsi="Times New Roman"/>
          <w:b/>
          <w:sz w:val="24"/>
          <w:szCs w:val="24"/>
          <w:lang w:val="en-US"/>
        </w:rPr>
      </w:r>
    </w:p>
    <w:p>
      <w:pPr>
        <w:pStyle w:val="Normal"/>
        <w:spacing w:before="0" w:after="0"/>
        <w:ind w:firstLine="567"/>
        <w:jc w:val="center"/>
        <w:rPr>
          <w:rFonts w:ascii="Times New Roman" w:hAnsi="Times New Roman" w:cs="Times New Roman"/>
          <w:b/>
          <w:lang w:val="en-US"/>
        </w:rPr>
      </w:pPr>
      <w:r>
        <w:rPr>
          <w:rFonts w:cs="Times New Roman" w:ascii="Times New Roman" w:hAnsi="Times New Roman"/>
          <w:b/>
          <w:lang w:val="en-US"/>
        </w:rPr>
        <w:t>ЕКІБАСТҰЗ КЕН ОРНЫНЫҢ КӨМІРІНЕН ЖОҒАРЫ КАЛОРИЯЛЫ КӨМІР БРИКЕТТЕРІН АЛУ</w:t>
      </w:r>
    </w:p>
    <w:p>
      <w:pPr>
        <w:pStyle w:val="Normal"/>
        <w:spacing w:before="0" w:after="0"/>
        <w:ind w:firstLine="567"/>
        <w:jc w:val="center"/>
        <w:rPr>
          <w:rFonts w:ascii="Times New Roman" w:hAnsi="Times New Roman" w:cs="Times New Roman"/>
          <w:lang w:val="en-US"/>
        </w:rPr>
      </w:pPr>
      <w:r>
        <w:rPr>
          <w:rFonts w:cs="Times New Roman" w:ascii="Times New Roman" w:hAnsi="Times New Roman"/>
          <w:lang w:val="en-US"/>
        </w:rPr>
      </w:r>
    </w:p>
    <w:p>
      <w:pPr>
        <w:pStyle w:val="Normal"/>
        <w:spacing w:before="0" w:after="0"/>
        <w:ind w:left="567"/>
        <w:jc w:val="center"/>
        <w:rPr>
          <w:rFonts w:ascii="Times New Roman" w:hAnsi="Times New Roman" w:eastAsia="Times New Roman" w:cs="Times New Roman"/>
          <w:b/>
          <w:lang w:val="en-US"/>
        </w:rPr>
      </w:pPr>
      <w:r>
        <w:rPr>
          <w:rFonts w:cs="Times New Roman" w:ascii="Times New Roman" w:hAnsi="Times New Roman"/>
          <w:b/>
          <w:vertAlign w:val="superscript"/>
          <w:lang w:val="kk-KZ"/>
        </w:rPr>
        <w:t>1</w:t>
      </w:r>
      <w:r>
        <w:rPr>
          <w:rFonts w:cs="Times New Roman" w:ascii="Times New Roman" w:hAnsi="Times New Roman"/>
          <w:b/>
          <w:lang w:val="kk-KZ"/>
        </w:rPr>
        <w:t xml:space="preserve">Е.С.Абдрахманов, </w:t>
      </w:r>
      <w:r>
        <w:rPr>
          <w:rFonts w:cs="Times New Roman" w:ascii="Times New Roman" w:hAnsi="Times New Roman"/>
          <w:b/>
          <w:vertAlign w:val="superscript"/>
          <w:lang w:val="kk-KZ"/>
        </w:rPr>
        <w:t>1</w:t>
      </w:r>
      <w:r>
        <w:rPr>
          <w:rFonts w:cs="Times New Roman" w:ascii="Times New Roman" w:hAnsi="Times New Roman"/>
          <w:b/>
          <w:lang w:val="kk-KZ"/>
        </w:rPr>
        <w:t>Х.Б</w:t>
      </w:r>
      <w:r>
        <w:rPr>
          <w:rFonts w:cs="Times New Roman" w:ascii="Times New Roman" w:hAnsi="Times New Roman"/>
          <w:b/>
          <w:lang w:val="en-US"/>
        </w:rPr>
        <w:t>.</w:t>
      </w:r>
      <w:r>
        <w:rPr>
          <w:rFonts w:cs="Times New Roman" w:ascii="Times New Roman" w:hAnsi="Times New Roman"/>
          <w:b/>
          <w:lang w:val="kk-KZ"/>
        </w:rPr>
        <w:t xml:space="preserve">Теміртас, </w:t>
      </w:r>
      <w:r>
        <w:rPr>
          <w:rFonts w:eastAsia="Times New Roman" w:cs="Times New Roman" w:ascii="Times New Roman" w:hAnsi="Times New Roman"/>
          <w:b/>
          <w:vertAlign w:val="superscript"/>
          <w:lang w:val="en-US"/>
        </w:rPr>
        <w:t>2,3</w:t>
      </w:r>
      <w:r>
        <w:rPr>
          <w:rFonts w:eastAsia="Times New Roman" w:cs="Times New Roman" w:ascii="Times New Roman" w:hAnsi="Times New Roman"/>
          <w:b/>
        </w:rPr>
        <w:t>Б</w:t>
      </w:r>
      <w:r>
        <w:rPr>
          <w:rFonts w:eastAsia="Times New Roman" w:cs="Times New Roman" w:ascii="Times New Roman" w:hAnsi="Times New Roman"/>
          <w:b/>
          <w:lang w:val="en-US"/>
        </w:rPr>
        <w:t>.</w:t>
      </w:r>
      <w:r>
        <w:rPr>
          <w:rFonts w:eastAsia="Times New Roman" w:cs="Times New Roman" w:ascii="Times New Roman" w:hAnsi="Times New Roman"/>
          <w:b/>
        </w:rPr>
        <w:t>Т</w:t>
      </w:r>
      <w:r>
        <w:rPr>
          <w:rFonts w:eastAsia="Times New Roman" w:cs="Times New Roman" w:ascii="Times New Roman" w:hAnsi="Times New Roman"/>
          <w:b/>
          <w:lang w:val="en-US"/>
        </w:rPr>
        <w:t>.</w:t>
      </w:r>
      <w:r>
        <w:rPr>
          <w:rFonts w:eastAsia="Times New Roman" w:cs="Times New Roman" w:ascii="Times New Roman" w:hAnsi="Times New Roman"/>
          <w:b/>
        </w:rPr>
        <w:t>Ермағамбет</w:t>
      </w:r>
      <w:r>
        <w:rPr>
          <w:rFonts w:eastAsia="Times New Roman" w:cs="Times New Roman" w:ascii="Times New Roman" w:hAnsi="Times New Roman"/>
          <w:b/>
          <w:lang w:val="en-US"/>
        </w:rPr>
        <w:t xml:space="preserve">, </w:t>
      </w:r>
      <w:r>
        <w:rPr>
          <w:rFonts w:eastAsia="Times New Roman" w:cs="Times New Roman" w:ascii="Times New Roman" w:hAnsi="Times New Roman"/>
          <w:b/>
          <w:vertAlign w:val="superscript"/>
          <w:lang w:val="en-US"/>
        </w:rPr>
        <w:t>2,3</w:t>
      </w:r>
      <w:r>
        <w:rPr>
          <w:rFonts w:eastAsia="Times New Roman" w:cs="Times New Roman" w:ascii="Times New Roman" w:hAnsi="Times New Roman"/>
          <w:b/>
        </w:rPr>
        <w:t>Ж</w:t>
      </w:r>
      <w:r>
        <w:rPr>
          <w:rFonts w:eastAsia="Times New Roman" w:cs="Times New Roman" w:ascii="Times New Roman" w:hAnsi="Times New Roman"/>
          <w:b/>
          <w:lang w:val="en-US"/>
        </w:rPr>
        <w:t>.M.</w:t>
      </w:r>
      <w:r>
        <w:rPr>
          <w:rFonts w:eastAsia="Times New Roman" w:cs="Times New Roman" w:ascii="Times New Roman" w:hAnsi="Times New Roman"/>
          <w:b/>
        </w:rPr>
        <w:t>Касенова</w:t>
      </w:r>
      <w:r>
        <w:rPr>
          <w:rFonts w:eastAsia="Times New Roman" w:cs="Times New Roman" w:ascii="Times New Roman" w:hAnsi="Times New Roman"/>
          <w:b/>
          <w:lang w:val="en-US"/>
        </w:rPr>
        <w:t xml:space="preserve">,  </w:t>
      </w:r>
    </w:p>
    <w:p>
      <w:pPr>
        <w:pStyle w:val="Normal"/>
        <w:spacing w:before="0" w:after="0"/>
        <w:ind w:left="567"/>
        <w:jc w:val="center"/>
        <w:rPr>
          <w:rFonts w:ascii="Times New Roman" w:hAnsi="Times New Roman" w:eastAsia="Times New Roman" w:cs="Times New Roman"/>
          <w:b/>
          <w:lang w:val="en-US"/>
        </w:rPr>
      </w:pPr>
      <w:r>
        <w:rPr>
          <w:rFonts w:eastAsia="Times New Roman" w:cs="Times New Roman" w:ascii="Times New Roman" w:hAnsi="Times New Roman"/>
          <w:b/>
          <w:vertAlign w:val="superscript"/>
          <w:lang w:val="en-US"/>
        </w:rPr>
        <w:t>2,3</w:t>
      </w:r>
      <w:r>
        <w:rPr>
          <w:rFonts w:cs="Times New Roman" w:ascii="Times New Roman" w:hAnsi="Times New Roman"/>
          <w:b/>
          <w:lang w:val="kk-KZ"/>
        </w:rPr>
        <w:t>Ж.Т.</w:t>
      </w:r>
      <w:r>
        <w:rPr>
          <w:rFonts w:eastAsia="Times New Roman" w:cs="Times New Roman" w:ascii="Times New Roman" w:hAnsi="Times New Roman"/>
          <w:b/>
          <w:vertAlign w:val="superscript"/>
          <w:lang w:val="en-US"/>
        </w:rPr>
        <w:t xml:space="preserve"> </w:t>
      </w:r>
      <w:r>
        <w:rPr>
          <w:rFonts w:cs="Times New Roman" w:ascii="Times New Roman" w:hAnsi="Times New Roman"/>
          <w:b/>
          <w:lang w:val="kk-KZ"/>
        </w:rPr>
        <w:t>Даулетжанова</w:t>
      </w:r>
      <w:r>
        <w:rPr>
          <w:rFonts w:eastAsia="Wingdings" w:cs="Wingdings" w:ascii="Wingdings" w:hAnsi="Wingdings"/>
          <w:b/>
          <w:bCs/>
          <w:color w:val="5B9BD5"/>
          <w:vertAlign w:val="superscript"/>
        </w:rPr>
        <w:sym w:font="Wingdings" w:char="f02a"/>
      </w:r>
      <w:r>
        <w:rPr>
          <w:rFonts w:cs="Times New Roman" w:ascii="Times New Roman" w:hAnsi="Times New Roman"/>
          <w:b/>
          <w:lang w:val="kk-KZ"/>
        </w:rPr>
        <w:t>,</w:t>
      </w:r>
      <w:r>
        <w:rPr>
          <w:rFonts w:eastAsia="Times New Roman" w:cs="Times New Roman" w:ascii="Times New Roman" w:hAnsi="Times New Roman"/>
          <w:b/>
          <w:lang w:val="en-US"/>
        </w:rPr>
        <w:t xml:space="preserve"> </w:t>
      </w:r>
      <w:r>
        <w:rPr>
          <w:rFonts w:eastAsia="Times New Roman" w:cs="Times New Roman" w:ascii="Times New Roman" w:hAnsi="Times New Roman"/>
          <w:b/>
          <w:vertAlign w:val="superscript"/>
          <w:lang w:val="en-US"/>
        </w:rPr>
        <w:t>2,3</w:t>
      </w:r>
      <w:r>
        <w:rPr>
          <w:rFonts w:eastAsia="Times New Roman" w:cs="Times New Roman" w:ascii="Times New Roman" w:hAnsi="Times New Roman"/>
          <w:b/>
        </w:rPr>
        <w:t>М</w:t>
      </w:r>
      <w:r>
        <w:rPr>
          <w:rFonts w:eastAsia="Times New Roman" w:cs="Times New Roman" w:ascii="Times New Roman" w:hAnsi="Times New Roman"/>
          <w:b/>
          <w:lang w:val="en-US"/>
        </w:rPr>
        <w:t>.</w:t>
      </w:r>
      <w:r>
        <w:rPr>
          <w:rFonts w:eastAsia="Times New Roman" w:cs="Times New Roman" w:ascii="Times New Roman" w:hAnsi="Times New Roman"/>
          <w:b/>
        </w:rPr>
        <w:t>Қ</w:t>
      </w:r>
      <w:r>
        <w:rPr>
          <w:rFonts w:eastAsia="Times New Roman" w:cs="Times New Roman" w:ascii="Times New Roman" w:hAnsi="Times New Roman"/>
          <w:b/>
          <w:lang w:val="en-US"/>
        </w:rPr>
        <w:t>.</w:t>
      </w:r>
      <w:r>
        <w:rPr>
          <w:rFonts w:eastAsia="Times New Roman" w:cs="Times New Roman" w:ascii="Times New Roman" w:hAnsi="Times New Roman"/>
          <w:b/>
          <w:vertAlign w:val="superscript"/>
          <w:lang w:val="en-US"/>
        </w:rPr>
        <w:t xml:space="preserve"> </w:t>
      </w:r>
      <w:r>
        <w:rPr>
          <w:rFonts w:eastAsia="Times New Roman" w:cs="Times New Roman" w:ascii="Times New Roman" w:hAnsi="Times New Roman"/>
          <w:b/>
        </w:rPr>
        <w:t>Қазанқапова</w:t>
      </w:r>
      <w:r>
        <w:rPr>
          <w:rFonts w:eastAsia="Times New Roman" w:cs="Times New Roman" w:ascii="Times New Roman" w:hAnsi="Times New Roman"/>
          <w:b/>
          <w:lang w:val="en-US"/>
        </w:rPr>
        <w:t xml:space="preserve">, </w:t>
      </w:r>
      <w:r>
        <w:rPr>
          <w:rFonts w:cs="Times New Roman" w:ascii="Times New Roman" w:hAnsi="Times New Roman"/>
          <w:b/>
          <w:vertAlign w:val="superscript"/>
          <w:lang w:val="kk-KZ"/>
        </w:rPr>
        <w:t>4</w:t>
      </w:r>
      <w:r>
        <w:rPr>
          <w:rFonts w:cs="Times New Roman" w:ascii="Times New Roman" w:hAnsi="Times New Roman"/>
          <w:b/>
          <w:color w:val="000000"/>
        </w:rPr>
        <w:t>Н</w:t>
      </w:r>
      <w:r>
        <w:rPr>
          <w:rFonts w:cs="Times New Roman" w:ascii="Times New Roman" w:hAnsi="Times New Roman"/>
          <w:b/>
          <w:color w:val="000000"/>
          <w:lang w:val="en-US"/>
        </w:rPr>
        <w:t>.</w:t>
      </w:r>
      <w:r>
        <w:rPr>
          <w:rFonts w:cs="Times New Roman" w:ascii="Times New Roman" w:hAnsi="Times New Roman"/>
          <w:b/>
          <w:color w:val="000000"/>
        </w:rPr>
        <w:t>Ш</w:t>
      </w:r>
      <w:r>
        <w:rPr>
          <w:rFonts w:cs="Times New Roman" w:ascii="Times New Roman" w:hAnsi="Times New Roman"/>
          <w:b/>
          <w:color w:val="000000"/>
          <w:lang w:val="en-US"/>
        </w:rPr>
        <w:t>.</w:t>
      </w:r>
      <w:r>
        <w:rPr>
          <w:rFonts w:cs="Times New Roman" w:ascii="Times New Roman" w:hAnsi="Times New Roman"/>
          <w:b/>
          <w:vertAlign w:val="superscript"/>
          <w:lang w:val="kk-KZ"/>
        </w:rPr>
        <w:t xml:space="preserve"> </w:t>
      </w:r>
      <w:r>
        <w:rPr>
          <w:rFonts w:cs="Times New Roman" w:ascii="Times New Roman" w:hAnsi="Times New Roman"/>
          <w:b/>
          <w:color w:val="000000"/>
        </w:rPr>
        <w:t>Акимбеков</w:t>
      </w:r>
      <w:r>
        <w:rPr>
          <w:rFonts w:cs="Times New Roman" w:ascii="Times New Roman" w:hAnsi="Times New Roman"/>
          <w:b/>
          <w:color w:val="000000"/>
          <w:lang w:val="en-US"/>
        </w:rPr>
        <w:t>,</w:t>
      </w:r>
    </w:p>
    <w:p>
      <w:pPr>
        <w:pStyle w:val="Normal"/>
        <w:spacing w:before="0" w:after="0"/>
        <w:ind w:left="567"/>
        <w:jc w:val="center"/>
        <w:rPr>
          <w:rFonts w:ascii="Times New Roman" w:hAnsi="Times New Roman" w:cs="Times New Roman"/>
          <w:b/>
          <w:lang w:val="kk-KZ"/>
        </w:rPr>
      </w:pPr>
      <w:r>
        <w:rPr>
          <w:rFonts w:cs="Times New Roman" w:ascii="Times New Roman" w:hAnsi="Times New Roman"/>
          <w:b/>
          <w:vertAlign w:val="superscript"/>
          <w:lang w:val="kk-KZ"/>
        </w:rPr>
        <w:t>4</w:t>
      </w:r>
      <w:r>
        <w:rPr>
          <w:rFonts w:cs="Times New Roman" w:ascii="Times New Roman" w:hAnsi="Times New Roman"/>
          <w:b/>
          <w:color w:val="000000"/>
        </w:rPr>
        <w:t>К.Т.</w:t>
      </w:r>
      <w:r>
        <w:rPr>
          <w:rFonts w:cs="Times New Roman" w:ascii="Times New Roman" w:hAnsi="Times New Roman"/>
          <w:b/>
          <w:vertAlign w:val="superscript"/>
          <w:lang w:val="kk-KZ"/>
        </w:rPr>
        <w:t xml:space="preserve"> </w:t>
      </w:r>
      <w:r>
        <w:rPr>
          <w:rFonts w:cs="Times New Roman" w:ascii="Times New Roman" w:hAnsi="Times New Roman"/>
          <w:b/>
          <w:color w:val="000000"/>
        </w:rPr>
        <w:t xml:space="preserve">Тастамбек </w:t>
      </w:r>
    </w:p>
    <w:p>
      <w:pPr>
        <w:pStyle w:val="Normal"/>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1</w:t>
      </w:r>
      <w:r>
        <w:rPr>
          <w:rFonts w:cs="Times New Roman" w:ascii="Times New Roman" w:hAnsi="Times New Roman"/>
          <w:i/>
          <w:sz w:val="20"/>
          <w:szCs w:val="20"/>
          <w:lang w:val="kk-KZ"/>
        </w:rPr>
        <w:t>Торайғыров университеті, Павлодар, Қазақстан,</w:t>
      </w:r>
    </w:p>
    <w:p>
      <w:pPr>
        <w:pStyle w:val="17"/>
        <w:pBdr/>
        <w:spacing w:lineRule="auto" w:line="240" w:before="0" w:after="0"/>
        <w:ind w:firstLine="567"/>
        <w:jc w:val="center"/>
        <w:rPr>
          <w:rFonts w:ascii="Times New Roman" w:hAnsi="Times New Roman" w:eastAsia="Times New Roman" w:cs="Times New Roman"/>
          <w:i/>
          <w:i/>
          <w:color w:val="000000"/>
          <w:sz w:val="20"/>
          <w:szCs w:val="20"/>
        </w:rPr>
      </w:pPr>
      <w:r>
        <w:rPr>
          <w:rFonts w:eastAsia="Times New Roman" w:cs="Times New Roman" w:ascii="Times New Roman" w:hAnsi="Times New Roman"/>
          <w:i/>
          <w:color w:val="000000"/>
          <w:sz w:val="20"/>
          <w:szCs w:val="20"/>
          <w:vertAlign w:val="superscript"/>
        </w:rPr>
        <w:t>2</w:t>
      </w:r>
      <w:r>
        <w:rPr>
          <w:rFonts w:eastAsia="Times New Roman" w:cs="Times New Roman" w:ascii="Times New Roman" w:hAnsi="Times New Roman"/>
          <w:i/>
          <w:color w:val="000000"/>
          <w:sz w:val="20"/>
          <w:szCs w:val="20"/>
        </w:rPr>
        <w:t>«Көмір химиясы және технология институты» ЖШС, Астана, Қазақстан,</w:t>
      </w:r>
    </w:p>
    <w:p>
      <w:pPr>
        <w:pStyle w:val="Normal"/>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3</w:t>
      </w:r>
      <w:r>
        <w:rPr>
          <w:rFonts w:eastAsia="Times New Roman" w:cs="Times New Roman" w:ascii="Times New Roman" w:hAnsi="Times New Roman"/>
          <w:i/>
          <w:sz w:val="20"/>
          <w:szCs w:val="20"/>
          <w:lang w:eastAsia="ru-RU"/>
        </w:rPr>
        <w:t xml:space="preserve"> Қ.Құлажанов атындағы Қазақ технология және бизнес университеті</w:t>
      </w:r>
      <w:r>
        <w:rPr>
          <w:rFonts w:cs="Times New Roman" w:ascii="Times New Roman" w:hAnsi="Times New Roman"/>
          <w:i/>
          <w:sz w:val="20"/>
          <w:szCs w:val="20"/>
          <w:lang w:val="kk-KZ"/>
        </w:rPr>
        <w:t>, Астана, Қазақстан,</w:t>
      </w:r>
    </w:p>
    <w:p>
      <w:pPr>
        <w:pStyle w:val="Normal"/>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 xml:space="preserve">4 </w:t>
      </w:r>
      <w:r>
        <w:rPr>
          <w:rFonts w:cs="Times New Roman" w:ascii="Times New Roman" w:hAnsi="Times New Roman"/>
          <w:i/>
          <w:sz w:val="20"/>
          <w:szCs w:val="20"/>
          <w:lang w:val="kk-KZ"/>
        </w:rPr>
        <w:t>«Экология және биоресурстардың тұрақтылығы» ҒЗИ, әл-Фараби атындағы ҚазҰУ, Алматы, Қазақстан,</w:t>
      </w:r>
    </w:p>
    <w:p>
      <w:pPr>
        <w:pStyle w:val="Normal"/>
        <w:spacing w:lineRule="auto" w:line="240" w:before="0" w:after="0"/>
        <w:ind w:firstLine="567"/>
        <w:jc w:val="center"/>
        <w:rPr>
          <w:rFonts w:ascii="Times New Roman" w:hAnsi="Times New Roman" w:cs="Times New Roman"/>
          <w:i/>
          <w:i/>
          <w:color w:themeColor="text1" w:val="000000"/>
          <w:lang w:val="en-US"/>
        </w:rPr>
      </w:pPr>
      <w:r>
        <w:rPr>
          <w:rFonts w:cs="Times New Roman" w:ascii="Times New Roman" w:hAnsi="Times New Roman"/>
          <w:i/>
          <w:color w:themeColor="text1" w:val="000000"/>
          <w:lang w:val="en-US"/>
        </w:rPr>
        <w:t>e-mail:</w:t>
      </w:r>
      <w:r>
        <w:rPr>
          <w:i/>
          <w:color w:themeColor="text1" w:val="000000"/>
          <w:lang w:val="en-US"/>
        </w:rPr>
        <w:t xml:space="preserve"> </w:t>
      </w:r>
      <w:hyperlink r:id="rId19">
        <w:r>
          <w:rPr>
            <w:rStyle w:val="Hyperlink"/>
            <w:rFonts w:cs="Times New Roman" w:ascii="Times New Roman" w:hAnsi="Times New Roman"/>
            <w:i/>
            <w:color w:themeColor="text1" w:val="000000"/>
            <w:u w:val="none"/>
            <w:lang w:val="en-US"/>
          </w:rPr>
          <w:t>kaliyeva_zhanna@mail.ru</w:t>
        </w:r>
      </w:hyperlink>
    </w:p>
    <w:p>
      <w:pPr>
        <w:pStyle w:val="Normal"/>
        <w:spacing w:before="0" w:after="0"/>
        <w:ind w:firstLine="567"/>
        <w:jc w:val="both"/>
        <w:rPr>
          <w:rFonts w:ascii="Times New Roman" w:hAnsi="Times New Roman" w:cs="Times New Roman"/>
          <w:i/>
          <w:i/>
          <w:sz w:val="24"/>
          <w:szCs w:val="24"/>
          <w:lang w:val="en-US"/>
        </w:rPr>
      </w:pPr>
      <w:r>
        <w:rPr>
          <w:rFonts w:cs="Times New Roman" w:ascii="Times New Roman" w:hAnsi="Times New Roman"/>
          <w:i/>
          <w:sz w:val="24"/>
          <w:szCs w:val="24"/>
          <w:lang w:val="en-US"/>
        </w:rPr>
      </w:r>
    </w:p>
    <w:p>
      <w:pPr>
        <w:pStyle w:val="Normal"/>
        <w:spacing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Мақалада көмірді брикеттеу процесі, брикеттеу процесі туралы мәліметтер келтірілген, көмірдің физикалық-химиялық және құрылымдық-реологиялық қасиеттерін ескере отырып, көмір брикеттерінің құрылымдық түзілу механизмі анықталған. Брикет шихтасындағы қарапайым кластардың біркелкі таралуы маңызды. Оған көмірді жіктеудің технологиялық схемасын таңдау және тиісті аппараттық дизайн арқылы қол жеткізіледі. Көмірдің мөлшері брикеттелген масса бөлшектерінің жалпы бетін анықтайды. Бұл бет неғұрлым дамыған болса, брикеттер ішіндегі бөлшектердің байланыс саны соғұрлым көп болады және молекулалық байланыс күштерінің әсері күшейеді. Дәндердің жалпы бетінің ұлғаюына ұсақтау арқылы қол жеткізуге болады. Көмірді брикеттеу процесіне әсер ететін негізгі факторлар: көмірдің ылғалдылығы және жекелеген кластардағы ылғалдың таралуы, көмірдің үлкендігі, брикет шихтасындағы үлкендіктің қарапайым кластарының таралуы, гранулометриялық құрамы, қысымы, престеу ұзақтығы мен температурасы, судың мөлшері.</w:t>
      </w:r>
    </w:p>
    <w:p>
      <w:pPr>
        <w:pStyle w:val="Normal"/>
        <w:spacing w:before="0" w:after="0"/>
        <w:ind w:firstLine="567"/>
        <w:jc w:val="both"/>
        <w:rPr>
          <w:rFonts w:ascii="Times New Roman" w:hAnsi="Times New Roman" w:cs="Times New Roman"/>
          <w:sz w:val="24"/>
          <w:szCs w:val="24"/>
          <w:lang w:val="kk-KZ"/>
        </w:rPr>
      </w:pPr>
      <w:r>
        <w:rPr>
          <w:rFonts w:cs="Times New Roman" w:ascii="Times New Roman" w:hAnsi="Times New Roman"/>
          <w:b/>
          <w:sz w:val="24"/>
          <w:szCs w:val="24"/>
          <w:lang w:val="kk-KZ"/>
        </w:rPr>
        <w:t>Түйін сөздер:</w:t>
      </w:r>
      <w:r>
        <w:rPr>
          <w:rFonts w:cs="Times New Roman" w:ascii="Times New Roman" w:hAnsi="Times New Roman"/>
          <w:sz w:val="24"/>
          <w:szCs w:val="24"/>
          <w:lang w:val="kk-KZ"/>
        </w:rPr>
        <w:t xml:space="preserve"> көмір, күл, брикеттеу, шикізат сапасын басқару, жану жылуы, көмірдің мөлшері.</w:t>
      </w:r>
    </w:p>
    <w:p>
      <w:pPr>
        <w:pStyle w:val="Normal"/>
        <w:spacing w:before="0" w:after="0"/>
        <w:ind w:firstLine="567"/>
        <w:jc w:val="center"/>
        <w:rPr>
          <w:rFonts w:ascii="Times New Roman" w:hAnsi="Times New Roman" w:cs="Times New Roman"/>
          <w:sz w:val="24"/>
          <w:szCs w:val="24"/>
          <w:lang w:val="kk-KZ"/>
        </w:rPr>
      </w:pPr>
      <w:r>
        <w:rPr>
          <w:rFonts w:cs="Times New Roman" w:ascii="Times New Roman" w:hAnsi="Times New Roman"/>
          <w:sz w:val="24"/>
          <w:szCs w:val="24"/>
          <w:lang w:val="kk-KZ"/>
        </w:rPr>
      </w:r>
    </w:p>
    <w:p>
      <w:pPr>
        <w:pStyle w:val="Normal"/>
        <w:spacing w:before="0" w:after="0"/>
        <w:jc w:val="center"/>
        <w:rPr>
          <w:rFonts w:ascii="Times New Roman" w:hAnsi="Times New Roman" w:cs="Times New Roman"/>
          <w:b/>
        </w:rPr>
      </w:pPr>
      <w:r>
        <w:rPr>
          <w:rFonts w:cs="Times New Roman" w:ascii="Times New Roman" w:hAnsi="Times New Roman"/>
          <w:b/>
        </w:rPr>
        <w:t>ПОЛУЧЕНИЕ ВЫСОКОКАЛОРИЙНЫХ УГОЛЬНЫХ БРИКЕТОВ ИЗ УГЛЯ ЭКИБАСТУЗСКОГО МЕСТОРОЖДЕНИЯ</w:t>
      </w:r>
    </w:p>
    <w:p>
      <w:pPr>
        <w:pStyle w:val="Normal"/>
        <w:spacing w:before="0" w:after="0"/>
        <w:ind w:firstLine="567"/>
        <w:jc w:val="center"/>
        <w:rPr>
          <w:rFonts w:ascii="Times New Roman" w:hAnsi="Times New Roman" w:cs="Times New Roman"/>
        </w:rPr>
      </w:pPr>
      <w:r>
        <w:rPr>
          <w:rFonts w:cs="Times New Roman" w:ascii="Times New Roman" w:hAnsi="Times New Roman"/>
        </w:rPr>
      </w:r>
    </w:p>
    <w:p>
      <w:pPr>
        <w:pStyle w:val="Normal"/>
        <w:spacing w:before="0" w:after="0"/>
        <w:ind w:firstLine="567"/>
        <w:jc w:val="center"/>
        <w:rPr>
          <w:rFonts w:ascii="Times New Roman" w:hAnsi="Times New Roman" w:eastAsia="Times New Roman" w:cs="Times New Roman"/>
          <w:b/>
        </w:rPr>
      </w:pPr>
      <w:r>
        <w:rPr>
          <w:rFonts w:cs="Times New Roman" w:ascii="Times New Roman" w:hAnsi="Times New Roman"/>
          <w:b/>
          <w:vertAlign w:val="superscript"/>
          <w:lang w:val="kk-KZ"/>
        </w:rPr>
        <w:t>1</w:t>
      </w:r>
      <w:r>
        <w:rPr>
          <w:rFonts w:cs="Times New Roman" w:ascii="Times New Roman" w:hAnsi="Times New Roman"/>
          <w:b/>
          <w:lang w:val="kk-KZ"/>
        </w:rPr>
        <w:t xml:space="preserve">Е.С. Абдрахманов, </w:t>
      </w:r>
      <w:r>
        <w:rPr>
          <w:rFonts w:cs="Times New Roman" w:ascii="Times New Roman" w:hAnsi="Times New Roman"/>
          <w:b/>
          <w:vertAlign w:val="superscript"/>
          <w:lang w:val="kk-KZ"/>
        </w:rPr>
        <w:t>1</w:t>
      </w:r>
      <w:r>
        <w:rPr>
          <w:rFonts w:cs="Times New Roman" w:ascii="Times New Roman" w:hAnsi="Times New Roman"/>
          <w:b/>
          <w:lang w:val="kk-KZ"/>
        </w:rPr>
        <w:t xml:space="preserve">Х.Б. Теміртас, </w:t>
      </w:r>
      <w:r>
        <w:rPr>
          <w:rFonts w:eastAsia="Times New Roman" w:cs="Times New Roman" w:ascii="Times New Roman" w:hAnsi="Times New Roman"/>
          <w:b/>
          <w:vertAlign w:val="superscript"/>
        </w:rPr>
        <w:t>2,3</w:t>
      </w:r>
      <w:r>
        <w:rPr>
          <w:rFonts w:eastAsia="Times New Roman" w:cs="Times New Roman" w:ascii="Times New Roman" w:hAnsi="Times New Roman"/>
          <w:b/>
        </w:rPr>
        <w:t xml:space="preserve">Б.Т.Ермагамбет, </w:t>
      </w:r>
      <w:r>
        <w:rPr>
          <w:rFonts w:eastAsia="Times New Roman" w:cs="Times New Roman" w:ascii="Times New Roman" w:hAnsi="Times New Roman"/>
          <w:b/>
          <w:vertAlign w:val="superscript"/>
        </w:rPr>
        <w:t>2,3</w:t>
      </w:r>
      <w:r>
        <w:rPr>
          <w:rFonts w:eastAsia="Times New Roman" w:cs="Times New Roman" w:ascii="Times New Roman" w:hAnsi="Times New Roman"/>
          <w:b/>
        </w:rPr>
        <w:t xml:space="preserve">Ж.M.Касенова, </w:t>
      </w:r>
    </w:p>
    <w:p>
      <w:pPr>
        <w:pStyle w:val="Normal"/>
        <w:spacing w:before="0" w:after="0"/>
        <w:ind w:firstLine="567"/>
        <w:jc w:val="center"/>
        <w:rPr>
          <w:rFonts w:ascii="Times New Roman" w:hAnsi="Times New Roman" w:cs="Times New Roman"/>
          <w:b/>
          <w:color w:val="000000"/>
        </w:rPr>
      </w:pPr>
      <w:r>
        <w:rPr>
          <w:rFonts w:cs="Times New Roman" w:ascii="Times New Roman" w:hAnsi="Times New Roman"/>
          <w:b/>
          <w:vertAlign w:val="superscript"/>
          <w:lang w:val="kk-KZ"/>
        </w:rPr>
        <w:t>2,3</w:t>
      </w:r>
      <w:r>
        <w:rPr>
          <w:rFonts w:cs="Times New Roman" w:ascii="Times New Roman" w:hAnsi="Times New Roman"/>
          <w:b/>
          <w:lang w:val="kk-KZ"/>
        </w:rPr>
        <w:t xml:space="preserve">Ж.Т. Даулетжанова., </w:t>
      </w:r>
      <w:r>
        <w:rPr>
          <w:rFonts w:eastAsia="Times New Roman" w:cs="Times New Roman" w:ascii="Times New Roman" w:hAnsi="Times New Roman"/>
          <w:b/>
          <w:vertAlign w:val="superscript"/>
        </w:rPr>
        <w:t>2,3</w:t>
      </w:r>
      <w:r>
        <w:rPr>
          <w:rFonts w:eastAsia="Times New Roman" w:cs="Times New Roman" w:ascii="Times New Roman" w:hAnsi="Times New Roman"/>
          <w:b/>
        </w:rPr>
        <w:t>М.К.Казанкапова,</w:t>
      </w:r>
      <w:r>
        <w:rPr>
          <w:rFonts w:cs="Times New Roman" w:ascii="Times New Roman" w:hAnsi="Times New Roman"/>
          <w:b/>
          <w:color w:val="000000"/>
        </w:rPr>
        <w:t xml:space="preserve"> </w:t>
      </w:r>
      <w:r>
        <w:rPr>
          <w:rFonts w:cs="Times New Roman" w:ascii="Times New Roman" w:hAnsi="Times New Roman"/>
          <w:b/>
          <w:vertAlign w:val="superscript"/>
          <w:lang w:val="kk-KZ"/>
        </w:rPr>
        <w:t>4</w:t>
      </w:r>
      <w:r>
        <w:rPr>
          <w:rFonts w:cs="Times New Roman" w:ascii="Times New Roman" w:hAnsi="Times New Roman"/>
          <w:b/>
          <w:color w:val="000000"/>
        </w:rPr>
        <w:t>Н.Ш.</w:t>
      </w:r>
      <w:r>
        <w:rPr>
          <w:rFonts w:cs="Times New Roman" w:ascii="Times New Roman" w:hAnsi="Times New Roman"/>
          <w:b/>
          <w:vertAlign w:val="superscript"/>
          <w:lang w:val="kk-KZ"/>
        </w:rPr>
        <w:t xml:space="preserve"> </w:t>
      </w:r>
      <w:r>
        <w:rPr>
          <w:rFonts w:cs="Times New Roman" w:ascii="Times New Roman" w:hAnsi="Times New Roman"/>
          <w:b/>
          <w:color w:val="000000"/>
        </w:rPr>
        <w:t xml:space="preserve">Акимбеков, </w:t>
      </w:r>
    </w:p>
    <w:p>
      <w:pPr>
        <w:pStyle w:val="Normal"/>
        <w:spacing w:before="0" w:after="0"/>
        <w:ind w:firstLine="567"/>
        <w:jc w:val="center"/>
        <w:rPr>
          <w:rFonts w:ascii="Times New Roman" w:hAnsi="Times New Roman" w:cs="Times New Roman"/>
          <w:b/>
          <w:lang w:val="kk-KZ"/>
        </w:rPr>
      </w:pPr>
      <w:r>
        <w:rPr>
          <w:rFonts w:cs="Times New Roman" w:ascii="Times New Roman" w:hAnsi="Times New Roman"/>
          <w:b/>
          <w:vertAlign w:val="superscript"/>
          <w:lang w:val="kk-KZ"/>
        </w:rPr>
        <w:t>4</w:t>
      </w:r>
      <w:r>
        <w:rPr>
          <w:rFonts w:cs="Times New Roman" w:ascii="Times New Roman" w:hAnsi="Times New Roman"/>
          <w:b/>
          <w:color w:val="000000"/>
        </w:rPr>
        <w:t xml:space="preserve">К.Т.Тастамбек </w:t>
      </w:r>
    </w:p>
    <w:p>
      <w:pPr>
        <w:pStyle w:val="Normal"/>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1</w:t>
      </w:r>
      <w:r>
        <w:rPr>
          <w:rFonts w:cs="Times New Roman" w:ascii="Times New Roman" w:hAnsi="Times New Roman"/>
          <w:i/>
          <w:sz w:val="20"/>
          <w:szCs w:val="20"/>
          <w:lang w:val="kk-KZ"/>
        </w:rPr>
        <w:t>Торайгыров Университет, Павлодар, Казахстан,</w:t>
      </w:r>
    </w:p>
    <w:p>
      <w:pPr>
        <w:pStyle w:val="17"/>
        <w:pBdr/>
        <w:spacing w:lineRule="auto" w:line="240" w:before="0" w:after="0"/>
        <w:ind w:firstLine="567"/>
        <w:jc w:val="center"/>
        <w:rPr>
          <w:rFonts w:ascii="Times New Roman" w:hAnsi="Times New Roman" w:eastAsia="Times New Roman" w:cs="Times New Roman"/>
          <w:i/>
          <w:i/>
          <w:color w:val="000000"/>
          <w:sz w:val="20"/>
          <w:szCs w:val="20"/>
        </w:rPr>
      </w:pPr>
      <w:r>
        <w:rPr>
          <w:rFonts w:eastAsia="Times New Roman" w:cs="Times New Roman" w:ascii="Times New Roman" w:hAnsi="Times New Roman"/>
          <w:i/>
          <w:color w:val="000000"/>
          <w:sz w:val="20"/>
          <w:szCs w:val="20"/>
          <w:vertAlign w:val="superscript"/>
        </w:rPr>
        <w:t>2</w:t>
      </w:r>
      <w:r>
        <w:rPr>
          <w:rFonts w:eastAsia="Times New Roman" w:cs="Times New Roman" w:ascii="Times New Roman" w:hAnsi="Times New Roman"/>
          <w:i/>
          <w:color w:val="000000"/>
          <w:sz w:val="20"/>
          <w:szCs w:val="20"/>
        </w:rPr>
        <w:t>ТОО «Институт химии угля и технологии», Астана, Казахстан,</w:t>
      </w:r>
    </w:p>
    <w:p>
      <w:pPr>
        <w:pStyle w:val="Normal"/>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3</w:t>
      </w:r>
      <w:r>
        <w:rPr>
          <w:rFonts w:cs="Times New Roman" w:ascii="Times New Roman" w:hAnsi="Times New Roman"/>
          <w:i/>
          <w:sz w:val="20"/>
          <w:szCs w:val="20"/>
          <w:lang w:val="kk-KZ"/>
        </w:rPr>
        <w:t>Казахский университет технологии и бизнеса им.К.Кулажанова, Астана, Казахстан,</w:t>
      </w:r>
    </w:p>
    <w:p>
      <w:pPr>
        <w:pStyle w:val="Normal"/>
        <w:spacing w:lineRule="auto" w:line="240" w:before="0" w:after="0"/>
        <w:ind w:firstLine="567"/>
        <w:jc w:val="center"/>
        <w:rPr>
          <w:rFonts w:ascii="Times New Roman" w:hAnsi="Times New Roman" w:cs="Times New Roman"/>
          <w:i/>
          <w:i/>
          <w:sz w:val="20"/>
          <w:szCs w:val="20"/>
        </w:rPr>
      </w:pPr>
      <w:r>
        <w:rPr>
          <w:rFonts w:cs="Times New Roman" w:ascii="Times New Roman" w:hAnsi="Times New Roman"/>
          <w:i/>
          <w:sz w:val="20"/>
          <w:szCs w:val="20"/>
          <w:vertAlign w:val="superscript"/>
          <w:lang w:val="kk-KZ"/>
        </w:rPr>
        <w:t>4</w:t>
      </w:r>
      <w:r>
        <w:rPr>
          <w:rFonts w:cs="Times New Roman" w:ascii="Times New Roman" w:hAnsi="Times New Roman"/>
          <w:i/>
          <w:sz w:val="20"/>
          <w:szCs w:val="20"/>
        </w:rPr>
        <w:t xml:space="preserve">НИИ «Устойчивости экологии и биоресурсов», КазНУ им. аль-Фараби, г. Алматы, </w:t>
      </w:r>
    </w:p>
    <w:p>
      <w:pPr>
        <w:pStyle w:val="Normal"/>
        <w:spacing w:lineRule="auto" w:line="240" w:before="0" w:after="0"/>
        <w:ind w:firstLine="567"/>
        <w:jc w:val="center"/>
        <w:rPr>
          <w:rFonts w:ascii="Times New Roman" w:hAnsi="Times New Roman" w:cs="Times New Roman"/>
          <w:i/>
          <w:i/>
          <w:sz w:val="20"/>
          <w:szCs w:val="20"/>
        </w:rPr>
      </w:pPr>
      <w:r>
        <w:rPr>
          <w:rFonts w:cs="Times New Roman" w:ascii="Times New Roman" w:hAnsi="Times New Roman"/>
          <w:i/>
          <w:sz w:val="20"/>
          <w:szCs w:val="20"/>
        </w:rPr>
        <w:t>Казахстан,</w:t>
      </w:r>
    </w:p>
    <w:p>
      <w:pPr>
        <w:pStyle w:val="Normal"/>
        <w:spacing w:lineRule="auto" w:line="240" w:before="0" w:after="0"/>
        <w:ind w:firstLine="567"/>
        <w:jc w:val="center"/>
        <w:rPr>
          <w:rFonts w:ascii="Times New Roman" w:hAnsi="Times New Roman" w:cs="Times New Roman"/>
          <w:i/>
          <w:i/>
          <w:sz w:val="20"/>
          <w:szCs w:val="20"/>
        </w:rPr>
      </w:pPr>
      <w:r>
        <w:rPr>
          <w:rFonts w:cs="Times New Roman" w:ascii="Times New Roman" w:hAnsi="Times New Roman"/>
          <w:i/>
          <w:sz w:val="20"/>
          <w:szCs w:val="20"/>
          <w:lang w:val="en-US"/>
        </w:rPr>
        <w:t>e</w:t>
      </w:r>
      <w:r>
        <w:rPr>
          <w:rFonts w:cs="Times New Roman" w:ascii="Times New Roman" w:hAnsi="Times New Roman"/>
          <w:i/>
          <w:sz w:val="20"/>
          <w:szCs w:val="20"/>
        </w:rPr>
        <w:t>-</w:t>
      </w:r>
      <w:r>
        <w:rPr>
          <w:rFonts w:cs="Times New Roman" w:ascii="Times New Roman" w:hAnsi="Times New Roman"/>
          <w:i/>
          <w:sz w:val="20"/>
          <w:szCs w:val="20"/>
          <w:lang w:val="en-US"/>
        </w:rPr>
        <w:t>mail</w:t>
      </w:r>
      <w:r>
        <w:rPr>
          <w:rFonts w:cs="Times New Roman" w:ascii="Times New Roman" w:hAnsi="Times New Roman"/>
          <w:i/>
          <w:sz w:val="20"/>
          <w:szCs w:val="20"/>
        </w:rPr>
        <w:t xml:space="preserve">: </w:t>
      </w:r>
      <w:hyperlink r:id="rId20">
        <w:r>
          <w:rPr>
            <w:rStyle w:val="Hyperlink"/>
            <w:rFonts w:cs="Times New Roman" w:ascii="Times New Roman" w:hAnsi="Times New Roman"/>
            <w:i/>
            <w:color w:themeColor="text1" w:val="000000"/>
            <w:sz w:val="20"/>
            <w:szCs w:val="20"/>
            <w:u w:val="none"/>
            <w:lang w:val="en-US"/>
          </w:rPr>
          <w:t>kaliyeva</w:t>
        </w:r>
        <w:r>
          <w:rPr>
            <w:rStyle w:val="Hyperlink"/>
            <w:rFonts w:cs="Times New Roman" w:ascii="Times New Roman" w:hAnsi="Times New Roman"/>
            <w:i/>
            <w:color w:themeColor="text1" w:val="000000"/>
            <w:sz w:val="20"/>
            <w:szCs w:val="20"/>
            <w:u w:val="none"/>
          </w:rPr>
          <w:t>_</w:t>
        </w:r>
        <w:r>
          <w:rPr>
            <w:rStyle w:val="Hyperlink"/>
            <w:rFonts w:cs="Times New Roman" w:ascii="Times New Roman" w:hAnsi="Times New Roman"/>
            <w:i/>
            <w:color w:themeColor="text1" w:val="000000"/>
            <w:sz w:val="20"/>
            <w:szCs w:val="20"/>
            <w:u w:val="none"/>
            <w:lang w:val="en-US"/>
          </w:rPr>
          <w:t>zhanna</w:t>
        </w:r>
        <w:r>
          <w:rPr>
            <w:rStyle w:val="Hyperlink"/>
            <w:rFonts w:cs="Times New Roman" w:ascii="Times New Roman" w:hAnsi="Times New Roman"/>
            <w:i/>
            <w:color w:themeColor="text1" w:val="000000"/>
            <w:sz w:val="20"/>
            <w:szCs w:val="20"/>
            <w:u w:val="none"/>
          </w:rPr>
          <w:t>@</w:t>
        </w:r>
        <w:r>
          <w:rPr>
            <w:rStyle w:val="Hyperlink"/>
            <w:rFonts w:cs="Times New Roman" w:ascii="Times New Roman" w:hAnsi="Times New Roman"/>
            <w:i/>
            <w:color w:themeColor="text1" w:val="000000"/>
            <w:sz w:val="20"/>
            <w:szCs w:val="20"/>
            <w:u w:val="none"/>
            <w:lang w:val="en-US"/>
          </w:rPr>
          <w:t>mail</w:t>
        </w:r>
        <w:r>
          <w:rPr>
            <w:rStyle w:val="Hyperlink"/>
            <w:rFonts w:cs="Times New Roman" w:ascii="Times New Roman" w:hAnsi="Times New Roman"/>
            <w:i/>
            <w:color w:themeColor="text1" w:val="000000"/>
            <w:sz w:val="20"/>
            <w:szCs w:val="20"/>
            <w:u w:val="none"/>
          </w:rPr>
          <w:t>.</w:t>
        </w:r>
        <w:r>
          <w:rPr>
            <w:rStyle w:val="Hyperlink"/>
            <w:rFonts w:cs="Times New Roman" w:ascii="Times New Roman" w:hAnsi="Times New Roman"/>
            <w:i/>
            <w:color w:themeColor="text1" w:val="000000"/>
            <w:sz w:val="20"/>
            <w:szCs w:val="20"/>
            <w:u w:val="none"/>
            <w:lang w:val="en-US"/>
          </w:rPr>
          <w:t>ru</w:t>
        </w:r>
      </w:hyperlink>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567"/>
        <w:jc w:val="both"/>
        <w:rPr>
          <w:rFonts w:ascii="Times New Roman" w:hAnsi="Times New Roman" w:cs="Times New Roman"/>
          <w:sz w:val="24"/>
          <w:szCs w:val="24"/>
        </w:rPr>
      </w:pPr>
      <w:r>
        <w:rPr>
          <w:rFonts w:cs="Times New Roman" w:ascii="Times New Roman" w:hAnsi="Times New Roman"/>
          <w:sz w:val="24"/>
          <w:szCs w:val="24"/>
        </w:rPr>
        <w:t>В статье приведены сведения о процессе брикетирования угля, процесса брикетирования, установлен механизм структурообразования угольных брикетов с учетом физико-химических и структурно-реологических свойств угля. Важное значение имеет равномерное распределение элементарных классов крупности в брикетной шихте. Оно достигается выбором технологической схемы классификации угля и соответствующим аппаратурным оформлением. Крупность угля определяет суммарную поверхность частиц брикетируемой массы. Чем более развита эта поверхность, тем больше число контактов частиц внутри брикетов и интенсивней действие молекулярных сил сцепления. Увеличение суммарной поверхности зерен может быть достигнуто дроблением. Основными факторами, влияющими на процесс брикетирования углей, являются: влажность угля и распределение влаги в отдельных классах, крупность угля, распределение элементарных классов крупности в брикетной шихте, гранулометрический состав, давление, продолжительность и температура прессования, содержание воды.</w:t>
      </w:r>
    </w:p>
    <w:p>
      <w:pPr>
        <w:pStyle w:val="Normal"/>
        <w:spacing w:before="0" w:after="0"/>
        <w:ind w:firstLine="567"/>
        <w:jc w:val="both"/>
        <w:rPr>
          <w:rFonts w:ascii="Times New Roman" w:hAnsi="Times New Roman" w:cs="Times New Roman"/>
          <w:sz w:val="24"/>
          <w:szCs w:val="24"/>
          <w:lang w:val="kk-KZ"/>
        </w:rPr>
      </w:pPr>
      <w:r>
        <w:rPr>
          <w:rFonts w:cs="Times New Roman" w:ascii="Times New Roman" w:hAnsi="Times New Roman"/>
          <w:b/>
          <w:sz w:val="24"/>
          <w:szCs w:val="24"/>
          <w:lang w:val="kk-KZ"/>
        </w:rPr>
        <w:t>Ключевые слова:</w:t>
      </w:r>
      <w:r>
        <w:rPr>
          <w:rFonts w:cs="Times New Roman" w:ascii="Times New Roman" w:hAnsi="Times New Roman"/>
          <w:sz w:val="24"/>
          <w:szCs w:val="24"/>
          <w:lang w:val="kk-KZ"/>
        </w:rPr>
        <w:t xml:space="preserve"> уголь, зольность, брикетирование, управление качеством сырья, теплота сгорания, крупность угля.</w:t>
      </w:r>
    </w:p>
    <w:p>
      <w:pPr>
        <w:pStyle w:val="Normal"/>
        <w:spacing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b/>
          <w:sz w:val="24"/>
          <w:szCs w:val="24"/>
          <w:lang w:val="en-US"/>
        </w:rPr>
        <w:t xml:space="preserve">Introduction. </w:t>
      </w:r>
      <w:r>
        <w:rPr>
          <w:rFonts w:cs="Times New Roman" w:ascii="Times New Roman" w:hAnsi="Times New Roman"/>
          <w:sz w:val="24"/>
          <w:szCs w:val="24"/>
          <w:lang w:val="en-US"/>
        </w:rPr>
        <w:t xml:space="preserve">Coal briquetting is the process of converting fine fractions and coal dust into durable, compact briquettes that are convenient for transportation, storage and use. This method not only allows for the rational use of coal waste, but also improves its calorific properties, reducing dust formation during combustion. [1-2]. </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briquetting process includes several key stages:</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preparation of raw materials - coal is crushed to the required fraction and, if necessary, dried to achieve the optimal moisture level;</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mixing with binders - to increase the strength and integrity of the briquettes, binders such as petroleum bitumen, lignosulfonates, molasses, liquid glass or cement are added to the coal mass6 The choice of binder depends on the type of coal and the requirements for the final product;</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forming briquette - the prepared mixture is fed into a press, where briquettes of a given shape and size are formed under high pressure;</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drying and cooling - after pressing, the briquettes are dried to remove excess moisture and increase strength, and then cooled to room temperature [3-5]. </w:t>
      </w:r>
    </w:p>
    <w:p>
      <w:pPr>
        <w:pStyle w:val="Normal"/>
        <w:spacing w:before="0" w:after="0"/>
        <w:ind w:firstLine="567"/>
        <w:jc w:val="both"/>
        <w:rPr>
          <w:rFonts w:ascii="Times New Roman" w:hAnsi="Times New Roman" w:cs="Times New Roman"/>
          <w:sz w:val="24"/>
          <w:szCs w:val="24"/>
        </w:rPr>
      </w:pPr>
      <w:r>
        <w:rPr>
          <w:rFonts w:cs="Times New Roman" w:ascii="Times New Roman" w:hAnsi="Times New Roman"/>
          <w:sz w:val="24"/>
          <w:szCs w:val="24"/>
          <w:lang w:val="en-US"/>
        </w:rPr>
        <w:t xml:space="preserve">This method provides more efficient use of coal raw materials and reduces the negative impact on the environment. </w:t>
      </w:r>
      <w:r>
        <w:rPr>
          <w:rFonts w:cs="Times New Roman" w:ascii="Times New Roman" w:hAnsi="Times New Roman"/>
          <w:sz w:val="24"/>
          <w:szCs w:val="24"/>
        </w:rPr>
        <w:t xml:space="preserve">Figure 1 shows briquetted coal. </w:t>
      </w:r>
    </w:p>
    <w:p>
      <w:pPr>
        <w:pStyle w:val="Normal"/>
        <w:spacing w:before="0" w:after="0"/>
        <w:jc w:val="both"/>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drawing>
          <wp:inline distT="0" distB="0" distL="0" distR="0">
            <wp:extent cx="5451475" cy="4092575"/>
            <wp:effectExtent l="0" t="0" r="0" b="0"/>
            <wp:docPr id="9" name="Рисунок 35" descr="Есть две технологии брикетирования: с добавлением связующего компонента или без не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5" descr="Есть две технологии брикетирования: с добавлением связующего компонента или без него"/>
                    <pic:cNvPicPr>
                      <a:picLocks noChangeAspect="1" noChangeArrowheads="1"/>
                    </pic:cNvPicPr>
                  </pic:nvPicPr>
                  <pic:blipFill>
                    <a:blip r:embed="rId21"/>
                    <a:stretch>
                      <a:fillRect/>
                    </a:stretch>
                  </pic:blipFill>
                  <pic:spPr bwMode="auto">
                    <a:xfrm>
                      <a:off x="0" y="0"/>
                      <a:ext cx="5451475" cy="4092575"/>
                    </a:xfrm>
                    <a:prstGeom prst="rect">
                      <a:avLst/>
                    </a:prstGeom>
                    <a:noFill/>
                  </pic:spPr>
                </pic:pic>
              </a:graphicData>
            </a:graphic>
          </wp:inline>
        </w:drawing>
      </w:r>
    </w:p>
    <w:p>
      <w:pPr>
        <w:pStyle w:val="Normal"/>
        <w:spacing w:before="0" w:after="0"/>
        <w:ind w:firstLine="567"/>
        <w:jc w:val="center"/>
        <w:rPr>
          <w:rFonts w:ascii="Times New Roman" w:hAnsi="Times New Roman" w:cs="Times New Roman"/>
          <w:b/>
          <w:sz w:val="20"/>
          <w:szCs w:val="20"/>
          <w:lang w:val="en-US"/>
        </w:rPr>
      </w:pPr>
      <w:r>
        <w:rPr>
          <w:rFonts w:cs="Times New Roman" w:ascii="Times New Roman" w:hAnsi="Times New Roman"/>
          <w:b/>
          <w:sz w:val="20"/>
          <w:szCs w:val="20"/>
          <w:lang w:val="en-US"/>
        </w:rPr>
        <w:t>Fig. 1 - Briquetted coal</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To organize the briquetting process, specialized production lines are used, which include:</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crushers - designed to crush coal to a given fraction.</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mixers - ensure uniform distribution of binders in the coal mass.</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briquette presses - form briquettes under high pressure, giving them the required density and shape.</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drying units - remove excess moisture, increasing the strength and stability of the finished briquettes.</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combination of these elements allows for high process efficiency and a high-quality final product [6-9]. </w:t>
      </w:r>
      <w:r>
        <w:rPr>
          <w:rFonts w:cs="Times New Roman" w:ascii="Times New Roman" w:hAnsi="Times New Roman"/>
          <w:sz w:val="24"/>
          <w:szCs w:val="24"/>
        </w:rPr>
        <w:t>Coal briquetting plants are shown in Figure 2</w:t>
      </w:r>
      <w:r>
        <w:rPr>
          <w:rFonts w:cs="Times New Roman" w:ascii="Times New Roman" w:hAnsi="Times New Roman"/>
          <w:sz w:val="24"/>
          <w:szCs w:val="24"/>
          <w:lang w:val="en-US"/>
        </w:rPr>
        <w:t>.</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center"/>
        <w:rPr>
          <w:rFonts w:ascii="Times New Roman" w:hAnsi="Times New Roman" w:cs="Times New Roman"/>
          <w:sz w:val="28"/>
        </w:rPr>
      </w:pPr>
      <w:r>
        <w:rPr/>
        <w:drawing>
          <wp:inline distT="0" distB="0" distL="0" distR="0">
            <wp:extent cx="2286635" cy="1906270"/>
            <wp:effectExtent l="0" t="0" r="0" b="0"/>
            <wp:docPr id="10" name="Рисунок 36" descr="Пресс для брикетирования уг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36" descr="Пресс для брикетирования угля"/>
                    <pic:cNvPicPr>
                      <a:picLocks noChangeAspect="1" noChangeArrowheads="1"/>
                    </pic:cNvPicPr>
                  </pic:nvPicPr>
                  <pic:blipFill>
                    <a:blip r:embed="rId22"/>
                    <a:stretch>
                      <a:fillRect/>
                    </a:stretch>
                  </pic:blipFill>
                  <pic:spPr bwMode="auto">
                    <a:xfrm>
                      <a:off x="0" y="0"/>
                      <a:ext cx="2286635" cy="1906270"/>
                    </a:xfrm>
                    <a:prstGeom prst="rect">
                      <a:avLst/>
                    </a:prstGeom>
                    <a:noFill/>
                  </pic:spPr>
                </pic:pic>
              </a:graphicData>
            </a:graphic>
          </wp:inline>
        </w:drawing>
      </w:r>
      <w:r>
        <w:rPr/>
        <w:drawing>
          <wp:inline distT="0" distB="0" distL="0" distR="0">
            <wp:extent cx="2907030" cy="2178050"/>
            <wp:effectExtent l="0" t="0" r="0" b="0"/>
            <wp:docPr id="11" name="Рисунок 37" descr="https://images.satu.kz/51138504_51138504.jpg?PIMAGE_ID=51138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37" descr="https://images.satu.kz/51138504_51138504.jpg?PIMAGE_ID=51138504"/>
                    <pic:cNvPicPr>
                      <a:picLocks noChangeAspect="1" noChangeArrowheads="1"/>
                    </pic:cNvPicPr>
                  </pic:nvPicPr>
                  <pic:blipFill>
                    <a:blip r:embed="rId23"/>
                    <a:stretch>
                      <a:fillRect/>
                    </a:stretch>
                  </pic:blipFill>
                  <pic:spPr bwMode="auto">
                    <a:xfrm>
                      <a:off x="0" y="0"/>
                      <a:ext cx="2907030" cy="2178050"/>
                    </a:xfrm>
                    <a:prstGeom prst="rect">
                      <a:avLst/>
                    </a:prstGeom>
                    <a:noFill/>
                  </pic:spPr>
                </pic:pic>
              </a:graphicData>
            </a:graphic>
          </wp:inline>
        </w:drawing>
      </w:r>
    </w:p>
    <w:p>
      <w:pPr>
        <w:pStyle w:val="Normal"/>
        <w:spacing w:before="0" w:after="0"/>
        <w:ind w:firstLine="567"/>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567"/>
        <w:jc w:val="center"/>
        <w:rPr>
          <w:rFonts w:ascii="Times New Roman" w:hAnsi="Times New Roman" w:cs="Times New Roman"/>
          <w:b/>
          <w:sz w:val="20"/>
          <w:szCs w:val="20"/>
          <w:lang w:val="en-US"/>
        </w:rPr>
      </w:pPr>
      <w:r>
        <w:rPr>
          <w:rFonts w:cs="Times New Roman" w:ascii="Times New Roman" w:hAnsi="Times New Roman"/>
          <w:b/>
          <w:sz w:val="20"/>
          <w:szCs w:val="20"/>
          <w:lang w:val="en-US"/>
        </w:rPr>
        <w:t>Fig. 2 - Coal briquetting plants</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advantages of coal briquettes are:</w:t>
      </w:r>
    </w:p>
    <w:p>
      <w:pPr>
        <w:pStyle w:val="ListParagraph"/>
        <w:numPr>
          <w:ilvl w:val="0"/>
          <w:numId w:val="1"/>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high calorific value: briquetted coal has a calorific value of at least 6000 kcal/kg;</w:t>
      </w:r>
    </w:p>
    <w:p>
      <w:pPr>
        <w:pStyle w:val="ListParagraph"/>
        <w:numPr>
          <w:ilvl w:val="0"/>
          <w:numId w:val="1"/>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ease of transportation and storage: briquettes have a uniform shape and density, which facilitates their transportation and storage.</w:t>
      </w:r>
    </w:p>
    <w:p>
      <w:pPr>
        <w:pStyle w:val="ListParagraph"/>
        <w:numPr>
          <w:ilvl w:val="0"/>
          <w:numId w:val="1"/>
        </w:numPr>
        <w:spacing w:before="0" w:after="0"/>
        <w:ind w:hanging="360" w:left="993"/>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environmental friendliness: when burning, high-quality briquettes emit less smoke and</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harmful gases, burn out completely, leaving a minimum amount of ash.</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In the work [10] within the framework of the work performed on the use of coal enrichment waste, their experimental combustion was carried out, technologies for granulation and further use were developed. For the preparation of granules, the following are used: coal enrichment waste, marble chips for binding sulfur oxides, and for the formation of granules in order to prevent "smearing" of dust preparation equipment, bitumen emulsion is added.</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In the work [11] modern technologies for obtaining coal-water fuel from coal enrichment waste are considered and are being developed mainly in three directions: using wet grinding vibratory mills, using cavitation devices, hydraulic shock technologies based on disintegrators and rotary pulse devices.</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work [12] presents studies that the company OJSC Irkutskenergo is currently developing in the areas of using waste from enriching Cheremkhovo coals. One of the promising areas is the preparation and combustion of water-coal fuel.</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In the work [13] a computer modeling of coal combustion technology in an oxygen-enriched environment is presented. Determination of the degree of burnout, volatile substances and NO formation. A computer model CFD (Computational Fluid Dynamic) of oxy-coal combustion technology has been developed to study the process of coal combustion in an oxygen-enriched environment.</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work [14] shows the development of the structure of a vacuum-technological line for the production of environmentally friendly, energy-efficient fuel obtained from raw materials of organic origin, in particular, peat and coal.</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A review of the work shows that insufficient attention has been paid to issues of involving substandard coal fines in production, including through enrichment and briquetting, which demonstrates the relevance of this area.</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b/>
          <w:sz w:val="24"/>
          <w:szCs w:val="24"/>
          <w:lang w:val="en-US"/>
        </w:rPr>
        <w:t>Materials and Methods.</w:t>
      </w:r>
      <w:r>
        <w:rPr>
          <w:rFonts w:cs="Times New Roman" w:ascii="Times New Roman" w:hAnsi="Times New Roman"/>
          <w:sz w:val="24"/>
          <w:szCs w:val="24"/>
          <w:lang w:val="en-US"/>
        </w:rPr>
        <w:t xml:space="preserve"> The coals of the Ekibastuz basin were selected for the study. Six coal seams of working capacity have been identified in the Ekibastuz basin, of which seams 6 and 5 are confined to the Ashlyarik suite, and the rest are confined to the Ekibastuz. The seams of the Ekibastuz suite are industrial and under development. The coals of the basin are hard, humus, highly mineralized, and are characterized by a complex substance-mineralogical composition. The ash content of the coals is very high and reaches 40-49%. </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Ekibastuz coal basin is developed by an open-pit method, which in turn has a negative impact on the environmental situation in the region. Polluting factors here are stripping operations and waste dumps after them. One of the most severe polluting factors is the wind blowing of coal dust and fines from open-pit coal mines and waste dumps. The essence of the idea is to obtain briquettes from fine coal and dust of high-ash coals of the Ekibastuz deposit with the possibility of subsequent coking by increasing the carbon content, i.e. the calorific value. One of the problems of briquetting at the moment is the impossibility of obtaining briquettes without adding non-combustible binders, which, in turn, will again increase the already high ash content of the briquettes. As a solution, the possibility of obtaining processed organic waste products of cattle or some by-products of oil distillation as a binder, which are combustible substances and will not reduce the percentage of the calorific value of the briquette, is being considered.</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Coals can be considered as a specific hydrated amorphous polymer of irregular structure. Its properties are largely determined by colloidal swelling processes. Briquetting of such substances should be presented as a complex multi-stage process of forming a strong autohesive complex due to high pressing pressures. There are several hypotheses about the mechanism of coal briquettes formation.</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Colloid hypothesis. According to this hypothesis, the briquetting of coals is estimated from the position of molecular forces. The basis is the mechanism of interaction between coal particles in the presence of water and without it. According to this hypothesis, the formation of briquettes is explained by the action of cohesive forces.</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Bitumen hypothesis. According to the bitumen hypothesis, coal briquetting is presented as a process similar to briquetting of minerals with a binder. It is believed that the role of binders is played by bitumens contained in coals. Coal bitumens are products of the decomposition of resins, waxes and fatty acids. They consist of a mixture of hydrocarbons, alcohols, acids and ethers. The bitumen content in young coals is 10–20%. Bitumens melt at a temperature close to 90 °C. In the molten state, bitumens have good adhesive properties. When cooled, they solidify and acquire a fairly high strength.</w:t>
      </w:r>
    </w:p>
    <w:p>
      <w:pPr>
        <w:pStyle w:val="111"/>
        <w:shd w:val="clear" w:color="auto" w:fill="auto"/>
        <w:suppressAutoHyphens w:val="true"/>
        <w:spacing w:lineRule="auto" w:line="240" w:before="0" w:after="0"/>
        <w:ind w:firstLine="567"/>
        <w:rPr>
          <w:spacing w:val="0"/>
          <w:sz w:val="24"/>
          <w:szCs w:val="24"/>
          <w:lang w:val="en-US"/>
        </w:rPr>
      </w:pPr>
      <w:r>
        <w:rPr>
          <w:spacing w:val="0"/>
          <w:sz w:val="24"/>
          <w:szCs w:val="24"/>
          <w:lang w:val="en-US"/>
        </w:rPr>
        <w:t>The total surface area (cm</w:t>
      </w:r>
      <w:r>
        <w:rPr>
          <w:spacing w:val="0"/>
          <w:sz w:val="24"/>
          <w:szCs w:val="24"/>
          <w:vertAlign w:val="superscript"/>
          <w:lang w:val="en-US"/>
        </w:rPr>
        <w:t>2</w:t>
      </w:r>
      <w:r>
        <w:rPr>
          <w:spacing w:val="0"/>
          <w:sz w:val="24"/>
          <w:szCs w:val="24"/>
          <w:lang w:val="en-US"/>
        </w:rPr>
        <w:t>) of crushed grains in one briquette can be calculated as follows:</w:t>
      </w:r>
    </w:p>
    <w:p>
      <w:pPr>
        <w:pStyle w:val="111"/>
        <w:shd w:val="clear" w:color="auto" w:fill="auto"/>
        <w:tabs>
          <w:tab w:val="clear" w:pos="708"/>
          <w:tab w:val="left" w:pos="8402" w:leader="none"/>
        </w:tabs>
        <w:suppressAutoHyphens w:val="true"/>
        <w:spacing w:lineRule="auto" w:line="240" w:before="0" w:after="0"/>
        <w:ind w:firstLine="709"/>
        <w:jc w:val="right"/>
        <w:rPr>
          <w:spacing w:val="0"/>
          <w:sz w:val="24"/>
          <w:szCs w:val="24"/>
          <w:lang w:val="en-US"/>
        </w:rPr>
      </w:pPr>
      <w:r>
        <w:rPr>
          <w:spacing w:val="0"/>
          <w:sz w:val="24"/>
          <w:szCs w:val="24"/>
          <w:lang w:val="en-US"/>
        </w:rPr>
      </w:r>
    </w:p>
    <w:tbl>
      <w:tblPr>
        <w:tblW w:w="93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48"/>
        <w:gridCol w:w="8040"/>
        <w:gridCol w:w="667"/>
      </w:tblGrid>
      <w:tr>
        <w:trPr/>
        <w:tc>
          <w:tcPr>
            <w:tcW w:w="648" w:type="dxa"/>
            <w:tcBorders/>
          </w:tcPr>
          <w:p>
            <w:pPr>
              <w:pStyle w:val="111"/>
              <w:shd w:val="clear" w:color="auto" w:fill="auto"/>
              <w:suppressAutoHyphens w:val="true"/>
              <w:spacing w:lineRule="auto" w:line="240" w:before="0" w:after="0"/>
              <w:rPr>
                <w:spacing w:val="0"/>
                <w:sz w:val="24"/>
                <w:szCs w:val="24"/>
                <w:lang w:val="en-US"/>
              </w:rPr>
            </w:pPr>
            <w:r>
              <w:rPr>
                <w:spacing w:val="0"/>
                <w:sz w:val="24"/>
                <w:szCs w:val="24"/>
                <w:lang w:val="en-US"/>
              </w:rPr>
            </w:r>
          </w:p>
        </w:tc>
        <w:tc>
          <w:tcPr>
            <w:tcW w:w="8040" w:type="dxa"/>
            <w:tcBorders/>
          </w:tcPr>
          <w:p>
            <w:pPr>
              <w:pStyle w:val="111"/>
              <w:shd w:val="clear" w:color="auto" w:fill="auto"/>
              <w:suppressAutoHyphens w:val="true"/>
              <w:spacing w:lineRule="auto" w:line="240" w:before="0" w:after="0"/>
              <w:jc w:val="center"/>
              <w:rPr>
                <w:spacing w:val="0"/>
                <w:sz w:val="24"/>
                <w:szCs w:val="24"/>
              </w:rPr>
            </w:pPr>
            <w:r>
              <w:rPr>
                <w:spacing w:val="0"/>
                <w:sz w:val="24"/>
                <w:szCs w:val="24"/>
                <w:lang w:val="en-US"/>
              </w:rPr>
              <w:t>S</w:t>
            </w:r>
            <w:r>
              <w:rPr>
                <w:spacing w:val="0"/>
                <w:sz w:val="24"/>
                <w:szCs w:val="24"/>
                <w:vertAlign w:val="subscript"/>
                <w:lang w:val="en-US"/>
              </w:rPr>
              <w:t>v</w:t>
            </w:r>
            <w:r>
              <w:rPr>
                <w:spacing w:val="0"/>
                <w:sz w:val="24"/>
                <w:szCs w:val="24"/>
              </w:rPr>
              <w:t xml:space="preserve"> = </w:t>
            </w:r>
            <w:r>
              <w:rPr>
                <w:spacing w:val="0"/>
                <w:sz w:val="24"/>
                <w:szCs w:val="24"/>
                <w:lang w:val="en-US"/>
              </w:rPr>
              <w:t>S</w:t>
            </w:r>
            <w:r>
              <w:rPr>
                <w:spacing w:val="0"/>
                <w:sz w:val="24"/>
                <w:szCs w:val="24"/>
              </w:rPr>
              <w:t>а,</w:t>
            </w:r>
          </w:p>
        </w:tc>
        <w:tc>
          <w:tcPr>
            <w:tcW w:w="667" w:type="dxa"/>
            <w:tcBorders/>
          </w:tcPr>
          <w:p>
            <w:pPr>
              <w:pStyle w:val="111"/>
              <w:shd w:val="clear" w:color="auto" w:fill="auto"/>
              <w:suppressAutoHyphens w:val="true"/>
              <w:spacing w:lineRule="auto" w:line="240" w:before="0" w:after="0"/>
              <w:jc w:val="right"/>
              <w:rPr>
                <w:spacing w:val="0"/>
                <w:sz w:val="24"/>
                <w:szCs w:val="24"/>
              </w:rPr>
            </w:pPr>
            <w:r>
              <w:rPr>
                <w:spacing w:val="0"/>
                <w:sz w:val="24"/>
                <w:szCs w:val="24"/>
              </w:rPr>
              <w:t>(1)</w:t>
            </w:r>
          </w:p>
        </w:tc>
      </w:tr>
    </w:tbl>
    <w:p>
      <w:pPr>
        <w:pStyle w:val="111"/>
        <w:shd w:val="clear" w:color="auto" w:fill="auto"/>
        <w:suppressAutoHyphens w:val="true"/>
        <w:spacing w:lineRule="auto" w:line="240" w:before="0" w:after="0"/>
        <w:ind w:firstLine="709"/>
        <w:rPr>
          <w:spacing w:val="0"/>
          <w:sz w:val="24"/>
          <w:szCs w:val="24"/>
        </w:rPr>
      </w:pPr>
      <w:r>
        <w:rPr>
          <w:spacing w:val="0"/>
          <w:sz w:val="24"/>
          <w:szCs w:val="24"/>
        </w:rPr>
      </w:r>
    </w:p>
    <w:p>
      <w:pPr>
        <w:pStyle w:val="111"/>
        <w:shd w:val="clear" w:color="auto" w:fill="auto"/>
        <w:suppressAutoHyphens w:val="true"/>
        <w:spacing w:lineRule="auto" w:line="240" w:before="0" w:after="0"/>
        <w:ind w:firstLine="709"/>
        <w:rPr>
          <w:spacing w:val="0"/>
          <w:sz w:val="24"/>
          <w:szCs w:val="24"/>
          <w:lang w:val="en-US"/>
        </w:rPr>
      </w:pPr>
      <w:r>
        <w:rPr>
          <w:spacing w:val="0"/>
          <w:sz w:val="24"/>
          <w:szCs w:val="24"/>
          <w:lang w:val="en-US"/>
        </w:rPr>
        <w:t xml:space="preserve">where S </w:t>
      </w:r>
      <w:r>
        <w:rPr>
          <w:sz w:val="24"/>
          <w:szCs w:val="24"/>
          <w:lang w:val="en-US"/>
        </w:rPr>
        <w:t>–</w:t>
      </w:r>
      <w:r>
        <w:rPr>
          <w:spacing w:val="0"/>
          <w:sz w:val="24"/>
          <w:szCs w:val="24"/>
          <w:lang w:val="en-US"/>
        </w:rPr>
        <w:t xml:space="preserve"> surface of particles obtained from crushing one grain, cm</w:t>
      </w:r>
      <w:r>
        <w:rPr>
          <w:spacing w:val="0"/>
          <w:sz w:val="24"/>
          <w:szCs w:val="24"/>
          <w:vertAlign w:val="superscript"/>
          <w:lang w:val="en-US"/>
        </w:rPr>
        <w:t>2</w:t>
      </w:r>
      <w:r>
        <w:rPr>
          <w:spacing w:val="0"/>
          <w:sz w:val="24"/>
          <w:szCs w:val="24"/>
          <w:lang w:val="en-US"/>
        </w:rPr>
        <w:t xml:space="preserve">; </w:t>
      </w:r>
      <w:r>
        <w:rPr>
          <w:rStyle w:val="0pt"/>
          <w:spacing w:val="0"/>
          <w:sz w:val="24"/>
          <w:szCs w:val="24"/>
        </w:rPr>
        <w:t>а</w:t>
      </w:r>
      <w:r>
        <w:rPr>
          <w:sz w:val="24"/>
          <w:szCs w:val="24"/>
          <w:lang w:val="en-US"/>
        </w:rPr>
        <w:t>–</w:t>
      </w:r>
      <w:r>
        <w:rPr>
          <w:spacing w:val="0"/>
          <w:sz w:val="24"/>
          <w:szCs w:val="24"/>
          <w:lang w:val="en-US"/>
        </w:rPr>
        <w:t xml:space="preserve"> number of grains in a briquette. </w:t>
      </w:r>
    </w:p>
    <w:p>
      <w:pPr>
        <w:pStyle w:val="111"/>
        <w:shd w:val="clear" w:color="auto" w:fill="auto"/>
        <w:suppressAutoHyphens w:val="true"/>
        <w:spacing w:lineRule="auto" w:line="240" w:before="0" w:after="0"/>
        <w:ind w:firstLine="709"/>
        <w:rPr>
          <w:spacing w:val="0"/>
          <w:sz w:val="24"/>
          <w:szCs w:val="24"/>
          <w:lang w:val="en-US"/>
        </w:rPr>
      </w:pPr>
      <w:r>
        <w:rPr>
          <w:spacing w:val="0"/>
          <w:sz w:val="24"/>
          <w:szCs w:val="24"/>
          <w:lang w:val="en-US"/>
        </w:rPr>
      </w:r>
    </w:p>
    <w:tbl>
      <w:tblPr>
        <w:tblW w:w="93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47"/>
        <w:gridCol w:w="8042"/>
        <w:gridCol w:w="666"/>
      </w:tblGrid>
      <w:tr>
        <w:trPr/>
        <w:tc>
          <w:tcPr>
            <w:tcW w:w="647" w:type="dxa"/>
            <w:tcBorders/>
          </w:tcPr>
          <w:p>
            <w:pPr>
              <w:pStyle w:val="111"/>
              <w:shd w:val="clear" w:color="auto" w:fill="auto"/>
              <w:suppressAutoHyphens w:val="true"/>
              <w:spacing w:lineRule="auto" w:line="240" w:before="0" w:after="0"/>
              <w:rPr>
                <w:spacing w:val="0"/>
                <w:sz w:val="24"/>
                <w:szCs w:val="24"/>
                <w:lang w:val="en-US"/>
              </w:rPr>
            </w:pPr>
            <w:r>
              <w:rPr>
                <w:spacing w:val="0"/>
                <w:sz w:val="24"/>
                <w:szCs w:val="24"/>
                <w:lang w:val="en-US"/>
              </w:rPr>
            </w:r>
          </w:p>
        </w:tc>
        <w:tc>
          <w:tcPr>
            <w:tcW w:w="8042" w:type="dxa"/>
            <w:tcBorders/>
          </w:tcPr>
          <w:p>
            <w:pPr>
              <w:pStyle w:val="111"/>
              <w:shd w:val="clear" w:color="auto" w:fill="auto"/>
              <w:suppressAutoHyphens w:val="true"/>
              <w:spacing w:lineRule="auto" w:line="240" w:before="0" w:after="0"/>
              <w:jc w:val="center"/>
              <w:rPr>
                <w:spacing w:val="0"/>
                <w:sz w:val="24"/>
                <w:szCs w:val="24"/>
              </w:rPr>
            </w:pPr>
            <w:r>
              <w:rPr>
                <w:rStyle w:val="7TimesNewRoman115pt0pt"/>
                <w:rFonts w:eastAsia="Lucida Sans Unicode"/>
                <w:sz w:val="24"/>
                <w:szCs w:val="24"/>
              </w:rPr>
              <w:t>S</w:t>
            </w:r>
            <w:r>
              <w:rPr>
                <w:spacing w:val="0"/>
                <w:sz w:val="24"/>
                <w:szCs w:val="24"/>
              </w:rPr>
              <w:t xml:space="preserve"> =π</w:t>
            </w:r>
            <w:r>
              <w:rPr>
                <w:spacing w:val="0"/>
                <w:sz w:val="24"/>
                <w:szCs w:val="24"/>
                <w:lang w:val="en-US"/>
              </w:rPr>
              <w:t>D</w:t>
            </w:r>
            <w:r>
              <w:rPr>
                <w:spacing w:val="0"/>
                <w:sz w:val="24"/>
                <w:szCs w:val="24"/>
                <w:vertAlign w:val="superscript"/>
              </w:rPr>
              <w:t>3</w:t>
            </w:r>
            <w:r>
              <w:rPr>
                <w:spacing w:val="0"/>
                <w:sz w:val="24"/>
                <w:szCs w:val="24"/>
              </w:rPr>
              <w:t>/</w:t>
            </w:r>
            <w:r>
              <w:rPr>
                <w:spacing w:val="0"/>
                <w:sz w:val="24"/>
                <w:szCs w:val="24"/>
                <w:lang w:val="en-US"/>
              </w:rPr>
              <w:t>d</w:t>
            </w:r>
            <w:r>
              <w:rPr>
                <w:spacing w:val="0"/>
                <w:sz w:val="24"/>
                <w:szCs w:val="24"/>
              </w:rPr>
              <w:t>,</w:t>
            </w:r>
          </w:p>
        </w:tc>
        <w:tc>
          <w:tcPr>
            <w:tcW w:w="666" w:type="dxa"/>
            <w:tcBorders/>
          </w:tcPr>
          <w:p>
            <w:pPr>
              <w:pStyle w:val="111"/>
              <w:shd w:val="clear" w:color="auto" w:fill="auto"/>
              <w:suppressAutoHyphens w:val="true"/>
              <w:spacing w:lineRule="auto" w:line="240" w:before="0" w:after="0"/>
              <w:jc w:val="right"/>
              <w:rPr>
                <w:spacing w:val="0"/>
                <w:sz w:val="24"/>
                <w:szCs w:val="24"/>
              </w:rPr>
            </w:pPr>
            <w:r>
              <w:rPr>
                <w:spacing w:val="0"/>
                <w:sz w:val="24"/>
                <w:szCs w:val="24"/>
              </w:rPr>
              <w:t>(2)</w:t>
            </w:r>
          </w:p>
        </w:tc>
      </w:tr>
    </w:tbl>
    <w:p>
      <w:pPr>
        <w:pStyle w:val="111"/>
        <w:shd w:val="clear" w:color="auto" w:fill="auto"/>
        <w:suppressAutoHyphens w:val="true"/>
        <w:spacing w:lineRule="auto" w:line="240" w:before="0" w:after="0"/>
        <w:jc w:val="center"/>
        <w:rPr>
          <w:spacing w:val="0"/>
          <w:sz w:val="24"/>
          <w:szCs w:val="24"/>
        </w:rPr>
      </w:pPr>
      <w:r>
        <w:rPr>
          <w:spacing w:val="0"/>
          <w:sz w:val="24"/>
          <w:szCs w:val="24"/>
        </w:rPr>
      </w:r>
    </w:p>
    <w:p>
      <w:pPr>
        <w:pStyle w:val="111"/>
        <w:shd w:val="clear" w:color="auto" w:fill="auto"/>
        <w:suppressAutoHyphens w:val="true"/>
        <w:spacing w:lineRule="auto" w:line="240" w:before="0" w:after="0"/>
        <w:ind w:firstLine="709"/>
        <w:rPr>
          <w:rStyle w:val="0pt"/>
          <w:i w:val="false"/>
          <w:i w:val="false"/>
          <w:spacing w:val="0"/>
          <w:sz w:val="24"/>
          <w:szCs w:val="24"/>
          <w:lang w:val="en-US"/>
        </w:rPr>
      </w:pPr>
      <w:r>
        <w:rPr>
          <w:spacing w:val="0"/>
          <w:sz w:val="24"/>
          <w:szCs w:val="24"/>
          <w:lang w:val="en-US"/>
        </w:rPr>
        <w:t xml:space="preserve">where </w:t>
      </w:r>
      <w:r>
        <w:rPr>
          <w:rStyle w:val="11"/>
          <w:sz w:val="24"/>
          <w:szCs w:val="24"/>
          <w:lang w:val="en-US"/>
        </w:rPr>
        <w:t xml:space="preserve">D </w:t>
      </w:r>
      <w:r>
        <w:rPr>
          <w:sz w:val="24"/>
          <w:szCs w:val="24"/>
          <w:lang w:val="en-US"/>
        </w:rPr>
        <w:t>–</w:t>
      </w:r>
      <w:r>
        <w:rPr>
          <w:spacing w:val="0"/>
          <w:sz w:val="24"/>
          <w:szCs w:val="24"/>
          <w:lang w:val="en-US"/>
        </w:rPr>
        <w:t xml:space="preserve"> average grain size before crushing, cm; </w:t>
      </w:r>
    </w:p>
    <w:p>
      <w:pPr>
        <w:pStyle w:val="111"/>
        <w:shd w:val="clear" w:color="auto" w:fill="auto"/>
        <w:suppressAutoHyphens w:val="true"/>
        <w:spacing w:lineRule="auto" w:line="240" w:before="0" w:after="0"/>
        <w:ind w:firstLine="709"/>
        <w:rPr>
          <w:spacing w:val="0"/>
          <w:sz w:val="24"/>
          <w:szCs w:val="24"/>
          <w:lang w:val="en-US"/>
        </w:rPr>
      </w:pPr>
      <w:r>
        <w:rPr>
          <w:rStyle w:val="0pt"/>
          <w:spacing w:val="0"/>
          <w:sz w:val="24"/>
          <w:szCs w:val="24"/>
          <w:lang w:val="en-US"/>
        </w:rPr>
        <w:t xml:space="preserve">d </w:t>
      </w:r>
      <w:r>
        <w:rPr>
          <w:sz w:val="24"/>
          <w:szCs w:val="24"/>
          <w:lang w:val="en-US"/>
        </w:rPr>
        <w:t xml:space="preserve">– </w:t>
      </w:r>
      <w:r>
        <w:rPr>
          <w:spacing w:val="0"/>
          <w:sz w:val="24"/>
          <w:szCs w:val="24"/>
          <w:lang w:val="en-US"/>
        </w:rPr>
        <w:t>average grain size after crushing, cm.</w:t>
      </w:r>
    </w:p>
    <w:p>
      <w:pPr>
        <w:pStyle w:val="111"/>
        <w:shd w:val="clear" w:color="auto" w:fill="auto"/>
        <w:suppressAutoHyphens w:val="true"/>
        <w:spacing w:lineRule="auto" w:line="240" w:before="0" w:after="0"/>
        <w:ind w:firstLine="709"/>
        <w:rPr>
          <w:spacing w:val="0"/>
          <w:sz w:val="24"/>
          <w:szCs w:val="24"/>
          <w:lang w:val="en-US"/>
        </w:rPr>
      </w:pPr>
      <w:r>
        <w:rPr>
          <w:spacing w:val="0"/>
          <w:sz w:val="24"/>
          <w:szCs w:val="24"/>
          <w:lang w:val="en-US"/>
        </w:rPr>
      </w:r>
    </w:p>
    <w:tbl>
      <w:tblPr>
        <w:tblW w:w="93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48"/>
        <w:gridCol w:w="8041"/>
        <w:gridCol w:w="666"/>
      </w:tblGrid>
      <w:tr>
        <w:trPr/>
        <w:tc>
          <w:tcPr>
            <w:tcW w:w="648" w:type="dxa"/>
            <w:tcBorders/>
          </w:tcPr>
          <w:p>
            <w:pPr>
              <w:pStyle w:val="111"/>
              <w:shd w:val="clear" w:color="auto" w:fill="auto"/>
              <w:suppressAutoHyphens w:val="true"/>
              <w:spacing w:lineRule="auto" w:line="240" w:before="0" w:after="0"/>
              <w:rPr>
                <w:spacing w:val="0"/>
                <w:sz w:val="24"/>
                <w:szCs w:val="24"/>
                <w:lang w:val="en-US"/>
              </w:rPr>
            </w:pPr>
            <w:r>
              <w:rPr>
                <w:spacing w:val="0"/>
                <w:sz w:val="24"/>
                <w:szCs w:val="24"/>
                <w:lang w:val="en-US"/>
              </w:rPr>
            </w:r>
          </w:p>
        </w:tc>
        <w:tc>
          <w:tcPr>
            <w:tcW w:w="8041" w:type="dxa"/>
            <w:tcBorders/>
          </w:tcPr>
          <w:p>
            <w:pPr>
              <w:pStyle w:val="82"/>
              <w:shd w:val="clear" w:color="auto" w:fill="auto"/>
              <w:suppressAutoHyphens w:val="true"/>
              <w:spacing w:lineRule="auto" w:line="240"/>
              <w:jc w:val="center"/>
              <w:rPr>
                <w:sz w:val="24"/>
                <w:szCs w:val="24"/>
              </w:rPr>
            </w:pPr>
            <w:r>
              <w:rPr>
                <w:sz w:val="24"/>
                <w:szCs w:val="24"/>
              </w:rPr>
              <w:t>а</w:t>
            </w:r>
            <w:r>
              <w:rPr>
                <w:rStyle w:val="80pt"/>
                <w:rFonts w:eastAsia="Calibri" w:eastAsiaTheme="minorHAnsi"/>
                <w:sz w:val="24"/>
                <w:szCs w:val="24"/>
              </w:rPr>
              <w:t>= 6</w:t>
            </w:r>
            <w:r>
              <w:rPr>
                <w:iCs/>
                <w:sz w:val="24"/>
                <w:szCs w:val="24"/>
              </w:rPr>
              <w:t>М/(</w:t>
            </w:r>
            <w:r>
              <w:rPr>
                <w:sz w:val="24"/>
                <w:szCs w:val="24"/>
              </w:rPr>
              <w:t xml:space="preserve"> π</w:t>
            </w:r>
            <w:r>
              <w:rPr>
                <w:sz w:val="24"/>
                <w:szCs w:val="24"/>
                <w:lang w:val="en-US"/>
              </w:rPr>
              <w:t>D</w:t>
            </w:r>
            <w:r>
              <w:rPr>
                <w:sz w:val="24"/>
                <w:szCs w:val="24"/>
                <w:vertAlign w:val="superscript"/>
              </w:rPr>
              <w:t>3</w:t>
            </w:r>
            <w:r>
              <w:rPr>
                <w:iCs/>
                <w:sz w:val="24"/>
                <w:szCs w:val="24"/>
              </w:rPr>
              <w:t>γ),</w:t>
            </w:r>
          </w:p>
        </w:tc>
        <w:tc>
          <w:tcPr>
            <w:tcW w:w="666" w:type="dxa"/>
            <w:tcBorders/>
          </w:tcPr>
          <w:p>
            <w:pPr>
              <w:pStyle w:val="111"/>
              <w:shd w:val="clear" w:color="auto" w:fill="auto"/>
              <w:suppressAutoHyphens w:val="true"/>
              <w:spacing w:lineRule="auto" w:line="240" w:before="0" w:after="0"/>
              <w:jc w:val="right"/>
              <w:rPr>
                <w:spacing w:val="0"/>
                <w:sz w:val="24"/>
                <w:szCs w:val="24"/>
              </w:rPr>
            </w:pPr>
            <w:r>
              <w:rPr>
                <w:spacing w:val="0"/>
                <w:sz w:val="24"/>
                <w:szCs w:val="24"/>
              </w:rPr>
              <w:t>(3)</w:t>
            </w:r>
          </w:p>
        </w:tc>
      </w:tr>
    </w:tbl>
    <w:p>
      <w:pPr>
        <w:pStyle w:val="111"/>
        <w:shd w:val="clear" w:color="auto" w:fill="auto"/>
        <w:suppressAutoHyphens w:val="true"/>
        <w:spacing w:lineRule="auto" w:line="240" w:before="0" w:after="0"/>
        <w:ind w:firstLine="709"/>
        <w:rPr>
          <w:spacing w:val="0"/>
          <w:sz w:val="24"/>
          <w:szCs w:val="24"/>
        </w:rPr>
      </w:pPr>
      <w:r>
        <w:rPr>
          <w:spacing w:val="0"/>
          <w:sz w:val="24"/>
          <w:szCs w:val="24"/>
        </w:rPr>
      </w:r>
    </w:p>
    <w:p>
      <w:pPr>
        <w:pStyle w:val="111"/>
        <w:shd w:val="clear" w:color="auto" w:fill="auto"/>
        <w:suppressAutoHyphens w:val="true"/>
        <w:spacing w:lineRule="auto" w:line="240" w:before="0" w:after="0"/>
        <w:ind w:firstLine="709"/>
        <w:rPr>
          <w:spacing w:val="0"/>
          <w:sz w:val="24"/>
          <w:szCs w:val="24"/>
          <w:lang w:val="en-US"/>
        </w:rPr>
      </w:pPr>
      <w:r>
        <w:rPr>
          <w:spacing w:val="0"/>
          <w:sz w:val="24"/>
          <w:szCs w:val="24"/>
          <w:lang w:val="en-US"/>
        </w:rPr>
        <w:t xml:space="preserve">where </w:t>
      </w:r>
      <w:r>
        <w:rPr>
          <w:rStyle w:val="0pt"/>
          <w:spacing w:val="0"/>
          <w:sz w:val="24"/>
          <w:szCs w:val="24"/>
        </w:rPr>
        <w:t>М</w:t>
      </w:r>
      <w:r>
        <w:rPr>
          <w:rStyle w:val="0pt"/>
          <w:spacing w:val="0"/>
          <w:sz w:val="24"/>
          <w:szCs w:val="24"/>
          <w:lang w:val="en-US"/>
        </w:rPr>
        <w:t xml:space="preserve"> </w:t>
      </w:r>
      <w:r>
        <w:rPr>
          <w:sz w:val="24"/>
          <w:szCs w:val="24"/>
          <w:lang w:val="en-US"/>
        </w:rPr>
        <w:t>–</w:t>
      </w:r>
      <w:r>
        <w:rPr>
          <w:lang w:val="en-US"/>
        </w:rPr>
        <w:t xml:space="preserve"> </w:t>
      </w:r>
      <w:r>
        <w:rPr>
          <w:spacing w:val="0"/>
          <w:sz w:val="24"/>
          <w:szCs w:val="24"/>
          <w:lang w:val="en-US"/>
        </w:rPr>
        <w:t xml:space="preserve">briquette weight, g; </w:t>
      </w:r>
    </w:p>
    <w:p>
      <w:pPr>
        <w:pStyle w:val="111"/>
        <w:shd w:val="clear" w:color="auto" w:fill="auto"/>
        <w:suppressAutoHyphens w:val="true"/>
        <w:spacing w:lineRule="auto" w:line="240" w:before="0" w:after="0"/>
        <w:ind w:firstLine="709"/>
        <w:rPr>
          <w:spacing w:val="0"/>
          <w:sz w:val="24"/>
          <w:szCs w:val="24"/>
          <w:lang w:val="en-US"/>
        </w:rPr>
      </w:pPr>
      <w:r>
        <w:rPr>
          <w:rStyle w:val="0pt"/>
          <w:spacing w:val="0"/>
          <w:sz w:val="24"/>
          <w:szCs w:val="24"/>
        </w:rPr>
        <w:t>γ</w:t>
      </w:r>
      <w:r>
        <w:rPr>
          <w:rStyle w:val="0pt"/>
          <w:spacing w:val="0"/>
          <w:sz w:val="24"/>
          <w:szCs w:val="24"/>
          <w:lang w:val="en-US"/>
        </w:rPr>
        <w:t xml:space="preserve"> </w:t>
      </w:r>
      <w:r>
        <w:rPr>
          <w:sz w:val="24"/>
          <w:szCs w:val="24"/>
          <w:lang w:val="en-US"/>
        </w:rPr>
        <w:t xml:space="preserve">– </w:t>
      </w:r>
      <w:r>
        <w:rPr>
          <w:spacing w:val="0"/>
          <w:sz w:val="24"/>
          <w:szCs w:val="24"/>
          <w:lang w:val="en-US"/>
        </w:rPr>
        <w:t>bulk density of briquette, g/cm</w:t>
      </w:r>
      <w:r>
        <w:rPr>
          <w:spacing w:val="0"/>
          <w:sz w:val="24"/>
          <w:szCs w:val="24"/>
          <w:vertAlign w:val="superscript"/>
          <w:lang w:val="en-US"/>
        </w:rPr>
        <w:t>3</w:t>
      </w:r>
      <w:r>
        <w:rPr>
          <w:spacing w:val="0"/>
          <w:sz w:val="24"/>
          <w:szCs w:val="24"/>
          <w:lang w:val="en-US"/>
        </w:rPr>
        <w:t xml:space="preserve">. </w:t>
      </w:r>
    </w:p>
    <w:p>
      <w:pPr>
        <w:pStyle w:val="111"/>
        <w:shd w:val="clear" w:color="auto" w:fill="auto"/>
        <w:suppressAutoHyphens w:val="true"/>
        <w:spacing w:lineRule="auto" w:line="240" w:before="0" w:after="0"/>
        <w:ind w:firstLine="709"/>
        <w:rPr>
          <w:spacing w:val="0"/>
          <w:sz w:val="24"/>
          <w:szCs w:val="24"/>
          <w:lang w:val="en-US"/>
        </w:rPr>
      </w:pPr>
      <w:r>
        <w:rPr>
          <w:spacing w:val="0"/>
          <w:sz w:val="24"/>
          <w:szCs w:val="24"/>
          <w:lang w:val="en-US"/>
        </w:rPr>
        <w:t xml:space="preserve">Substituting the corresponding values ​​of S and </w:t>
      </w:r>
      <w:r>
        <w:rPr>
          <w:rStyle w:val="0pt"/>
          <w:spacing w:val="0"/>
          <w:sz w:val="24"/>
          <w:szCs w:val="24"/>
        </w:rPr>
        <w:t>а</w:t>
      </w:r>
      <w:r>
        <w:rPr>
          <w:spacing w:val="0"/>
          <w:sz w:val="24"/>
          <w:szCs w:val="24"/>
          <w:lang w:val="en-US"/>
        </w:rPr>
        <w:t xml:space="preserve"> into formula (1), we obtain</w:t>
      </w:r>
    </w:p>
    <w:p>
      <w:pPr>
        <w:pStyle w:val="111"/>
        <w:shd w:val="clear" w:color="auto" w:fill="auto"/>
        <w:suppressAutoHyphens w:val="true"/>
        <w:spacing w:lineRule="auto" w:line="240" w:before="0" w:after="0"/>
        <w:ind w:firstLine="709"/>
        <w:rPr>
          <w:spacing w:val="0"/>
          <w:sz w:val="24"/>
          <w:szCs w:val="24"/>
          <w:lang w:val="en-US"/>
        </w:rPr>
      </w:pPr>
      <w:r>
        <w:rPr>
          <w:spacing w:val="0"/>
          <w:sz w:val="24"/>
          <w:szCs w:val="24"/>
          <w:lang w:val="en-US"/>
        </w:rPr>
      </w:r>
    </w:p>
    <w:tbl>
      <w:tblPr>
        <w:tblW w:w="93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47"/>
        <w:gridCol w:w="8042"/>
        <w:gridCol w:w="666"/>
      </w:tblGrid>
      <w:tr>
        <w:trPr/>
        <w:tc>
          <w:tcPr>
            <w:tcW w:w="647" w:type="dxa"/>
            <w:tcBorders/>
          </w:tcPr>
          <w:p>
            <w:pPr>
              <w:pStyle w:val="111"/>
              <w:shd w:val="clear" w:color="auto" w:fill="auto"/>
              <w:suppressAutoHyphens w:val="true"/>
              <w:spacing w:lineRule="auto" w:line="240" w:before="0" w:after="0"/>
              <w:rPr>
                <w:spacing w:val="0"/>
                <w:sz w:val="24"/>
                <w:szCs w:val="24"/>
                <w:lang w:val="en-US"/>
              </w:rPr>
            </w:pPr>
            <w:r>
              <w:rPr>
                <w:spacing w:val="0"/>
                <w:sz w:val="24"/>
                <w:szCs w:val="24"/>
                <w:lang w:val="en-US"/>
              </w:rPr>
            </w:r>
          </w:p>
        </w:tc>
        <w:tc>
          <w:tcPr>
            <w:tcW w:w="8042" w:type="dxa"/>
            <w:tcBorders/>
          </w:tcPr>
          <w:p>
            <w:pPr>
              <w:pStyle w:val="82"/>
              <w:shd w:val="clear" w:color="auto" w:fill="auto"/>
              <w:suppressAutoHyphens w:val="true"/>
              <w:spacing w:lineRule="auto" w:line="240"/>
              <w:jc w:val="center"/>
              <w:rPr>
                <w:sz w:val="24"/>
                <w:szCs w:val="24"/>
              </w:rPr>
            </w:pPr>
            <w:r>
              <w:rPr>
                <w:sz w:val="24"/>
                <w:szCs w:val="24"/>
                <w:lang w:val="en-US"/>
              </w:rPr>
              <w:t>S</w:t>
            </w:r>
            <w:r>
              <w:rPr>
                <w:sz w:val="24"/>
                <w:szCs w:val="24"/>
                <w:vertAlign w:val="subscript"/>
                <w:lang w:val="en-US"/>
              </w:rPr>
              <w:t>v</w:t>
            </w:r>
            <w:r>
              <w:rPr>
                <w:rStyle w:val="80pt"/>
                <w:rFonts w:eastAsia="Calibri" w:eastAsiaTheme="minorHAnsi"/>
                <w:sz w:val="24"/>
                <w:szCs w:val="24"/>
              </w:rPr>
              <w:t xml:space="preserve"> = 6</w:t>
            </w:r>
            <w:r>
              <w:rPr>
                <w:iCs/>
                <w:sz w:val="24"/>
                <w:szCs w:val="24"/>
              </w:rPr>
              <w:t>М/(</w:t>
            </w:r>
            <w:r>
              <w:rPr>
                <w:sz w:val="24"/>
                <w:szCs w:val="24"/>
                <w:lang w:val="en-US"/>
              </w:rPr>
              <w:t>d</w:t>
            </w:r>
            <w:r>
              <w:rPr>
                <w:iCs/>
                <w:sz w:val="24"/>
                <w:szCs w:val="24"/>
              </w:rPr>
              <w:t>γ).</w:t>
            </w:r>
          </w:p>
        </w:tc>
        <w:tc>
          <w:tcPr>
            <w:tcW w:w="666" w:type="dxa"/>
            <w:tcBorders/>
          </w:tcPr>
          <w:p>
            <w:pPr>
              <w:pStyle w:val="111"/>
              <w:shd w:val="clear" w:color="auto" w:fill="auto"/>
              <w:suppressAutoHyphens w:val="true"/>
              <w:spacing w:lineRule="auto" w:line="240" w:before="0" w:after="0"/>
              <w:jc w:val="right"/>
              <w:rPr>
                <w:spacing w:val="0"/>
                <w:sz w:val="24"/>
                <w:szCs w:val="24"/>
              </w:rPr>
            </w:pPr>
            <w:r>
              <w:rPr>
                <w:spacing w:val="0"/>
                <w:sz w:val="24"/>
                <w:szCs w:val="24"/>
              </w:rPr>
              <w:t>(4)</w:t>
            </w:r>
          </w:p>
        </w:tc>
      </w:tr>
    </w:tbl>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b/>
          <w:sz w:val="24"/>
          <w:szCs w:val="24"/>
          <w:lang w:val="en-US"/>
        </w:rPr>
        <w:t>Results and Discussion.</w:t>
      </w:r>
      <w:r>
        <w:rPr>
          <w:rFonts w:cs="Times New Roman" w:ascii="Times New Roman" w:hAnsi="Times New Roman"/>
          <w:sz w:val="24"/>
          <w:szCs w:val="24"/>
          <w:lang w:val="en-US"/>
        </w:rPr>
        <w:t xml:space="preserve"> Of great importance is the uniform distribution of elementary size classes in the briquette charge. It is achieved by choosing a technological scheme for coal classification and the corresponding equipment design. Briquettes have maximum strength with the following ratio of classes of the briquetting mixture: 0–1 mm about 50%, 1–2 mm – 40–45% and 2–4 mm –5–10%. Dust particles (less than 0.2 mm) have a negative effect on briquetting. Their content should not exceed 8–10%.</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size of the coal determines the total surface area of ​​the particles of the briquetted mass. The more developed this surface area is, the greater the number of particle contacts inside the briquettes and the more intense the action of molecular adhesion forces. The increase in the total surface area of ​​the grains can be achieved by crushing. Briquettes made of fine coal have fewer internal defects, a higher packing density, and better plasticity of the briquetted mass. Hence, a more uniform distribution of pressure throughout the entire volume of the briquettes. The optimal size, which ensures sufficiently high strength of the briquettes, is within 0–2 mm. The technological scheme of coal briquettes production is shown in Figure 3.</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drawing>
          <wp:inline distT="0" distB="0" distL="0" distR="0">
            <wp:extent cx="4984750" cy="4124325"/>
            <wp:effectExtent l="0" t="0" r="0" b="0"/>
            <wp:docPr id="12"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9" descr=""/>
                    <pic:cNvPicPr>
                      <a:picLocks noChangeAspect="1" noChangeArrowheads="1"/>
                    </pic:cNvPicPr>
                  </pic:nvPicPr>
                  <pic:blipFill>
                    <a:blip r:embed="rId24"/>
                    <a:stretch>
                      <a:fillRect/>
                    </a:stretch>
                  </pic:blipFill>
                  <pic:spPr bwMode="auto">
                    <a:xfrm>
                      <a:off x="0" y="0"/>
                      <a:ext cx="4984750" cy="4124325"/>
                    </a:xfrm>
                    <a:prstGeom prst="rect">
                      <a:avLst/>
                    </a:prstGeom>
                    <a:noFill/>
                  </pic:spPr>
                </pic:pic>
              </a:graphicData>
            </a:graphic>
          </wp:inline>
        </w:drawing>
      </w:r>
    </w:p>
    <w:p>
      <w:pPr>
        <w:pStyle w:val="ListParagraph"/>
        <w:tabs>
          <w:tab w:val="clear" w:pos="708"/>
          <w:tab w:val="left" w:pos="284" w:leader="none"/>
        </w:tabs>
        <w:spacing w:lineRule="auto" w:line="240" w:before="0" w:after="0"/>
        <w:ind w:left="927"/>
        <w:contextualSpacing/>
        <w:jc w:val="center"/>
        <w:rPr>
          <w:rFonts w:ascii="Times New Roman" w:hAnsi="Times New Roman" w:eastAsia="Times New Roman" w:cs="Times New Roman"/>
          <w:i/>
          <w:i/>
          <w:sz w:val="20"/>
          <w:szCs w:val="20"/>
          <w:lang w:val="en-US" w:eastAsia="ru-RU"/>
        </w:rPr>
      </w:pPr>
      <w:r>
        <w:rPr>
          <w:rFonts w:eastAsia="Times New Roman" w:cs="Times New Roman" w:ascii="Times New Roman" w:hAnsi="Times New Roman"/>
          <w:i/>
          <w:sz w:val="20"/>
          <w:szCs w:val="20"/>
          <w:lang w:val="en-US" w:eastAsia="ru-RU"/>
        </w:rPr>
        <w:t>1 - receiving bin, 2 - electrovibration feeder, 3 - lifting magnet, 4 - belt conveyor, 5 – screen, 6 - belt conveyor, 7 - roller crusher, 8 - hammer crusher, 9 - belt conveyor, 10 – mixer, 11 - hopper with screw feeder, 12 - roller press, 13 - screen</w:t>
      </w:r>
    </w:p>
    <w:p>
      <w:pPr>
        <w:pStyle w:val="Normal"/>
        <w:spacing w:before="0" w:after="0"/>
        <w:ind w:firstLine="567"/>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center"/>
        <w:rPr>
          <w:rFonts w:ascii="Times New Roman" w:hAnsi="Times New Roman" w:cs="Times New Roman"/>
          <w:b/>
          <w:sz w:val="20"/>
          <w:szCs w:val="20"/>
          <w:lang w:val="en-US"/>
        </w:rPr>
      </w:pPr>
      <w:r>
        <w:rPr>
          <w:rFonts w:cs="Times New Roman" w:ascii="Times New Roman" w:hAnsi="Times New Roman"/>
          <w:b/>
          <w:sz w:val="20"/>
          <w:szCs w:val="20"/>
          <w:lang w:val="en-US"/>
        </w:rPr>
        <w:t>Fig. 3 - Flow chart of coal briquettes production</w:t>
      </w:r>
    </w:p>
    <w:p>
      <w:pPr>
        <w:pStyle w:val="Normal"/>
        <w:spacing w:before="0" w:after="0"/>
        <w:ind w:firstLine="567"/>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quality of briquettes is significantly affected by the distribution of moisture in individual classes. Small particles of coal give up their moisture faster and easier during drying than larger grains. Therefore, to achieve high strength of briquettes, it is necessary to ensure a minimum moisture difference between small and large grains. The moisture difference is affected by the speed and method of drying the coal, the difference in the sizes of the largest and smallest particles of the material, and the nature of the coal. It is important to take into account the uneven distribution of moisture in large grains. After drying, moisture evaporates only from the surface, lingering in the deep areas.</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pressing factor is the most important for obtaining strong briquettes. When pressing, under the action of mechanical pressure, brown coal is compressed all around to form a lump product - a briquette. The briquetted material (dry coal) can be considered as a three-phase system: solid, liquid and gas. The gaseous phase is the air in the pores of the coal and the spaces between individual grains. The bulk of the air is easily removed during the pressing process. Only a small amount of it remains in the pressed coal, weakening the structure of the briquette. Therefore, during the pressing process, maximum air removal is necessary through the appropriate gaps of the pressing devices.</w:t>
      </w:r>
      <w:r>
        <w:rPr>
          <w:lang w:val="en-US"/>
        </w:rPr>
        <w:t xml:space="preserve"> </w:t>
      </w:r>
      <w:r>
        <w:rPr>
          <w:rFonts w:cs="Times New Roman" w:ascii="Times New Roman" w:hAnsi="Times New Roman"/>
          <w:sz w:val="24"/>
          <w:szCs w:val="24"/>
          <w:lang w:val="en-US"/>
        </w:rPr>
        <w:t>A sample of a briquette obtained in a semi-industrial plant is shown in Figure 4.</w:t>
      </w:r>
    </w:p>
    <w:p>
      <w:pPr>
        <w:pStyle w:val="Normal"/>
        <w:spacing w:before="0" w:after="0"/>
        <w:ind w:firstLine="567"/>
        <w:jc w:val="both"/>
        <w:rPr>
          <w:rFonts w:ascii="Times New Roman" w:hAnsi="Times New Roman" w:cs="Times New Roman"/>
          <w:sz w:val="24"/>
          <w:szCs w:val="24"/>
          <w:lang w:val="en-US"/>
        </w:rPr>
      </w:pPr>
      <w:r>
        <w:rPr/>
        <w:drawing>
          <wp:inline distT="0" distB="0" distL="0" distR="0">
            <wp:extent cx="5200650" cy="2924175"/>
            <wp:effectExtent l="0" t="0" r="0" b="0"/>
            <wp:docPr id="13" name="Picture 381" descr="конечный брик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81" descr="конечный брикет"/>
                    <pic:cNvPicPr>
                      <a:picLocks noChangeAspect="1" noChangeArrowheads="1"/>
                    </pic:cNvPicPr>
                  </pic:nvPicPr>
                  <pic:blipFill>
                    <a:blip r:embed="rId25"/>
                    <a:stretch>
                      <a:fillRect/>
                    </a:stretch>
                  </pic:blipFill>
                  <pic:spPr bwMode="auto">
                    <a:xfrm>
                      <a:off x="0" y="0"/>
                      <a:ext cx="5200650" cy="2924175"/>
                    </a:xfrm>
                    <a:prstGeom prst="rect">
                      <a:avLst/>
                    </a:prstGeom>
                    <a:noFill/>
                  </pic:spPr>
                </pic:pic>
              </a:graphicData>
            </a:graphic>
          </wp:inline>
        </w:drawing>
      </w:r>
    </w:p>
    <w:p>
      <w:pPr>
        <w:pStyle w:val="Normal"/>
        <w:spacing w:before="0" w:after="0"/>
        <w:ind w:firstLine="567"/>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center"/>
        <w:rPr>
          <w:rFonts w:ascii="Times New Roman" w:hAnsi="Times New Roman" w:cs="Times New Roman"/>
          <w:b/>
          <w:sz w:val="20"/>
          <w:szCs w:val="20"/>
          <w:lang w:val="en-US"/>
        </w:rPr>
      </w:pPr>
      <w:r>
        <w:rPr>
          <w:rFonts w:cs="Times New Roman" w:ascii="Times New Roman" w:hAnsi="Times New Roman"/>
          <w:b/>
          <w:sz w:val="20"/>
          <w:szCs w:val="20"/>
          <w:lang w:val="en-US"/>
        </w:rPr>
        <w:t>Fig. 4 - Sample of a briquette obtained in a semi-industrial plant</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Before pressure is applied, coal particles contact each other at individual points. With the application of pressure, point contacts become weak surface contacts, and at maximum pressing force, they become strong bonds of molecular adhesion forces. As pressure increases, the entire mass of coal being briquetted is sequentially drawn into the contact zone. The formation of the briquettes' structure is accompanied by deformation of the coal in the press channel and after the briquettes exit it. The deformation of the first period is irreversible or residual, and of the second period it is reversible or elastic.</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technology for producing briquettes can be based on waste from coal enterprises, wood sawdust, lignin, and other industrial waste. Classic pressing technology is used in preparing briquettes. The developed process includes the stages of preliminary preparation of the initial components, mixing and transferring polymers into a plastic state, and molding briquettes using the viscous flow of the mass into molding strains. The pilot plant for producing briquettes is shown in Figure 5. </w:t>
      </w:r>
    </w:p>
    <w:p>
      <w:pPr>
        <w:pStyle w:val="Normal"/>
        <w:spacing w:before="0" w:after="0"/>
        <w:ind w:firstLine="567"/>
        <w:jc w:val="both"/>
        <w:rPr>
          <w:rFonts w:ascii="Times New Roman" w:hAnsi="Times New Roman" w:cs="Times New Roman"/>
          <w:sz w:val="28"/>
          <w:szCs w:val="28"/>
          <w:lang w:val="en-US" w:eastAsia="ru-RU"/>
        </w:rPr>
      </w:pPr>
      <w:r>
        <w:rPr>
          <w:rFonts w:cs="Times New Roman" w:ascii="Times New Roman" w:hAnsi="Times New Roman"/>
          <w:sz w:val="28"/>
          <w:szCs w:val="28"/>
          <w:lang w:val="en-US" w:eastAsia="ru-RU"/>
        </w:rPr>
      </w:r>
    </w:p>
    <w:p>
      <w:pPr>
        <w:pStyle w:val="Normal"/>
        <w:spacing w:before="0" w:after="0"/>
        <w:ind w:firstLine="567"/>
        <w:jc w:val="center"/>
        <w:rPr>
          <w:rFonts w:ascii="Times New Roman" w:hAnsi="Times New Roman" w:cs="Times New Roman"/>
          <w:sz w:val="28"/>
          <w:szCs w:val="28"/>
          <w:lang w:eastAsia="ru-RU"/>
        </w:rPr>
      </w:pPr>
      <w:r>
        <w:rPr/>
        <w:drawing>
          <wp:inline distT="0" distB="0" distL="0" distR="0">
            <wp:extent cx="2559050" cy="2496185"/>
            <wp:effectExtent l="0" t="0" r="0" b="0"/>
            <wp:docPr id="14" name="Picture 383" descr="IMG-20200527-WA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83" descr="IMG-20200527-WA0029"/>
                    <pic:cNvPicPr>
                      <a:picLocks noChangeAspect="1" noChangeArrowheads="1"/>
                    </pic:cNvPicPr>
                  </pic:nvPicPr>
                  <pic:blipFill>
                    <a:blip r:embed="rId26"/>
                    <a:srcRect l="0" t="4305" r="0" b="0"/>
                    <a:stretch>
                      <a:fillRect/>
                    </a:stretch>
                  </pic:blipFill>
                  <pic:spPr bwMode="auto">
                    <a:xfrm>
                      <a:off x="0" y="0"/>
                      <a:ext cx="2559050" cy="2496185"/>
                    </a:xfrm>
                    <a:prstGeom prst="rect">
                      <a:avLst/>
                    </a:prstGeom>
                    <a:noFill/>
                  </pic:spPr>
                </pic:pic>
              </a:graphicData>
            </a:graphic>
          </wp:inline>
        </w:drawing>
      </w:r>
      <w:r>
        <w:rPr/>
        <w:drawing>
          <wp:inline distT="0" distB="0" distL="0" distR="0">
            <wp:extent cx="2695575" cy="2492375"/>
            <wp:effectExtent l="0" t="0" r="0" b="0"/>
            <wp:docPr id="15" name="Picture 382" descr="IMG-20200527-WA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82" descr="IMG-20200527-WA0031"/>
                    <pic:cNvPicPr>
                      <a:picLocks noChangeAspect="1" noChangeArrowheads="1"/>
                    </pic:cNvPicPr>
                  </pic:nvPicPr>
                  <pic:blipFill>
                    <a:blip r:embed="rId27"/>
                    <a:stretch>
                      <a:fillRect/>
                    </a:stretch>
                  </pic:blipFill>
                  <pic:spPr bwMode="auto">
                    <a:xfrm>
                      <a:off x="0" y="0"/>
                      <a:ext cx="2695575" cy="2492375"/>
                    </a:xfrm>
                    <a:prstGeom prst="rect">
                      <a:avLst/>
                    </a:prstGeom>
                    <a:noFill/>
                  </pic:spPr>
                </pic:pic>
              </a:graphicData>
            </a:graphic>
          </wp:inline>
        </w:drawing>
      </w:r>
    </w:p>
    <w:p>
      <w:pPr>
        <w:pStyle w:val="Normal"/>
        <w:spacing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567"/>
        <w:jc w:val="center"/>
        <w:rPr>
          <w:rFonts w:ascii="Times New Roman" w:hAnsi="Times New Roman" w:cs="Times New Roman"/>
          <w:b/>
          <w:sz w:val="20"/>
          <w:szCs w:val="20"/>
          <w:lang w:val="en-US"/>
        </w:rPr>
      </w:pPr>
      <w:r>
        <w:rPr>
          <w:rFonts w:cs="Times New Roman" w:ascii="Times New Roman" w:hAnsi="Times New Roman"/>
          <w:b/>
          <w:sz w:val="20"/>
          <w:szCs w:val="20"/>
          <w:lang w:val="en-US"/>
        </w:rPr>
        <w:t>Fig. 5 - Pilot plant for briquette production</w:t>
      </w:r>
    </w:p>
    <w:p>
      <w:pPr>
        <w:pStyle w:val="Normal"/>
        <w:spacing w:before="0" w:after="0"/>
        <w:ind w:firstLine="567"/>
        <w:jc w:val="center"/>
        <w:rPr>
          <w:rFonts w:ascii="Times New Roman" w:hAnsi="Times New Roman" w:cs="Times New Roman"/>
          <w:b/>
          <w:sz w:val="20"/>
          <w:szCs w:val="20"/>
          <w:lang w:val="en-US"/>
        </w:rPr>
      </w:pPr>
      <w:r>
        <w:rPr>
          <w:rFonts w:cs="Times New Roman" w:ascii="Times New Roman" w:hAnsi="Times New Roman"/>
          <w:b/>
          <w:sz w:val="20"/>
          <w:szCs w:val="20"/>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Experiments were conducted to determine the physical and technical characteristics of the briquettes depending on the conditions of their preparation.</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Table 1 shows that the amount of binder plays an important role in the formation of the strength of the briquettes, which increases as the binder increases. If we compare the strength of the briquettes with and without a binder, we see that regardless of the drying temperature, the strength of the briquettes increases by 1.5 times with the introduction of a binder into the briquette.</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center"/>
        <w:rPr>
          <w:rFonts w:ascii="Times New Roman" w:hAnsi="Times New Roman" w:cs="Times New Roman"/>
          <w:b/>
          <w:lang w:val="en-US"/>
        </w:rPr>
      </w:pPr>
      <w:r>
        <w:rPr>
          <w:rFonts w:cs="Times New Roman" w:ascii="Times New Roman" w:hAnsi="Times New Roman"/>
          <w:b/>
          <w:lang w:val="en-US"/>
        </w:rPr>
        <w:t>Table 1 - Physicochemical properties of the briquette depending on the input factors</w:t>
      </w:r>
    </w:p>
    <w:p>
      <w:pPr>
        <w:pStyle w:val="Normal"/>
        <w:spacing w:before="0" w:after="0"/>
        <w:ind w:firstLine="567"/>
        <w:jc w:val="center"/>
        <w:rPr>
          <w:rFonts w:ascii="Times New Roman" w:hAnsi="Times New Roman" w:cs="Times New Roman"/>
          <w:b/>
          <w:lang w:val="en-US"/>
        </w:rPr>
      </w:pPr>
      <w:r>
        <w:rPr>
          <w:rFonts w:cs="Times New Roman" w:ascii="Times New Roman" w:hAnsi="Times New Roman"/>
          <w:b/>
          <w:lang w:val="en-US"/>
        </w:rPr>
      </w:r>
    </w:p>
    <w:tbl>
      <w:tblPr>
        <w:tblW w:w="935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796"/>
        <w:gridCol w:w="1418"/>
        <w:gridCol w:w="1248"/>
        <w:gridCol w:w="1872"/>
        <w:gridCol w:w="1358"/>
        <w:gridCol w:w="1428"/>
        <w:gridCol w:w="1235"/>
      </w:tblGrid>
      <w:tr>
        <w:trPr>
          <w:trHeight w:val="880" w:hRule="atLeast"/>
        </w:trPr>
        <w:tc>
          <w:tcPr>
            <w:tcW w:w="7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Samples</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bCs/>
                <w:lang w:val="en-US"/>
              </w:rPr>
              <w:t>Drying temperature, °C</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Mass of binder, %</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Calorific value, MJ/kg</w:t>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Ash content,  %</w:t>
            </w:r>
          </w:p>
        </w:tc>
        <w:tc>
          <w:tcPr>
            <w:tcW w:w="142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Humidity,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ind w:left="-66"/>
              <w:jc w:val="center"/>
              <w:rPr>
                <w:rFonts w:ascii="Times New Roman" w:hAnsi="Times New Roman" w:cs="Times New Roman"/>
                <w:bCs/>
                <w:lang w:val="en-US"/>
              </w:rPr>
            </w:pPr>
            <w:r>
              <w:rPr>
                <w:rFonts w:cs="Times New Roman" w:ascii="Times New Roman" w:hAnsi="Times New Roman"/>
                <w:bCs/>
                <w:lang w:val="en-US"/>
              </w:rPr>
              <w:t>Durability, %</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25</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30,6</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1,9</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14,2</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32,2</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25</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5</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28,2</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3,4</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15,3</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54,1</w:t>
            </w:r>
          </w:p>
        </w:tc>
      </w:tr>
      <w:tr>
        <w:trPr>
          <w:trHeight w:val="200" w:hRule="atLeast"/>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60</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28,5</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2,3</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10,2</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34,5</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4</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60</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5</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27,8</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3,1</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11,4</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52,8</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5</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60</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10</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27,3</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4,1</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12,8</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60,1</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6</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100</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29,1</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3,1</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8,3</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23,4</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7</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100</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5</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27,5</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2,1</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9,5</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45,7</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8</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100</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10</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27,3</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2,6</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11,2</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64,7</w:t>
            </w:r>
          </w:p>
        </w:tc>
      </w:tr>
    </w:tbl>
    <w:p>
      <w:pPr>
        <w:pStyle w:val="Normal"/>
        <w:spacing w:before="0" w:after="0"/>
        <w:ind w:firstLine="567"/>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It is evident from Table 1 that the binder level has a significant effect on all combustion properties studied. Increasing the binder level decreases the calorific value. This is expected due to the decrease in the proportion of semi-coke, which significantly contributes to the overall calorific value of the mixture. It is also observed that the ash content increases at drying temperatures from 25 to 600 °C, then decreases at drying at 1000 °C, indicating that the lignosulfonate has inorganic volatiles that are not combustible.</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In an attempt to characterize the interactions occurring between the lignosulfonate binder and the fine coal particles, we can assume the following interaction mechanism. As preliminary observations show, direct interactions between coal particles and lignosulfonate particles in the granule are not observed with simple mechanical mixing, but interactions occur through the surfactants of the lignosulfonate and the coal surface.</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Larger particles in the coal lead to adhesion between adjacent particles. In addition, the presence of moisture enhances the activity of surfactants. Lignosulfonates can act as a surfactant molecules with spherical structures (micelles), where sulfonic acid and carboxylic acid groups are located mainly on the surface of the hydrophobic hydrocarbon core. These functional groups are available for interaction, especially in the presence of surface moisture.</w:t>
      </w:r>
    </w:p>
    <w:p>
      <w:pPr>
        <w:pStyle w:val="Normal"/>
        <w:spacing w:lineRule="auto" w:line="240" w:before="0" w:after="0"/>
        <w:ind w:firstLine="709"/>
        <w:jc w:val="both"/>
        <w:rPr>
          <w:rFonts w:ascii="Times New Roman" w:hAnsi="Times New Roman" w:eastAsia="Times New Roman" w:cs="Times New Roman"/>
          <w:bCs/>
          <w:sz w:val="24"/>
          <w:szCs w:val="24"/>
          <w:lang w:val="en-US" w:eastAsia="ru-RU"/>
        </w:rPr>
      </w:pPr>
      <w:r>
        <w:rPr>
          <w:rFonts w:eastAsia="Times New Roman" w:cs="Times New Roman" w:ascii="Times New Roman" w:hAnsi="Times New Roman"/>
          <w:bCs/>
          <w:sz w:val="24"/>
          <w:szCs w:val="24"/>
          <w:lang w:val="en-US" w:eastAsia="ru-RU"/>
        </w:rPr>
        <w:t>Study of adhesive-cohesive properties of petroleum pitch as a binder</w:t>
      </w:r>
    </w:p>
    <w:p>
      <w:pPr>
        <w:pStyle w:val="Normal"/>
        <w:spacing w:lineRule="auto" w:line="240" w:before="0" w:after="0"/>
        <w:ind w:firstLine="709"/>
        <w:jc w:val="both"/>
        <w:rPr>
          <w:rFonts w:ascii="Times New Roman" w:hAnsi="Times New Roman" w:eastAsia="Times New Roman" w:cs="Times New Roman"/>
          <w:bCs/>
          <w:sz w:val="24"/>
          <w:szCs w:val="24"/>
          <w:lang w:val="en-US" w:eastAsia="ru-RU"/>
        </w:rPr>
      </w:pPr>
      <w:r>
        <w:rPr>
          <w:rFonts w:eastAsia="Times New Roman" w:cs="Times New Roman" w:ascii="Times New Roman" w:hAnsi="Times New Roman"/>
          <w:bCs/>
          <w:sz w:val="24"/>
          <w:szCs w:val="24"/>
          <w:lang w:val="en-US" w:eastAsia="ru-RU"/>
        </w:rPr>
        <w:t>Coal, enrichment and binding fractions enter the mixer from the dispenser in strictly calculated proportions. The purpose of mixing this batch is to maximize their averaging among themselves and to envelop the surfaces of coal and enrichment particles with a thin molten film of petroleum pitch (binder).</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bCs/>
          <w:sz w:val="24"/>
          <w:szCs w:val="24"/>
          <w:lang w:val="en-US" w:eastAsia="ru-RU"/>
        </w:rPr>
        <w:t>Mixing of briquette masses is the first stage of manifestation of adhesive interaction of components and homogenization of the system. The entire complex of adhesive phenomena is the result of manifestation of molecular interaction: from weak van der Waals forces to hydrogen bonds of chemical nature. To calculate the theoretical bond strength for any molecular forces Fm, one can use the transformed Morse equation [15, 16]</w:t>
      </w:r>
      <w:r>
        <w:rPr>
          <w:rFonts w:eastAsia="Times New Roman" w:cs="Times New Roman" w:ascii="Times New Roman" w:hAnsi="Times New Roman"/>
          <w:sz w:val="24"/>
          <w:szCs w:val="24"/>
          <w:lang w:val="en-US" w:eastAsia="ru-RU"/>
        </w:rPr>
        <w:t>:</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u w:val="double"/>
          <w:lang w:val="en-US" w:eastAsia="ru-RU"/>
        </w:rPr>
      </w:pPr>
      <w:r>
        <w:rPr/>
      </w:r>
      <m:oMathPara xmlns:m="http://schemas.openxmlformats.org/officeDocument/2006/math">
        <m:oMathParaPr>
          <m:jc m:val="center"/>
        </m:oMathParaPr>
        <m:oMath>
          <m:r>
            <w:rPr>
              <w:rFonts w:ascii="Cambria Math" w:hAnsi="Cambria Math"/>
            </w:rPr>
            <m:t xml:space="preserve">F</m:t>
          </m:r>
          <m:r>
            <w:rPr>
              <w:rFonts w:ascii="Cambria Math" w:hAnsi="Cambria Math"/>
            </w:rPr>
            <m:t xml:space="preserve">m</m:t>
          </m:r>
          <m:r>
            <w:rPr>
              <w:rFonts w:ascii="Cambria Math" w:hAnsi="Cambria Math"/>
            </w:rPr>
            <m:t xml:space="preserve">=</m:t>
          </m:r>
          <m:f>
            <m:num>
              <m:r>
                <w:rPr>
                  <w:rFonts w:ascii="Cambria Math" w:hAnsi="Cambria Math"/>
                </w:rPr>
                <m:t xml:space="preserve">bD</m:t>
              </m:r>
            </m:num>
            <m:den>
              <m:r>
                <w:rPr>
                  <w:rFonts w:ascii="Cambria Math" w:hAnsi="Cambria Math"/>
                </w:rPr>
                <m:t xml:space="preserve">2</m:t>
              </m:r>
            </m:den>
          </m:f>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where b – constant associated with the magnitude of the amplitude of oscillation of interacting particles;</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i/>
          <w:sz w:val="24"/>
          <w:szCs w:val="24"/>
          <w:lang w:val="en-US" w:eastAsia="ru-RU"/>
        </w:rPr>
        <w:t>D</w:t>
      </w:r>
      <w:r>
        <w:rPr>
          <w:rFonts w:eastAsia="Times New Roman" w:cs="Times New Roman" w:ascii="Times New Roman" w:hAnsi="Times New Roman"/>
          <w:sz w:val="24"/>
          <w:szCs w:val="24"/>
          <w:lang w:val="en-US" w:eastAsia="ru-RU"/>
        </w:rPr>
        <w:t xml:space="preserve"> – bond dissociation energy.</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formation of a particular type of bond is determined by its activation energy. Low activation energy is characteristic of molecular adhesion, which is carried out under the influence of Van der Waals forces, as well as adhesion due to the formation of hydrogen bonds through functional groups located on the surface of particles and in the binding groups.</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most important thermodynamic characteristic of adhesion in the briquette composition is the wettability of the substrate by the adhesive and the surface tension at the phase boundary. The particles of coal and enrichment remain permanently solid during the mixing process, so for the sake of convenience we will call them the base.</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In contrast, petroleum pitch, being initially a powder composite, will become a liquid wetting binder during the mixing process under the influence of externally introduced temperature into the working cavity of the mixer. Therefore, petroleum pitch is further called the binder.</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work of wetting the solid surface of the base (substrate) by the binder can be expressed by the Dupre equation</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2037" w:leader="none"/>
        </w:tabs>
        <w:spacing w:lineRule="auto" w:line="240" w:before="0" w:after="0"/>
        <w:jc w:val="center"/>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w:t>
      </w:r>
      <w:r>
        <w:rPr>
          <w:rFonts w:eastAsia="Times New Roman" w:cs="Times New Roman" w:ascii="Times New Roman" w:hAnsi="Times New Roman"/>
          <w:sz w:val="24"/>
          <w:szCs w:val="24"/>
          <w:vertAlign w:val="subscript"/>
          <w:lang w:val="en-US" w:eastAsia="ru-RU"/>
        </w:rPr>
        <w:t>a</w:t>
      </w:r>
      <w:r>
        <w:rPr>
          <w:rFonts w:eastAsia="Times New Roman" w:cs="Times New Roman" w:ascii="Times New Roman" w:hAnsi="Times New Roman"/>
          <w:sz w:val="24"/>
          <w:szCs w:val="24"/>
          <w:lang w:val="en-US" w:eastAsia="ru-RU"/>
        </w:rPr>
        <w:t xml:space="preserve"> = σ</w:t>
      </w:r>
      <w:r>
        <w:rPr>
          <w:rFonts w:eastAsia="Times New Roman" w:cs="Times New Roman" w:ascii="Times New Roman" w:hAnsi="Times New Roman"/>
          <w:sz w:val="24"/>
          <w:szCs w:val="24"/>
          <w:vertAlign w:val="subscript"/>
          <w:lang w:val="en-US" w:eastAsia="ru-RU"/>
        </w:rPr>
        <w:t>tg</w:t>
      </w:r>
      <w:r>
        <w:rPr>
          <w:rFonts w:eastAsia="Times New Roman" w:cs="Times New Roman" w:ascii="Times New Roman" w:hAnsi="Times New Roman"/>
          <w:sz w:val="24"/>
          <w:szCs w:val="24"/>
          <w:lang w:val="en-US" w:eastAsia="ru-RU"/>
        </w:rPr>
        <w:t>+σ</w:t>
      </w:r>
      <w:r>
        <w:rPr>
          <w:rFonts w:eastAsia="Times New Roman" w:cs="Times New Roman" w:ascii="Times New Roman" w:hAnsi="Times New Roman"/>
          <w:sz w:val="24"/>
          <w:szCs w:val="24"/>
          <w:vertAlign w:val="subscript"/>
          <w:lang w:val="en-US" w:eastAsia="ru-RU"/>
        </w:rPr>
        <w:t>jg</w:t>
      </w:r>
      <w:r>
        <w:rPr>
          <w:rFonts w:eastAsia="Times New Roman" w:cs="Times New Roman" w:ascii="Times New Roman" w:hAnsi="Times New Roman"/>
          <w:sz w:val="24"/>
          <w:szCs w:val="24"/>
          <w:lang w:val="en-US" w:eastAsia="ru-RU"/>
        </w:rPr>
        <w:t>-σ</w:t>
      </w:r>
      <w:r>
        <w:rPr>
          <w:rFonts w:eastAsia="Times New Roman" w:cs="Times New Roman" w:ascii="Times New Roman" w:hAnsi="Times New Roman"/>
          <w:sz w:val="24"/>
          <w:szCs w:val="24"/>
          <w:vertAlign w:val="subscript"/>
          <w:lang w:val="en-US" w:eastAsia="ru-RU"/>
        </w:rPr>
        <w:t>tj</w:t>
      </w:r>
    </w:p>
    <w:p>
      <w:pPr>
        <w:pStyle w:val="Normal"/>
        <w:tabs>
          <w:tab w:val="clear" w:pos="708"/>
          <w:tab w:val="left" w:pos="2037"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2037"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where W</w:t>
      </w:r>
      <w:r>
        <w:rPr>
          <w:rFonts w:eastAsia="Times New Roman" w:cs="Times New Roman" w:ascii="Times New Roman" w:hAnsi="Times New Roman"/>
          <w:sz w:val="24"/>
          <w:szCs w:val="24"/>
          <w:vertAlign w:val="subscript"/>
          <w:lang w:val="en-US" w:eastAsia="ru-RU"/>
        </w:rPr>
        <w:t>a</w:t>
      </w:r>
      <w:r>
        <w:rPr>
          <w:rFonts w:eastAsia="Times New Roman" w:cs="Times New Roman" w:ascii="Times New Roman" w:hAnsi="Times New Roman"/>
          <w:sz w:val="24"/>
          <w:szCs w:val="24"/>
          <w:lang w:val="en-US" w:eastAsia="ru-RU"/>
        </w:rPr>
        <w:t xml:space="preserve"> – reversible work, </w:t>
      </w:r>
      <w:r>
        <w:rPr>
          <w:rFonts w:eastAsia="Times New Roman" w:cs="Times New Roman" w:ascii="Times New Roman" w:hAnsi="Times New Roman"/>
          <w:sz w:val="24"/>
          <w:szCs w:val="24"/>
          <w:lang w:eastAsia="ru-RU"/>
        </w:rPr>
        <w:t>Н</w:t>
      </w:r>
      <w:r>
        <w:rPr>
          <w:rFonts w:eastAsia="Times New Roman" w:cs="Times New Roman" w:ascii="Times New Roman" w:hAnsi="Times New Roman"/>
          <w:sz w:val="24"/>
          <w:szCs w:val="24"/>
          <w:lang w:val="en-US" w:eastAsia="ru-RU"/>
        </w:rPr>
        <w:t>/m;</w:t>
      </w:r>
    </w:p>
    <w:p>
      <w:pPr>
        <w:pStyle w:val="Normal"/>
        <w:tabs>
          <w:tab w:val="clear" w:pos="708"/>
          <w:tab w:val="left" w:pos="2037"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σ</w:t>
      </w:r>
      <w:r>
        <w:rPr>
          <w:rFonts w:eastAsia="Times New Roman" w:cs="Times New Roman" w:ascii="Times New Roman" w:hAnsi="Times New Roman"/>
          <w:sz w:val="24"/>
          <w:szCs w:val="24"/>
          <w:vertAlign w:val="subscript"/>
          <w:lang w:val="en-US" w:eastAsia="ru-RU"/>
        </w:rPr>
        <w:t>tg</w:t>
      </w:r>
      <w:r>
        <w:rPr>
          <w:rFonts w:eastAsia="Times New Roman" w:cs="Times New Roman" w:ascii="Times New Roman" w:hAnsi="Times New Roman"/>
          <w:sz w:val="24"/>
          <w:szCs w:val="24"/>
          <w:lang w:val="en-US" w:eastAsia="ru-RU"/>
        </w:rPr>
        <w:t>, σ</w:t>
      </w:r>
      <w:r>
        <w:rPr>
          <w:rFonts w:eastAsia="Times New Roman" w:cs="Times New Roman" w:ascii="Times New Roman" w:hAnsi="Times New Roman"/>
          <w:sz w:val="24"/>
          <w:szCs w:val="24"/>
          <w:vertAlign w:val="subscript"/>
          <w:lang w:val="en-US" w:eastAsia="ru-RU"/>
        </w:rPr>
        <w:t>jg</w:t>
      </w:r>
      <w:r>
        <w:rPr>
          <w:rFonts w:eastAsia="Times New Roman" w:cs="Times New Roman" w:ascii="Times New Roman" w:hAnsi="Times New Roman"/>
          <w:sz w:val="24"/>
          <w:szCs w:val="24"/>
          <w:lang w:val="en-US" w:eastAsia="ru-RU"/>
        </w:rPr>
        <w:t>, σ</w:t>
      </w:r>
      <w:r>
        <w:rPr>
          <w:rFonts w:eastAsia="Times New Roman" w:cs="Times New Roman" w:ascii="Times New Roman" w:hAnsi="Times New Roman"/>
          <w:sz w:val="24"/>
          <w:szCs w:val="24"/>
          <w:vertAlign w:val="subscript"/>
          <w:lang w:val="en-US" w:eastAsia="ru-RU"/>
        </w:rPr>
        <w:t>tj</w:t>
      </w:r>
      <w:r>
        <w:rPr>
          <w:rFonts w:eastAsia="Times New Roman" w:cs="Times New Roman" w:ascii="Times New Roman" w:hAnsi="Times New Roman"/>
          <w:sz w:val="24"/>
          <w:szCs w:val="24"/>
          <w:lang w:val="en-US" w:eastAsia="ru-RU"/>
        </w:rPr>
        <w:t xml:space="preserve"> – surface tension at the liquid-gas interface, </w:t>
      </w:r>
      <w:r>
        <w:rPr>
          <w:rFonts w:eastAsia="Times New Roman" w:cs="Times New Roman" w:ascii="Times New Roman" w:hAnsi="Times New Roman"/>
          <w:sz w:val="24"/>
          <w:szCs w:val="24"/>
          <w:lang w:eastAsia="ru-RU"/>
        </w:rPr>
        <w:t>Н</w:t>
      </w:r>
      <w:r>
        <w:rPr>
          <w:rFonts w:eastAsia="Times New Roman" w:cs="Times New Roman" w:ascii="Times New Roman" w:hAnsi="Times New Roman"/>
          <w:sz w:val="24"/>
          <w:szCs w:val="24"/>
          <w:lang w:val="en-US" w:eastAsia="ru-RU"/>
        </w:rPr>
        <w:t>/m.</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equilibrium condition for drops of a binder on a solid surface, expressing Young's equality</w:t>
      </w:r>
    </w:p>
    <w:p>
      <w:pPr>
        <w:pStyle w:val="Normal"/>
        <w:spacing w:lineRule="auto" w:line="240" w:before="0" w:after="0"/>
        <w:ind w:firstLine="709"/>
        <w:jc w:val="center"/>
        <w:rPr>
          <w:rFonts w:ascii="Times New Roman" w:hAnsi="Times New Roman" w:eastAsia="Times New Roman" w:cs="Times New Roman"/>
          <w:i/>
          <w:i/>
          <w:sz w:val="24"/>
          <w:szCs w:val="24"/>
          <w:lang w:val="en-US" w:eastAsia="ru-RU"/>
        </w:rPr>
      </w:pPr>
      <w:r>
        <w:rPr/>
      </w:r>
      <m:oMathPara xmlns:m="http://schemas.openxmlformats.org/officeDocument/2006/math">
        <m:oMathParaPr>
          <m:jc m:val="center"/>
        </m:oMathParaPr>
        <m:oMath>
          <m:sSub>
            <m:e>
              <m:r>
                <m:rPr>
                  <m:lit/>
                  <m:nor/>
                </m:rPr>
                <w:rPr>
                  <w:rFonts w:ascii="Cambria Math" w:hAnsi="Cambria Math"/>
                </w:rPr>
                <m:t xml:space="preserve">δ</m:t>
              </m:r>
            </m:e>
            <m:sub>
              <m:r>
                <m:rPr>
                  <m:lit/>
                  <m:nor/>
                </m:rPr>
                <w:rPr>
                  <w:rFonts w:ascii="Cambria Math" w:hAnsi="Cambria Math"/>
                </w:rPr>
                <m:t xml:space="preserve">tg</m:t>
              </m:r>
            </m:sub>
          </m:sSub>
          <m:sSub>
            <m:e>
              <m:r>
                <m:rPr>
                  <m:lit/>
                  <m:nor/>
                </m:rPr>
                <w:rPr>
                  <w:rFonts w:ascii="Cambria Math" w:hAnsi="Cambria Math"/>
                </w:rPr>
                <m:t xml:space="preserve">=</m:t>
              </m:r>
              <m:r>
                <m:rPr>
                  <m:lit/>
                  <m:nor/>
                </m:rPr>
                <w:rPr>
                  <w:rFonts w:ascii="Cambria Math" w:hAnsi="Cambria Math"/>
                </w:rPr>
                <m:t xml:space="preserve">δ</m:t>
              </m:r>
            </m:e>
            <m:sub>
              <m:r>
                <m:rPr>
                  <m:lit/>
                  <m:nor/>
                </m:rPr>
                <w:rPr>
                  <w:rFonts w:ascii="Cambria Math" w:hAnsi="Cambria Math"/>
                </w:rPr>
                <m:t xml:space="preserve">tj</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jg</m:t>
              </m:r>
            </m:sub>
          </m:sSub>
          <m:r>
            <w:rPr>
              <w:rFonts w:ascii="Cambria Math" w:hAnsi="Cambria Math"/>
            </w:rPr>
            <m:t xml:space="preserve">·</m:t>
          </m:r>
          <m:r>
            <w:rPr>
              <w:rFonts w:ascii="Cambria Math" w:hAnsi="Cambria Math"/>
            </w:rPr>
            <m:t xml:space="preserve">соs</m:t>
          </m:r>
          <m:r>
            <w:rPr>
              <w:rFonts w:ascii="Cambria Math" w:hAnsi="Cambria Math"/>
            </w:rPr>
            <m:t xml:space="preserve">φ</m:t>
          </m:r>
        </m:oMath>
      </m:oMathPara>
    </w:p>
    <w:p>
      <w:pPr>
        <w:pStyle w:val="Normal"/>
        <w:spacing w:lineRule="auto" w:line="240" w:before="0" w:after="0"/>
        <w:ind w:firstLine="709"/>
        <w:jc w:val="both"/>
        <w:rPr>
          <w:rFonts w:ascii="Times New Roman" w:hAnsi="Times New Roman" w:eastAsia="Times New Roman" w:cs="Times New Roman"/>
          <w:i/>
          <w:i/>
          <w:sz w:val="24"/>
          <w:szCs w:val="24"/>
          <w:lang w:val="en-US" w:eastAsia="ru-RU"/>
        </w:rPr>
      </w:pPr>
      <w:r>
        <w:rPr>
          <w:rFonts w:eastAsia="Times New Roman" w:cs="Times New Roman" w:ascii="Times New Roman" w:hAnsi="Times New Roman"/>
          <w:i/>
          <w:sz w:val="24"/>
          <w:szCs w:val="24"/>
          <w:lang w:val="en-US"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The present equation with the Dupre equation can be transformed into the Dupre-Young equality. </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w:t>
      </w:r>
      <w:r>
        <w:rPr>
          <w:rFonts w:eastAsia="Times New Roman" w:cs="Times New Roman" w:ascii="Times New Roman" w:hAnsi="Times New Roman"/>
          <w:sz w:val="24"/>
          <w:szCs w:val="24"/>
          <w:vertAlign w:val="subscript"/>
          <w:lang w:val="en-US" w:eastAsia="ru-RU"/>
        </w:rPr>
        <w:t>a</w:t>
      </w:r>
      <w:r>
        <w:rPr>
          <w:rFonts w:eastAsia="Times New Roman" w:cs="Times New Roman" w:ascii="Times New Roman" w:hAnsi="Times New Roman"/>
          <w:sz w:val="24"/>
          <w:szCs w:val="24"/>
          <w:lang w:val="en-US" w:eastAsia="ru-RU"/>
        </w:rPr>
        <w:t xml:space="preserve"> = σ</w:t>
      </w:r>
      <w:r>
        <w:rPr>
          <w:rFonts w:eastAsia="Times New Roman" w:cs="Times New Roman" w:ascii="Times New Roman" w:hAnsi="Times New Roman"/>
          <w:sz w:val="24"/>
          <w:szCs w:val="24"/>
          <w:vertAlign w:val="subscript"/>
          <w:lang w:val="en-US" w:eastAsia="ru-RU"/>
        </w:rPr>
        <w:t>jg</w:t>
      </w:r>
      <w:r>
        <w:rPr>
          <w:rFonts w:eastAsia="Times New Roman" w:cs="Times New Roman" w:ascii="Times New Roman" w:hAnsi="Times New Roman"/>
          <w:sz w:val="24"/>
          <w:szCs w:val="24"/>
          <w:lang w:val="en-US" w:eastAsia="ru-RU"/>
        </w:rPr>
        <w:t xml:space="preserve">(1 – </w:t>
      </w:r>
      <w:r>
        <w:rPr>
          <w:rFonts w:eastAsia="Times New Roman" w:cs="Times New Roman" w:ascii="Times New Roman" w:hAnsi="Times New Roman"/>
          <w:sz w:val="24"/>
          <w:szCs w:val="24"/>
          <w:lang w:eastAsia="ru-RU"/>
        </w:rPr>
        <w:t>со</w:t>
      </w:r>
      <w:r>
        <w:rPr>
          <w:rFonts w:eastAsia="Times New Roman" w:cs="Times New Roman" w:ascii="Times New Roman" w:hAnsi="Times New Roman"/>
          <w:sz w:val="24"/>
          <w:szCs w:val="24"/>
          <w:lang w:val="en-US" w:eastAsia="ru-RU"/>
        </w:rPr>
        <w:t>sφ)</w:t>
      </w:r>
    </w:p>
    <w:p>
      <w:pPr>
        <w:pStyle w:val="Normal"/>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where φ – contact angle.</w:t>
      </w:r>
    </w:p>
    <w:p>
      <w:pPr>
        <w:pStyle w:val="Normal"/>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From the Young equation we can derive </w:t>
      </w:r>
    </w:p>
    <w:p>
      <w:pPr>
        <w:pStyle w:val="Normal"/>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val="en-US" w:eastAsia="ru-RU"/>
        </w:rPr>
      </w:pPr>
      <w:r>
        <w:rPr/>
      </w:r>
      <m:oMath xmlns:m="http://schemas.openxmlformats.org/officeDocument/2006/math">
        <m:r>
          <w:rPr>
            <w:rFonts w:ascii="Cambria Math" w:hAnsi="Cambria Math"/>
          </w:rPr>
          <m:t xml:space="preserve">соs</m:t>
        </m:r>
        <m:r>
          <w:rPr>
            <w:rFonts w:ascii="Cambria Math" w:hAnsi="Cambria Math"/>
          </w:rPr>
          <m:t xml:space="preserve">φ</m:t>
        </m:r>
        <m:r>
          <w:rPr>
            <w:rFonts w:ascii="Cambria Math" w:hAnsi="Cambria Math"/>
          </w:rPr>
          <m:t xml:space="preserve">=</m:t>
        </m:r>
        <m:f>
          <m:num>
            <m:r>
              <w:rPr>
                <w:rFonts w:ascii="Cambria Math" w:hAnsi="Cambria Math"/>
              </w:rPr>
              <m:t xml:space="preserve">(</m:t>
            </m:r>
            <m:sSub>
              <m:e>
                <m:r>
                  <w:rPr>
                    <w:rFonts w:ascii="Cambria Math" w:hAnsi="Cambria Math"/>
                  </w:rPr>
                  <m:t xml:space="preserve">σ</m:t>
                </m:r>
              </m:e>
              <m:sub>
                <m:r>
                  <w:rPr>
                    <w:rFonts w:ascii="Cambria Math" w:hAnsi="Cambria Math"/>
                  </w:rPr>
                  <m:t xml:space="preserve">tg</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tj</m:t>
                </m:r>
              </m:sub>
            </m:sSub>
            <m:r>
              <w:rPr>
                <w:rFonts w:ascii="Cambria Math" w:hAnsi="Cambria Math"/>
              </w:rPr>
              <m:t xml:space="preserve">)</m:t>
            </m:r>
          </m:num>
          <m:den>
            <m:sSub>
              <m:e>
                <m:r>
                  <w:rPr>
                    <w:rFonts w:ascii="Cambria Math" w:hAnsi="Cambria Math"/>
                  </w:rPr>
                  <m:t xml:space="preserve">σ</m:t>
                </m:r>
              </m:e>
              <m:sub>
                <m:r>
                  <w:rPr>
                    <w:rFonts w:ascii="Cambria Math" w:hAnsi="Cambria Math"/>
                  </w:rPr>
                  <m:t xml:space="preserve">jg</m:t>
                </m:r>
              </m:sub>
            </m:sSub>
          </m:den>
        </m:f>
      </m:oMath>
      <w:r>
        <w:rPr>
          <w:rFonts w:eastAsia="Times New Roman" w:cs="Times New Roman" w:ascii="Times New Roman" w:hAnsi="Times New Roman"/>
          <w:sz w:val="24"/>
          <w:szCs w:val="24"/>
          <w:lang w:val="en-US" w:eastAsia="ru-RU"/>
        </w:rPr>
        <w:t xml:space="preserve"> </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both"/>
        <w:rPr>
          <w:rFonts w:ascii="Times New Roman" w:hAnsi="Times New Roman" w:eastAsia="Times New Roman" w:cs="Times New Roman"/>
          <w:i/>
          <w:i/>
          <w:sz w:val="24"/>
          <w:szCs w:val="24"/>
          <w:lang w:val="en-US" w:eastAsia="ru-RU"/>
        </w:rPr>
      </w:pPr>
      <w:r>
        <w:rPr>
          <w:rFonts w:eastAsia="Times New Roman" w:cs="Times New Roman" w:ascii="Times New Roman" w:hAnsi="Times New Roman"/>
          <w:sz w:val="24"/>
          <w:szCs w:val="24"/>
          <w:lang w:val="en-US" w:eastAsia="ru-RU"/>
        </w:rPr>
        <w:t>In order to achieve comparability in the assessment of adhesive activity, several bases must meet the conditions σ</w:t>
      </w:r>
      <w:r>
        <w:rPr>
          <w:rFonts w:eastAsia="Times New Roman" w:cs="Times New Roman" w:ascii="Times New Roman" w:hAnsi="Times New Roman"/>
          <w:sz w:val="24"/>
          <w:szCs w:val="24"/>
          <w:vertAlign w:val="subscript"/>
          <w:lang w:val="en-US" w:eastAsia="ru-RU"/>
        </w:rPr>
        <w:t>jg</w:t>
      </w:r>
      <w:r>
        <w:rPr>
          <w:rFonts w:eastAsia="Times New Roman" w:cs="Times New Roman" w:ascii="Times New Roman" w:hAnsi="Times New Roman"/>
          <w:sz w:val="24"/>
          <w:szCs w:val="24"/>
          <w:lang w:val="en-US" w:eastAsia="ru-RU"/>
        </w:rPr>
        <w:t xml:space="preserve"> = </w:t>
      </w:r>
      <w:r>
        <w:rPr>
          <w:rFonts w:eastAsia="Times New Roman" w:cs="Times New Roman" w:ascii="Times New Roman" w:hAnsi="Times New Roman"/>
          <w:sz w:val="24"/>
          <w:szCs w:val="24"/>
          <w:lang w:eastAsia="ru-RU"/>
        </w:rPr>
        <w:t>со</w:t>
      </w:r>
      <w:r>
        <w:rPr>
          <w:rFonts w:eastAsia="Times New Roman" w:cs="Times New Roman" w:ascii="Times New Roman" w:hAnsi="Times New Roman"/>
          <w:sz w:val="24"/>
          <w:szCs w:val="24"/>
          <w:lang w:val="en-US" w:eastAsia="ru-RU"/>
        </w:rPr>
        <w:t xml:space="preserve">nst, then </w:t>
      </w:r>
      <w:r>
        <w:rPr>
          <w:rFonts w:eastAsia="Times New Roman" w:cs="Times New Roman" w:ascii="Times New Roman" w:hAnsi="Times New Roman"/>
          <w:i/>
          <w:sz w:val="24"/>
          <w:szCs w:val="24"/>
          <w:lang w:val="en-US" w:eastAsia="ru-RU"/>
        </w:rPr>
        <w:t>Wa = f(</w:t>
      </w:r>
      <w:r>
        <w:rPr>
          <w:rFonts w:eastAsia="Times New Roman" w:cs="Times New Roman" w:ascii="Times New Roman" w:hAnsi="Times New Roman"/>
          <w:i/>
          <w:sz w:val="24"/>
          <w:szCs w:val="24"/>
          <w:lang w:eastAsia="ru-RU"/>
        </w:rPr>
        <w:t>со</w:t>
      </w:r>
      <w:r>
        <w:rPr>
          <w:rFonts w:eastAsia="Times New Roman" w:cs="Times New Roman" w:ascii="Times New Roman" w:hAnsi="Times New Roman"/>
          <w:i/>
          <w:sz w:val="24"/>
          <w:szCs w:val="24"/>
          <w:lang w:val="en-US" w:eastAsia="ru-RU"/>
        </w:rPr>
        <w:t>sφ).</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In this case, the adhesion work will be a function of one variable – the contact angle. This is achieved by using the same adhesive for all base samples, i.e. the same binder (petroleum pitch).</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For the adhesion to be high enough, the condition must be met:</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2037" w:leader="none"/>
        </w:tabs>
        <w:spacing w:lineRule="auto" w:line="240" w:before="0" w:after="0"/>
        <w:jc w:val="center"/>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σ</w:t>
      </w:r>
      <w:r>
        <w:rPr>
          <w:rFonts w:eastAsia="Times New Roman" w:cs="Times New Roman" w:ascii="Times New Roman" w:hAnsi="Times New Roman"/>
          <w:sz w:val="24"/>
          <w:szCs w:val="24"/>
          <w:vertAlign w:val="subscript"/>
          <w:lang w:val="en-US" w:eastAsia="ru-RU"/>
        </w:rPr>
        <w:t>tg</w:t>
      </w:r>
      <w:r>
        <w:rPr>
          <w:rFonts w:eastAsia="Times New Roman" w:cs="Times New Roman" w:ascii="Times New Roman" w:hAnsi="Times New Roman"/>
          <w:sz w:val="24"/>
          <w:szCs w:val="24"/>
          <w:lang w:val="en-US" w:eastAsia="ru-RU"/>
        </w:rPr>
        <w:t xml:space="preserve"> &gt; σ</w:t>
      </w:r>
      <w:r>
        <w:rPr>
          <w:rFonts w:eastAsia="Times New Roman" w:cs="Times New Roman" w:ascii="Times New Roman" w:hAnsi="Times New Roman"/>
          <w:sz w:val="24"/>
          <w:szCs w:val="24"/>
          <w:vertAlign w:val="subscript"/>
          <w:lang w:val="en-US" w:eastAsia="ru-RU"/>
        </w:rPr>
        <w:t>jg</w:t>
      </w:r>
      <w:r>
        <w:rPr>
          <w:rFonts w:eastAsia="Times New Roman" w:cs="Times New Roman" w:ascii="Times New Roman" w:hAnsi="Times New Roman"/>
          <w:sz w:val="24"/>
          <w:szCs w:val="24"/>
          <w:lang w:val="en-US" w:eastAsia="ru-RU"/>
        </w:rPr>
        <w:t xml:space="preserve"> + σ</w:t>
      </w:r>
      <w:r>
        <w:rPr>
          <w:rFonts w:eastAsia="Times New Roman" w:cs="Times New Roman" w:ascii="Times New Roman" w:hAnsi="Times New Roman"/>
          <w:sz w:val="24"/>
          <w:szCs w:val="24"/>
          <w:vertAlign w:val="subscript"/>
          <w:lang w:val="en-US" w:eastAsia="ru-RU"/>
        </w:rPr>
        <w:t>tj</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When wetting the base surface with a binder </w:t>
      </w:r>
      <w:r>
        <w:rPr/>
      </w:r>
      <m:oMath xmlns:m="http://schemas.openxmlformats.org/officeDocument/2006/math">
        <m:r>
          <w:rPr>
            <w:rFonts w:ascii="Cambria Math" w:hAnsi="Cambria Math"/>
          </w:rPr>
          <m:t xml:space="preserve">соs</m:t>
        </m:r>
        <m:r>
          <w:rPr>
            <w:rFonts w:ascii="Cambria Math" w:hAnsi="Cambria Math"/>
          </w:rPr>
          <m:t xml:space="preserve">φ</m:t>
        </m:r>
        <m:r>
          <w:rPr>
            <w:rFonts w:ascii="Cambria Math" w:hAnsi="Cambria Math"/>
          </w:rPr>
          <m:t xml:space="preserve">&gt;</m:t>
        </m:r>
        <m:r>
          <w:rPr>
            <w:rFonts w:ascii="Cambria Math" w:hAnsi="Cambria Math"/>
          </w:rPr>
          <m:t xml:space="preserve">0</m:t>
        </m:r>
      </m:oMath>
      <w:r>
        <w:rPr>
          <w:rFonts w:eastAsia="Times New Roman" w:cs="Times New Roman" w:ascii="Times New Roman" w:hAnsi="Times New Roman"/>
          <w:sz w:val="24"/>
          <w:szCs w:val="24"/>
          <w:lang w:val="en-US" w:eastAsia="ru-RU"/>
        </w:rPr>
        <w:t xml:space="preserve">, and </w:t>
      </w:r>
      <w:r>
        <w:rPr>
          <w:rFonts w:eastAsia="Times New Roman" w:cs="Times New Roman" w:ascii="Times New Roman" w:hAnsi="Times New Roman"/>
          <w:i/>
          <w:sz w:val="24"/>
          <w:szCs w:val="24"/>
          <w:lang w:eastAsia="ru-RU"/>
        </w:rPr>
        <w:t>φ</w:t>
      </w:r>
      <w:r>
        <w:rPr>
          <w:rFonts w:eastAsia="Times New Roman" w:cs="Times New Roman" w:ascii="Times New Roman" w:hAnsi="Times New Roman"/>
          <w:i/>
          <w:sz w:val="24"/>
          <w:szCs w:val="24"/>
          <w:lang w:val="en-US" w:eastAsia="ru-RU"/>
        </w:rPr>
        <w:t xml:space="preserve"> &lt; 900</w:t>
      </w:r>
      <w:r>
        <w:rPr>
          <w:rFonts w:eastAsia="Times New Roman" w:cs="Times New Roman" w:ascii="Times New Roman" w:hAnsi="Times New Roman"/>
          <w:sz w:val="24"/>
          <w:szCs w:val="24"/>
          <w:lang w:val="en-US" w:eastAsia="ru-RU"/>
        </w:rPr>
        <w:t xml:space="preserve">, in the absence of wetting </w:t>
      </w:r>
      <w:r>
        <w:rPr>
          <w:rFonts w:eastAsia="Times New Roman" w:cs="Times New Roman" w:ascii="Times New Roman" w:hAnsi="Times New Roman"/>
          <w:sz w:val="24"/>
          <w:szCs w:val="24"/>
          <w:lang w:eastAsia="ru-RU"/>
        </w:rPr>
        <w:t>φ</w:t>
      </w:r>
      <w:r>
        <w:rPr>
          <w:rFonts w:eastAsia="Times New Roman" w:cs="Times New Roman" w:ascii="Times New Roman" w:hAnsi="Times New Roman"/>
          <w:sz w:val="24"/>
          <w:szCs w:val="24"/>
          <w:lang w:val="en-US" w:eastAsia="ru-RU"/>
        </w:rPr>
        <w:t xml:space="preserve"> &gt; 900.</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Adhesive interaction phenomena can be attributed to relatively low-temperature processes. The bonds formed in this case are characterized by low interaction energy: 4.2 kJ/mol for Van der Waals forces, 21 ÷ 42 kJ/mol for hydrogen bonds. At the same time, the formation of chemical bonds in the so-called adhesive-substrate "cross-linking" reactions have an interaction energy 15 ÷ 20 times higher and are possible in the process of compaction of the hot briquette mass. Only this type of reaction leads to the formation of the composite structure. </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However, the structure of the contact layer is generated in the process of adhesive interaction, the compaction process (pressing) only completes the previously formed system. The presence of various adhesion defects (unfilled pores, unwetted areas, cracks, air inclusions, etc.) are potential sources of local stress and destruction of the briquette structure.</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Maximum enveloping (wetting) of the base with a binder is the most important task of mixing. Of course, the most favorable course of this process would be the spontaneous entry of the binder into the pores of the base particles. The depth h of spontaneous penetration of the liquid phase into the pores under the action of capillary forces (at a contact angle of wetting </w:t>
      </w:r>
      <w:r>
        <w:rPr>
          <w:rFonts w:eastAsia="Times New Roman" w:cs="Times New Roman" w:ascii="Times New Roman" w:hAnsi="Times New Roman"/>
          <w:sz w:val="24"/>
          <w:szCs w:val="24"/>
          <w:lang w:eastAsia="ru-RU"/>
        </w:rPr>
        <w:t>φ</w:t>
      </w:r>
      <w:r>
        <w:rPr>
          <w:rFonts w:eastAsia="Times New Roman" w:cs="Times New Roman" w:ascii="Times New Roman" w:hAnsi="Times New Roman"/>
          <w:sz w:val="24"/>
          <w:szCs w:val="24"/>
          <w:lang w:val="en-US" w:eastAsia="ru-RU"/>
        </w:rPr>
        <w:t xml:space="preserve"> &lt; 900) is determined by the equation:</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r>
      <m:oMathPara xmlns:m="http://schemas.openxmlformats.org/officeDocument/2006/math">
        <m:oMathParaPr>
          <m:jc m:val="center"/>
        </m:oMathParaPr>
        <m:oMath>
          <m:r>
            <w:rPr>
              <w:rFonts w:ascii="Cambria Math" w:hAnsi="Cambria Math"/>
            </w:rPr>
            <m:t xml:space="preserve">h</m:t>
          </m:r>
          <m:r>
            <w:rPr>
              <w:rFonts w:ascii="Cambria Math" w:hAnsi="Cambria Math"/>
            </w:rPr>
            <m:t xml:space="preserve">=</m:t>
          </m:r>
          <m:f>
            <m:num>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num>
            <m:den>
              <m:r>
                <w:rPr>
                  <w:rFonts w:ascii="Cambria Math" w:hAnsi="Cambria Math"/>
                </w:rPr>
                <m:t xml:space="preserve">ρ</m:t>
              </m:r>
              <m:r>
                <w:rPr>
                  <w:rFonts w:ascii="Cambria Math" w:hAnsi="Cambria Math"/>
                </w:rPr>
                <m:t xml:space="preserve">rg</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where </w:t>
      </w:r>
      <w:r>
        <w:rPr>
          <w:rFonts w:eastAsia="Times New Roman" w:cs="Times New Roman" w:ascii="Times New Roman" w:hAnsi="Times New Roman"/>
          <w:i/>
          <w:sz w:val="24"/>
          <w:szCs w:val="24"/>
          <w:lang w:val="en-US" w:eastAsia="ru-RU"/>
        </w:rPr>
        <w:t>σ</w:t>
      </w:r>
      <w:r>
        <w:rPr>
          <w:rFonts w:eastAsia="Times New Roman" w:cs="Times New Roman" w:ascii="Times New Roman" w:hAnsi="Times New Roman"/>
          <w:i/>
          <w:sz w:val="24"/>
          <w:szCs w:val="24"/>
          <w:vertAlign w:val="subscript"/>
          <w:lang w:val="en-US" w:eastAsia="ru-RU"/>
        </w:rPr>
        <w:t>jg</w:t>
      </w:r>
      <w:r>
        <w:rPr>
          <w:rFonts w:eastAsia="Times New Roman" w:cs="Times New Roman" w:ascii="Times New Roman" w:hAnsi="Times New Roman"/>
          <w:sz w:val="24"/>
          <w:szCs w:val="24"/>
          <w:lang w:val="en-US" w:eastAsia="ru-RU"/>
        </w:rPr>
        <w:t xml:space="preserve"> – surface tension of the binder </w:t>
      </w:r>
      <w:r>
        <w:rPr>
          <w:rFonts w:eastAsia="Times New Roman" w:cs="Times New Roman" w:ascii="Times New Roman" w:hAnsi="Times New Roman"/>
          <w:sz w:val="24"/>
          <w:szCs w:val="24"/>
          <w:lang w:eastAsia="ru-RU"/>
        </w:rPr>
        <w:t>Н</w:t>
      </w:r>
      <w:r>
        <w:rPr>
          <w:rFonts w:eastAsia="Times New Roman" w:cs="Times New Roman" w:ascii="Times New Roman" w:hAnsi="Times New Roman"/>
          <w:sz w:val="24"/>
          <w:szCs w:val="24"/>
          <w:lang w:val="en-US" w:eastAsia="ru-RU"/>
        </w:rPr>
        <w:t>/m;</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i/>
          <w:sz w:val="24"/>
          <w:szCs w:val="24"/>
          <w:lang w:val="en-US" w:eastAsia="ru-RU"/>
        </w:rPr>
        <w:t>r</w:t>
      </w:r>
      <w:r>
        <w:rPr>
          <w:rFonts w:eastAsia="Times New Roman" w:cs="Times New Roman" w:ascii="Times New Roman" w:hAnsi="Times New Roman"/>
          <w:sz w:val="24"/>
          <w:szCs w:val="24"/>
          <w:lang w:val="en-US" w:eastAsia="ru-RU"/>
        </w:rPr>
        <w:t xml:space="preserve"> – pore radius, m;</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kk-KZ" w:eastAsia="ru-RU"/>
        </w:rPr>
      </w:pPr>
      <w:r>
        <w:rPr>
          <w:rFonts w:eastAsia="Times New Roman" w:cs="Times New Roman" w:ascii="Times New Roman" w:hAnsi="Times New Roman"/>
          <w:i/>
          <w:sz w:val="24"/>
          <w:szCs w:val="24"/>
          <w:lang w:val="en-US" w:eastAsia="ru-RU"/>
        </w:rPr>
        <w:t>g</w:t>
      </w:r>
      <w:r>
        <w:rPr>
          <w:rFonts w:eastAsia="Times New Roman" w:cs="Times New Roman" w:ascii="Times New Roman" w:hAnsi="Times New Roman"/>
          <w:sz w:val="24"/>
          <w:szCs w:val="24"/>
          <w:lang w:val="en-US" w:eastAsia="ru-RU"/>
        </w:rPr>
        <w:t xml:space="preserve"> – acceleration of gravity</w:t>
      </w: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sz w:val="24"/>
          <w:szCs w:val="24"/>
          <w:lang w:val="en-US" w:eastAsia="ru-RU"/>
        </w:rPr>
        <w:t>m</w:t>
      </w:r>
      <w:r>
        <w:rPr>
          <w:rFonts w:eastAsia="Times New Roman" w:cs="Times New Roman" w:ascii="Times New Roman" w:hAnsi="Times New Roman"/>
          <w:sz w:val="24"/>
          <w:szCs w:val="24"/>
          <w:lang w:val="kk-KZ" w:eastAsia="ru-RU"/>
        </w:rPr>
        <w:t>/</w:t>
      </w:r>
      <w:r>
        <w:rPr>
          <w:rFonts w:eastAsia="Times New Roman" w:cs="Times New Roman" w:ascii="Times New Roman" w:hAnsi="Times New Roman"/>
          <w:sz w:val="24"/>
          <w:szCs w:val="24"/>
          <w:lang w:val="en-US" w:eastAsia="ru-RU"/>
        </w:rPr>
        <w:t>s</w:t>
      </w:r>
      <w:r>
        <w:rPr>
          <w:rFonts w:eastAsia="Times New Roman" w:cs="Times New Roman" w:ascii="Times New Roman" w:hAnsi="Times New Roman"/>
          <w:sz w:val="24"/>
          <w:szCs w:val="24"/>
          <w:vertAlign w:val="superscript"/>
          <w:lang w:val="kk-KZ" w:eastAsia="ru-RU"/>
        </w:rPr>
        <w:t>2</w:t>
      </w:r>
      <w:r>
        <w:rPr>
          <w:rFonts w:eastAsia="Times New Roman" w:cs="Times New Roman" w:ascii="Times New Roman" w:hAnsi="Times New Roman"/>
          <w:sz w:val="24"/>
          <w:szCs w:val="24"/>
          <w:lang w:val="kk-KZ" w:eastAsia="ru-RU"/>
        </w:rPr>
        <w:t>.</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kk-KZ" w:eastAsia="ru-RU"/>
        </w:rPr>
        <w:t>Using the Poiseuille equation for a laminar flowing liquid of viscosity μ, one can calculate the time τ required for the binder to pass into a capillary of radius r to a depth h. The flow velocity of the liquid w is equal to</w:t>
      </w:r>
      <w:r>
        <w:rPr>
          <w:rFonts w:eastAsia="Times New Roman" w:cs="Times New Roman" w:ascii="Times New Roman" w:hAnsi="Times New Roman"/>
          <w:sz w:val="24"/>
          <w:szCs w:val="24"/>
          <w:lang w:val="en-US" w:eastAsia="ru-RU"/>
        </w:rPr>
        <w:t>:</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w</m:t>
          </m:r>
          <m:r>
            <w:rPr>
              <w:rFonts w:ascii="Cambria Math" w:hAnsi="Cambria Math"/>
            </w:rPr>
            <m:t xml:space="preserve">=</m:t>
          </m:r>
          <m:f>
            <m:num>
              <m:r>
                <w:rPr>
                  <w:rFonts w:ascii="Cambria Math" w:hAnsi="Cambria Math"/>
                </w:rPr>
                <m:t xml:space="preserve">∆</m:t>
              </m:r>
              <m:sSub>
                <m:e>
                  <m:r>
                    <w:rPr>
                      <w:rFonts w:ascii="Cambria Math" w:hAnsi="Cambria Math"/>
                    </w:rPr>
                    <m:t xml:space="preserve">P</m:t>
                  </m:r>
                </m:e>
                <m:sub>
                  <m:r>
                    <w:rPr>
                      <w:rFonts w:ascii="Cambria Math" w:hAnsi="Cambria Math"/>
                    </w:rPr>
                    <m:t xml:space="preserve">к</m:t>
                  </m:r>
                </m:sub>
              </m:sSub>
            </m:num>
            <m:den>
              <m:r>
                <w:rPr>
                  <w:rFonts w:ascii="Cambria Math" w:hAnsi="Cambria Math"/>
                </w:rPr>
                <m:t xml:space="preserve">h</m:t>
              </m:r>
            </m:den>
          </m:f>
          <m:r>
            <w:rPr>
              <w:rFonts w:ascii="Cambria Math" w:hAnsi="Cambria Math"/>
            </w:rPr>
            <m:t xml:space="preserve">∙</m:t>
          </m:r>
          <m:f>
            <m:num>
              <m:sSup>
                <m:e>
                  <m:r>
                    <w:rPr>
                      <w:rFonts w:ascii="Cambria Math" w:hAnsi="Cambria Math"/>
                    </w:rPr>
                    <m:t xml:space="preserve">r</m:t>
                  </m:r>
                </m:e>
                <m:sup>
                  <m:r>
                    <w:rPr>
                      <w:rFonts w:ascii="Cambria Math" w:hAnsi="Cambria Math"/>
                    </w:rPr>
                    <m:t xml:space="preserve">2</m:t>
                  </m:r>
                </m:sup>
              </m:sSup>
            </m:num>
            <m:den>
              <m:r>
                <w:rPr>
                  <w:rFonts w:ascii="Cambria Math" w:hAnsi="Cambria Math"/>
                </w:rPr>
                <m:t xml:space="preserve">8</m:t>
              </m:r>
              <m:r>
                <w:rPr>
                  <w:rFonts w:ascii="Cambria Math" w:hAnsi="Cambria Math"/>
                </w:rPr>
                <m:t xml:space="preserve">μ</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If </w:t>
      </w:r>
      <w:r>
        <w:rPr>
          <w:rFonts w:eastAsia="Times New Roman" w:cs="Times New Roman" w:ascii="Times New Roman" w:hAnsi="Times New Roman"/>
          <w:i/>
          <w:sz w:val="24"/>
          <w:szCs w:val="24"/>
          <w:lang w:eastAsia="ru-RU"/>
        </w:rPr>
        <w:t>τ</w:t>
      </w:r>
      <w:r>
        <w:rPr>
          <w:rFonts w:eastAsia="Times New Roman" w:cs="Times New Roman" w:ascii="Times New Roman" w:hAnsi="Times New Roman"/>
          <w:i/>
          <w:sz w:val="24"/>
          <w:szCs w:val="24"/>
          <w:lang w:val="en-US" w:eastAsia="ru-RU"/>
        </w:rPr>
        <w:t xml:space="preserve"> = h/w</w:t>
      </w:r>
      <w:r>
        <w:rPr>
          <w:rFonts w:eastAsia="Times New Roman" w:cs="Times New Roman" w:ascii="Times New Roman" w:hAnsi="Times New Roman"/>
          <w:sz w:val="24"/>
          <w:szCs w:val="24"/>
          <w:lang w:val="en-US" w:eastAsia="ru-RU"/>
        </w:rPr>
        <w:t xml:space="preserve"> the value of capillary pressure from the Laplace equation:</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m:t>
          </m:r>
          <m:sSub>
            <m:e>
              <m:r>
                <w:rPr>
                  <w:rFonts w:ascii="Cambria Math" w:hAnsi="Cambria Math"/>
                </w:rPr>
                <m:t xml:space="preserve">P</m:t>
              </m:r>
            </m:e>
            <m:sub>
              <m:r>
                <w:rPr>
                  <w:rFonts w:ascii="Cambria Math" w:hAnsi="Cambria Math"/>
                </w:rPr>
                <m:t xml:space="preserve">к</m:t>
              </m:r>
            </m:sub>
          </m:sSub>
          <m:r>
            <w:rPr>
              <w:rFonts w:ascii="Cambria Math" w:hAnsi="Cambria Math"/>
            </w:rPr>
            <m:t xml:space="preserve">=</m:t>
          </m:r>
          <m:f>
            <m:num>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num>
            <m:den>
              <m:r>
                <w:rPr>
                  <w:rFonts w:ascii="Cambria Math" w:hAnsi="Cambria Math"/>
                </w:rPr>
                <m:t xml:space="preserve">r</m:t>
              </m:r>
            </m:den>
          </m:f>
          <m:r>
            <w:rPr>
              <w:rFonts w:ascii="Cambria Math" w:hAnsi="Cambria Math"/>
            </w:rPr>
            <m:t xml:space="preserve">,</m:t>
          </m:r>
          <m:r>
            <w:rPr>
              <w:rFonts w:ascii="Cambria Math" w:hAnsi="Cambria Math"/>
            </w:rPr>
            <m:t xml:space="preserve">then</m:t>
          </m:r>
          <m:r>
            <w:rPr>
              <w:rFonts w:ascii="Cambria Math" w:hAnsi="Cambria Math"/>
            </w:rPr>
            <m:t xml:space="preserve">τ</m:t>
          </m:r>
          <m:r>
            <w:rPr>
              <w:rFonts w:ascii="Cambria Math" w:hAnsi="Cambria Math"/>
            </w:rPr>
            <m:t xml:space="preserve">=</m:t>
          </m:r>
          <m:f>
            <m:num>
              <m:r>
                <w:rPr>
                  <w:rFonts w:ascii="Cambria Math" w:hAnsi="Cambria Math"/>
                </w:rPr>
                <m:t xml:space="preserve">4</m:t>
              </m:r>
              <m:sSup>
                <m:e>
                  <m:r>
                    <w:rPr>
                      <w:rFonts w:ascii="Cambria Math" w:hAnsi="Cambria Math"/>
                    </w:rPr>
                    <m:t xml:space="preserve">h</m:t>
                  </m:r>
                </m:e>
                <m:sup>
                  <m:r>
                    <w:rPr>
                      <w:rFonts w:ascii="Cambria Math" w:hAnsi="Cambria Math"/>
                    </w:rPr>
                    <m:t xml:space="preserve">2</m:t>
                  </m:r>
                </m:sup>
              </m:sSup>
              <m:r>
                <w:rPr>
                  <w:rFonts w:ascii="Cambria Math" w:hAnsi="Cambria Math"/>
                </w:rPr>
                <m:t xml:space="preserve">μ</m:t>
              </m:r>
            </m:num>
            <m:den>
              <m:r>
                <w:rPr>
                  <w:rFonts w:ascii="Cambria Math" w:hAnsi="Cambria Math"/>
                </w:rPr>
                <m:t xml:space="preserve">r</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cosφ</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Calculations using these formulas show that the process of spontaneous impregnation of the base with a binder is very long (up to 4 hours or more). This process can be accelerated by almost an order of magnitude when the contact angle is reduced from 800 to 100.</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2832100" cy="2773680"/>
            <wp:effectExtent l="0" t="0" r="0" b="0"/>
            <wp:docPr id="16" name="Image2" descr="Изображение выглядит как линия, диаграмма, График, ска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Изображение выглядит как линия, диаграмма, График, скат&#10;&#10;Контент, сгенерированный ИИ, может содержать ошибки."/>
                    <pic:cNvPicPr>
                      <a:picLocks noChangeAspect="1" noChangeArrowheads="1"/>
                    </pic:cNvPicPr>
                  </pic:nvPicPr>
                  <pic:blipFill>
                    <a:blip r:embed="rId28"/>
                    <a:stretch>
                      <a:fillRect/>
                    </a:stretch>
                  </pic:blipFill>
                  <pic:spPr bwMode="auto">
                    <a:xfrm>
                      <a:off x="0" y="0"/>
                      <a:ext cx="2832100" cy="2773680"/>
                    </a:xfrm>
                    <a:prstGeom prst="rect">
                      <a:avLst/>
                    </a:prstGeom>
                    <a:noFill/>
                  </pic:spPr>
                </pic:pic>
              </a:graphicData>
            </a:graphic>
          </wp:inline>
        </w:drawing>
      </w:r>
    </w:p>
    <w:p>
      <w:pPr>
        <w:pStyle w:val="Normal"/>
        <w:tabs>
          <w:tab w:val="clear" w:pos="708"/>
          <w:tab w:val="left" w:pos="709" w:leader="none"/>
        </w:tabs>
        <w:spacing w:lineRule="auto" w:line="240" w:before="0" w:after="0"/>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 xml:space="preserve">Fig. 6 - Dependence of the height (row 1) and time (row 2) of the capillary rise of the binder </w:t>
      </w:r>
    </w:p>
    <w:p>
      <w:pPr>
        <w:pStyle w:val="Normal"/>
        <w:tabs>
          <w:tab w:val="clear" w:pos="708"/>
          <w:tab w:val="left" w:pos="709" w:leader="none"/>
        </w:tabs>
        <w:spacing w:lineRule="auto" w:line="240" w:before="0" w:after="0"/>
        <w:ind w:firstLine="709"/>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on the pore diameter</w:t>
      </w:r>
    </w:p>
    <w:p>
      <w:pPr>
        <w:pStyle w:val="Normal"/>
        <w:tabs>
          <w:tab w:val="clear" w:pos="708"/>
          <w:tab w:val="left" w:pos="709" w:leader="none"/>
        </w:tabs>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2635250" cy="3073400"/>
            <wp:effectExtent l="0" t="0" r="0" b="0"/>
            <wp:docPr id="17" name="Image3" descr="Изображение выглядит как линия, диаграмма, График, ска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Изображение выглядит как линия, диаграмма, График, скат&#10;&#10;Контент, сгенерированный ИИ, может содержать ошибки."/>
                    <pic:cNvPicPr>
                      <a:picLocks noChangeAspect="1" noChangeArrowheads="1"/>
                    </pic:cNvPicPr>
                  </pic:nvPicPr>
                  <pic:blipFill>
                    <a:blip r:embed="rId29"/>
                    <a:stretch>
                      <a:fillRect/>
                    </a:stretch>
                  </pic:blipFill>
                  <pic:spPr bwMode="auto">
                    <a:xfrm>
                      <a:off x="0" y="0"/>
                      <a:ext cx="2635250" cy="3073400"/>
                    </a:xfrm>
                    <a:prstGeom prst="rect">
                      <a:avLst/>
                    </a:prstGeom>
                    <a:noFill/>
                  </pic:spPr>
                </pic:pic>
              </a:graphicData>
            </a:graphic>
          </wp:inline>
        </w:drawing>
      </w:r>
    </w:p>
    <w:p>
      <w:pPr>
        <w:pStyle w:val="Normal"/>
        <w:tabs>
          <w:tab w:val="clear" w:pos="708"/>
          <w:tab w:val="left" w:pos="709" w:leader="none"/>
        </w:tabs>
        <w:spacing w:lineRule="auto" w:line="240" w:before="0" w:after="0"/>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 xml:space="preserve">Fig. 7 - Dependence of the height (1) and time (2) of the capillary rise of the binder on the wetting </w:t>
      </w:r>
    </w:p>
    <w:p>
      <w:pPr>
        <w:pStyle w:val="Normal"/>
        <w:tabs>
          <w:tab w:val="clear" w:pos="708"/>
          <w:tab w:val="left" w:pos="709" w:leader="none"/>
        </w:tabs>
        <w:spacing w:lineRule="auto" w:line="240" w:before="0" w:after="0"/>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angle of the base by the binder</w:t>
      </w:r>
    </w:p>
    <w:p>
      <w:pPr>
        <w:pStyle w:val="Normal"/>
        <w:tabs>
          <w:tab w:val="clear" w:pos="708"/>
          <w:tab w:val="left" w:pos="709" w:leader="none"/>
        </w:tabs>
        <w:spacing w:lineRule="auto" w:line="240" w:before="0" w:after="0"/>
        <w:jc w:val="center"/>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Pores up to 0.2 mm are completely filled with the binder due to capillary forces (taking into account the maximum grain size of the base of 1.2 mm). It should be taken into account, however, that in the case of a dead-end pore (the mixture borders the walls of the molding tooling), the action of the capillary forces will be inhibited due to the counterpressure created in the pore itself. If in a pore of length l</w:t>
      </w:r>
      <w:r>
        <w:rPr>
          <w:rFonts w:eastAsia="Times New Roman" w:cs="Times New Roman" w:ascii="Times New Roman" w:hAnsi="Times New Roman"/>
          <w:sz w:val="24"/>
          <w:szCs w:val="24"/>
          <w:vertAlign w:val="subscript"/>
          <w:lang w:val="en-US" w:eastAsia="ru-RU"/>
        </w:rPr>
        <w:t>0</w:t>
      </w:r>
      <w:r>
        <w:rPr>
          <w:rFonts w:eastAsia="Times New Roman" w:cs="Times New Roman" w:ascii="Times New Roman" w:hAnsi="Times New Roman"/>
          <w:sz w:val="24"/>
          <w:szCs w:val="24"/>
          <w:lang w:val="en-US" w:eastAsia="ru-RU"/>
        </w:rPr>
        <w:t xml:space="preserve"> part of its length l is occupied by the binder, then in the free part the air pressure will be</w:t>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Р</m:t>
              </m:r>
            </m:e>
            <m:sup>
              <m:r>
                <w:rPr>
                  <w:rFonts w:ascii="Cambria Math" w:hAnsi="Cambria Math"/>
                </w:rPr>
                <m:t xml:space="preserve">1</m:t>
              </m:r>
            </m:sup>
          </m:sSup>
          <m:r>
            <w:rPr>
              <w:rFonts w:ascii="Cambria Math" w:hAnsi="Cambria Math"/>
            </w:rPr>
            <m:t xml:space="preserve">=</m:t>
          </m:r>
          <m:f>
            <m:num>
              <m:sSub>
                <m:e>
                  <m:r>
                    <w:rPr>
                      <w:rFonts w:ascii="Cambria Math" w:hAnsi="Cambria Math"/>
                    </w:rPr>
                    <m:t xml:space="preserve">l</m:t>
                  </m:r>
                </m:e>
                <m:sub>
                  <m:r>
                    <w:rPr>
                      <w:rFonts w:ascii="Cambria Math" w:hAnsi="Cambria Math"/>
                    </w:rPr>
                    <m:t xml:space="preserve">0</m:t>
                  </m:r>
                </m:sub>
              </m:sSub>
            </m:num>
            <m:den>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r>
                <w:rPr>
                  <w:rFonts w:ascii="Cambria Math" w:hAnsi="Cambria Math"/>
                </w:rPr>
                <m:t xml:space="preserve">l</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condition of equilibrium of the capillary process will be equality</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Р</m:t>
              </m:r>
            </m:e>
            <m:sup>
              <m:r>
                <w:rPr>
                  <w:rFonts w:ascii="Cambria Math" w:hAnsi="Cambria Math"/>
                </w:rPr>
                <m:t xml:space="preserve">1</m:t>
              </m:r>
            </m:sup>
          </m:sSup>
          <m:r>
            <w:rPr>
              <w:rFonts w:ascii="Cambria Math" w:hAnsi="Cambria Math"/>
            </w:rPr>
            <m:t xml:space="preserve">=</m:t>
          </m:r>
          <m:r>
            <w:rPr>
              <w:rFonts w:ascii="Cambria Math" w:hAnsi="Cambria Math"/>
            </w:rPr>
            <m:t xml:space="preserve">∆</m:t>
          </m:r>
          <m:sSup>
            <m:e>
              <m:sSub>
                <m:e>
                  <m:r>
                    <w:rPr>
                      <w:rFonts w:ascii="Cambria Math" w:hAnsi="Cambria Math"/>
                    </w:rPr>
                    <m:t xml:space="preserve">Р</m:t>
                  </m:r>
                </m:e>
                <m:sub>
                  <m:r>
                    <w:rPr>
                      <w:rFonts w:ascii="Cambria Math" w:hAnsi="Cambria Math"/>
                    </w:rPr>
                    <m:t xml:space="preserve">к</m:t>
                  </m:r>
                </m:sub>
              </m:sSub>
            </m:e>
            <m:sup/>
          </m:sSup>
          <m:f>
            <m:num>
              <m:sSub>
                <m:e>
                  <m:r>
                    <w:rPr>
                      <w:rFonts w:ascii="Cambria Math" w:hAnsi="Cambria Math"/>
                    </w:rPr>
                    <m:t xml:space="preserve">l</m:t>
                  </m:r>
                </m:e>
                <m:sub>
                  <m:r>
                    <w:rPr>
                      <w:rFonts w:ascii="Cambria Math" w:hAnsi="Cambria Math"/>
                    </w:rPr>
                    <m:t xml:space="preserve">0</m:t>
                  </m:r>
                </m:sub>
              </m:sSub>
            </m:num>
            <m:den>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r>
                <w:rPr>
                  <w:rFonts w:ascii="Cambria Math" w:hAnsi="Cambria Math"/>
                </w:rPr>
                <m:t xml:space="preserve">l</m:t>
              </m:r>
            </m:den>
          </m:f>
          <m:r>
            <w:rPr>
              <w:rFonts w:ascii="Cambria Math" w:hAnsi="Cambria Math"/>
            </w:rPr>
            <m:t xml:space="preserve">=</m:t>
          </m:r>
          <m:f>
            <m:num>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num>
            <m:den>
              <m:r>
                <w:rPr>
                  <w:rFonts w:ascii="Cambria Math" w:hAnsi="Cambria Math"/>
                </w:rPr>
                <m:t xml:space="preserve">r</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Where does the depth of penetration of the binder into the dead-end pore under the action of capillary forces amount to</w:t>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l</m:t>
          </m:r>
          <m:r>
            <w:rPr>
              <w:rFonts w:ascii="Cambria Math" w:hAnsi="Cambria Math"/>
            </w:rPr>
            <m:t xml:space="preserve">=</m:t>
          </m:r>
          <m:sSub>
            <m:e>
              <m:r>
                <w:rPr>
                  <w:rFonts w:ascii="Cambria Math" w:hAnsi="Cambria Math"/>
                </w:rPr>
                <m:t xml:space="preserve">l</m:t>
              </m:r>
            </m:e>
            <m:sub>
              <m:r>
                <w:rPr>
                  <w:rFonts w:ascii="Cambria Math" w:hAnsi="Cambria Math"/>
                </w:rPr>
                <m:t xml:space="preserve">0</m:t>
              </m:r>
            </m:sub>
          </m:sSub>
          <m:d>
            <m:dPr>
              <m:begChr m:val="("/>
              <m:endChr m:val=")"/>
            </m:dPr>
            <m:e>
              <m:f>
                <m:num>
                  <m:r>
                    <w:rPr>
                      <w:rFonts w:ascii="Cambria Math" w:hAnsi="Cambria Math"/>
                    </w:rPr>
                    <m:t xml:space="preserve">1</m:t>
                  </m:r>
                  <m:r>
                    <w:rPr>
                      <w:rFonts w:ascii="Cambria Math" w:hAnsi="Cambria Math"/>
                    </w:rPr>
                    <m:t xml:space="preserve">−</m:t>
                  </m:r>
                  <m:r>
                    <w:rPr>
                      <w:rFonts w:ascii="Cambria Math" w:hAnsi="Cambria Math"/>
                    </w:rPr>
                    <m:t xml:space="preserve">r</m:t>
                  </m:r>
                </m:num>
                <m:den>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den>
              </m:f>
            </m:e>
          </m:d>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That is, it is determined by the surface tension of the binder, the wetting angle, the radius and length of the pores. It is obvious that for maximum filling of the pores it is necessary</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d>
            <m:dPr>
              <m:begChr m:val="("/>
              <m:endChr m:val=")"/>
            </m:dPr>
            <m:e>
              <m:f>
                <m:num>
                  <m:r>
                    <w:rPr>
                      <w:rFonts w:ascii="Cambria Math" w:hAnsi="Cambria Math"/>
                    </w:rPr>
                    <m:t xml:space="preserve">1</m:t>
                  </m:r>
                  <m:r>
                    <w:rPr>
                      <w:rFonts w:ascii="Cambria Math" w:hAnsi="Cambria Math"/>
                    </w:rPr>
                    <m:t xml:space="preserve">−</m:t>
                  </m:r>
                  <m:r>
                    <w:rPr>
                      <w:rFonts w:ascii="Cambria Math" w:hAnsi="Cambria Math"/>
                    </w:rPr>
                    <m:t xml:space="preserve">r</m:t>
                  </m:r>
                </m:num>
                <m:den>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den>
              </m:f>
            </m:e>
          </m:d>
          <m:r>
            <w:rPr>
              <w:rFonts w:ascii="Cambria Math" w:hAnsi="Cambria Math"/>
            </w:rPr>
            <m:t xml:space="preserve">→</m:t>
          </m:r>
          <m:r>
            <w:rPr>
              <w:rFonts w:ascii="Cambria Math" w:hAnsi="Cambria Math"/>
            </w:rPr>
            <m:t xml:space="preserve">1</m:t>
          </m:r>
          <m:r>
            <w:rPr>
              <w:rFonts w:ascii="Cambria Math" w:hAnsi="Cambria Math"/>
            </w:rPr>
            <m:t xml:space="preserve">∨</m:t>
          </m:r>
          <m:d>
            <m:dPr>
              <m:begChr m:val="("/>
              <m:endChr m:val=")"/>
            </m:dPr>
            <m:e>
              <m:f>
                <m:num>
                  <m:r>
                    <w:rPr>
                      <w:rFonts w:ascii="Cambria Math" w:hAnsi="Cambria Math"/>
                    </w:rPr>
                    <m:t xml:space="preserve">r</m:t>
                  </m:r>
                </m:num>
                <m:den>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den>
              </m:f>
            </m:e>
          </m:d>
          <m:r>
            <w:rPr>
              <w:rFonts w:ascii="Cambria Math" w:hAnsi="Cambria Math"/>
            </w:rPr>
            <m:t xml:space="preserve">→</m:t>
          </m:r>
          <m:r>
            <w:rPr>
              <w:rFonts w:ascii="Cambria Math" w:hAnsi="Cambria Math"/>
            </w:rPr>
            <m:t xml:space="preserve">0</m:t>
          </m:r>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For pores, this condition is satisfied when </w:t>
      </w:r>
      <w:r>
        <w:rPr>
          <w:rFonts w:eastAsia="Times New Roman" w:cs="Times New Roman" w:ascii="Times New Roman" w:hAnsi="Times New Roman"/>
          <w:sz w:val="24"/>
          <w:szCs w:val="24"/>
          <w:lang w:eastAsia="ru-RU"/>
        </w:rPr>
        <w:t>φ</w:t>
      </w:r>
      <w:r>
        <w:rPr>
          <w:rFonts w:eastAsia="Times New Roman" w:cs="Times New Roman" w:ascii="Times New Roman" w:hAnsi="Times New Roman"/>
          <w:sz w:val="24"/>
          <w:szCs w:val="24"/>
          <w:lang w:val="en-US" w:eastAsia="ru-RU"/>
        </w:rPr>
        <w:t xml:space="preserve"> → 0, σ</w:t>
      </w:r>
      <w:r>
        <w:rPr>
          <w:rFonts w:eastAsia="Times New Roman" w:cs="Times New Roman" w:ascii="Times New Roman" w:hAnsi="Times New Roman"/>
          <w:sz w:val="24"/>
          <w:szCs w:val="24"/>
          <w:vertAlign w:val="subscript"/>
          <w:lang w:val="en-US" w:eastAsia="ru-RU"/>
        </w:rPr>
        <w:t>jg</w:t>
      </w:r>
      <w:r>
        <w:rPr>
          <w:rFonts w:eastAsia="Times New Roman" w:cs="Times New Roman" w:ascii="Times New Roman" w:hAnsi="Times New Roman"/>
          <w:sz w:val="24"/>
          <w:szCs w:val="24"/>
          <w:lang w:val="en-US" w:eastAsia="ru-RU"/>
        </w:rPr>
        <w:t xml:space="preserve"> → max. In real mixers, these conditions are achieved by additional pressure </w:t>
      </w:r>
      <w:r>
        <w:rPr>
          <w:rFonts w:eastAsia="Times New Roman" w:cs="Times New Roman" w:ascii="Times New Roman" w:hAnsi="Times New Roman"/>
          <w:sz w:val="24"/>
          <w:szCs w:val="24"/>
          <w:lang w:eastAsia="ru-RU"/>
        </w:rPr>
        <w:t>Δ</w:t>
      </w:r>
      <w:r>
        <w:rPr>
          <w:rFonts w:eastAsia="Times New Roman" w:cs="Times New Roman" w:ascii="Times New Roman" w:hAnsi="Times New Roman"/>
          <w:sz w:val="24"/>
          <w:szCs w:val="24"/>
          <w:lang w:val="en-US" w:eastAsia="ru-RU"/>
        </w:rPr>
        <w:t>P created by the screw turns or mixer blades. In this case, the total pressure in the capillary will be</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val="en-US" w:eastAsia="ru-RU"/>
        </w:rPr>
      </w:pPr>
      <w:r>
        <w:rPr>
          <w:rFonts w:eastAsia="Times New Roman" w:cs="Times New Roman" w:ascii="Times New Roman" w:hAnsi="Times New Roman"/>
          <w:i/>
          <w:sz w:val="24"/>
          <w:szCs w:val="24"/>
          <w:lang w:eastAsia="ru-RU"/>
        </w:rPr>
        <w:t>Р</w:t>
      </w:r>
      <w:r>
        <w:rPr>
          <w:rFonts w:eastAsia="Times New Roman" w:cs="Times New Roman" w:ascii="Times New Roman" w:hAnsi="Times New Roman"/>
          <w:i/>
          <w:sz w:val="24"/>
          <w:szCs w:val="24"/>
          <w:lang w:val="en-US" w:eastAsia="ru-RU"/>
        </w:rPr>
        <w:t xml:space="preserve">= </w:t>
      </w:r>
      <w:r>
        <w:rPr>
          <w:rFonts w:eastAsia="Times New Roman" w:cs="Times New Roman" w:ascii="Times New Roman" w:hAnsi="Times New Roman"/>
          <w:i/>
          <w:sz w:val="24"/>
          <w:szCs w:val="24"/>
          <w:lang w:eastAsia="ru-RU"/>
        </w:rPr>
        <w:t>ΔРк</w:t>
      </w:r>
      <w:r>
        <w:rPr>
          <w:rFonts w:eastAsia="Times New Roman" w:cs="Times New Roman" w:ascii="Times New Roman" w:hAnsi="Times New Roman"/>
          <w:i/>
          <w:sz w:val="24"/>
          <w:szCs w:val="24"/>
          <w:lang w:val="en-US" w:eastAsia="ru-RU"/>
        </w:rPr>
        <w:t xml:space="preserve">+ </w:t>
      </w:r>
      <w:r>
        <w:rPr>
          <w:rFonts w:eastAsia="Times New Roman" w:cs="Times New Roman" w:ascii="Times New Roman" w:hAnsi="Times New Roman"/>
          <w:i/>
          <w:sz w:val="24"/>
          <w:szCs w:val="24"/>
          <w:lang w:eastAsia="ru-RU"/>
        </w:rPr>
        <w:t>ΔР</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If the value of P is insufficient to squeeze air out of a dead-end pore, it may remain unfilled even in the finished briquette. The nature of filling a narrowing-expanding pore connected by a neck is somewhat different. In the real structure of the base, this geometry of pores is more common than pores of the correct geometric shape.</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2978150" cy="1240155"/>
            <wp:effectExtent l="0" t="0" r="0" b="0"/>
            <wp:docPr id="18" name="Image4" descr="Изображение выглядит как линия,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Изображение выглядит как линия, диаграмма, График&#10;&#10;Контент, сгенерированный ИИ, может содержать ошибки."/>
                    <pic:cNvPicPr>
                      <a:picLocks noChangeAspect="1" noChangeArrowheads="1"/>
                    </pic:cNvPicPr>
                  </pic:nvPicPr>
                  <pic:blipFill>
                    <a:blip r:embed="rId30"/>
                    <a:stretch>
                      <a:fillRect/>
                    </a:stretch>
                  </pic:blipFill>
                  <pic:spPr bwMode="auto">
                    <a:xfrm>
                      <a:off x="0" y="0"/>
                      <a:ext cx="2978150" cy="1240155"/>
                    </a:xfrm>
                    <a:prstGeom prst="rect">
                      <a:avLst/>
                    </a:prstGeom>
                    <a:noFill/>
                  </pic:spPr>
                </pic:pic>
              </a:graphicData>
            </a:graphic>
          </wp:inline>
        </w:drawing>
      </w:r>
    </w:p>
    <w:p>
      <w:pPr>
        <w:pStyle w:val="Normal"/>
        <w:tabs>
          <w:tab w:val="clear" w:pos="708"/>
          <w:tab w:val="left" w:pos="709" w:leader="none"/>
        </w:tabs>
        <w:spacing w:lineRule="auto" w:line="240" w:before="0" w:after="0"/>
        <w:ind w:firstLine="709"/>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jc w:val="center"/>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Figure 8 − Schematic of a narrowing - expanding pore</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pressure of the binder in this case is also determined by the Laplace equation. In a narrowing drop, the radius of curvature of the meniscus R, will be equal to</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m:t>
          </m:r>
          <m:f>
            <m:num>
              <m:r>
                <w:rPr>
                  <w:rFonts w:ascii="Cambria Math" w:hAnsi="Cambria Math"/>
                </w:rPr>
                <m:t xml:space="preserve">r</m:t>
              </m:r>
            </m:num>
            <m:den>
              <m:r>
                <w:rPr>
                  <w:rFonts w:ascii="Cambria Math" w:hAnsi="Cambria Math"/>
                </w:rPr>
                <m:t xml:space="preserve">соs</m:t>
              </m:r>
              <m:r>
                <w:rPr>
                  <w:rFonts w:ascii="Cambria Math" w:hAnsi="Cambria Math"/>
                </w:rPr>
                <m:t xml:space="preserve">(</m:t>
              </m:r>
              <m:r>
                <w:rPr>
                  <w:rFonts w:ascii="Cambria Math" w:hAnsi="Cambria Math"/>
                </w:rPr>
                <m:t xml:space="preserve">φ</m:t>
              </m:r>
              <m:r>
                <w:rPr>
                  <w:rFonts w:ascii="Cambria Math" w:hAnsi="Cambria Math"/>
                </w:rPr>
                <m:t xml:space="preserve">+</m:t>
              </m:r>
              <m:r>
                <w:rPr>
                  <w:rFonts w:ascii="Cambria Math" w:hAnsi="Cambria Math"/>
                </w:rPr>
                <m:t xml:space="preserve">∝</m:t>
              </m:r>
              <m:r>
                <w:rPr>
                  <w:rFonts w:ascii="Cambria Math" w:hAnsi="Cambria Math"/>
                </w:rPr>
                <m:t xml:space="preserve">)</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In the expanding part, the angle </w:t>
      </w:r>
      <w:r>
        <w:rPr>
          <w:rFonts w:eastAsia="Times New Roman" w:cs="Times New Roman" w:ascii="Times New Roman" w:hAnsi="Times New Roman"/>
          <w:sz w:val="24"/>
          <w:szCs w:val="24"/>
          <w:lang w:eastAsia="ru-RU"/>
        </w:rPr>
        <w:t>α</w:t>
      </w:r>
      <w:r>
        <w:rPr>
          <w:rFonts w:eastAsia="Times New Roman" w:cs="Times New Roman" w:ascii="Times New Roman" w:hAnsi="Times New Roman"/>
          <w:sz w:val="24"/>
          <w:szCs w:val="24"/>
          <w:lang w:val="en-US" w:eastAsia="ru-RU"/>
        </w:rPr>
        <w:t xml:space="preserve"> has a minus sign. Accordingly, the capillary pressure in the converging (+</w:t>
      </w:r>
      <w:r>
        <w:rPr>
          <w:rFonts w:eastAsia="Times New Roman" w:cs="Times New Roman" w:ascii="Times New Roman" w:hAnsi="Times New Roman"/>
          <w:sz w:val="24"/>
          <w:szCs w:val="24"/>
          <w:lang w:eastAsia="ru-RU"/>
        </w:rPr>
        <w:t>α</w:t>
      </w:r>
      <w:r>
        <w:rPr>
          <w:rFonts w:eastAsia="Times New Roman" w:cs="Times New Roman" w:ascii="Times New Roman" w:hAnsi="Times New Roman"/>
          <w:sz w:val="24"/>
          <w:szCs w:val="24"/>
          <w:lang w:val="en-US" w:eastAsia="ru-RU"/>
        </w:rPr>
        <w:t>) and expanding (−</w:t>
      </w:r>
      <w:r>
        <w:rPr>
          <w:rFonts w:eastAsia="Times New Roman" w:cs="Times New Roman" w:ascii="Times New Roman" w:hAnsi="Times New Roman"/>
          <w:sz w:val="24"/>
          <w:szCs w:val="24"/>
          <w:lang w:eastAsia="ru-RU"/>
        </w:rPr>
        <w:t>α</w:t>
      </w:r>
      <w:r>
        <w:rPr>
          <w:rFonts w:eastAsia="Times New Roman" w:cs="Times New Roman" w:ascii="Times New Roman" w:hAnsi="Times New Roman"/>
          <w:sz w:val="24"/>
          <w:szCs w:val="24"/>
          <w:lang w:val="en-US" w:eastAsia="ru-RU"/>
        </w:rPr>
        <w:t>) parts will be</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P</m:t>
          </m:r>
          <m:r>
            <w:rPr>
              <w:rFonts w:ascii="Cambria Math" w:hAnsi="Cambria Math"/>
            </w:rPr>
            <m:t xml:space="preserve">к</m:t>
          </m:r>
          <m:r>
            <w:rPr>
              <w:rFonts w:ascii="Cambria Math" w:hAnsi="Cambria Math"/>
            </w:rPr>
            <m:t xml:space="preserve">=</m:t>
          </m:r>
          <m:f>
            <m:num>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m:t>
              </m:r>
              <m:r>
                <w:rPr>
                  <w:rFonts w:ascii="Cambria Math" w:hAnsi="Cambria Math"/>
                </w:rPr>
                <m:t xml:space="preserve">φ</m:t>
              </m:r>
              <m:r>
                <w:rPr>
                  <w:rFonts w:ascii="Cambria Math" w:hAnsi="Cambria Math"/>
                </w:rPr>
                <m:t xml:space="preserve">±</m:t>
              </m:r>
              <m:r>
                <w:rPr>
                  <w:rFonts w:ascii="Cambria Math" w:hAnsi="Cambria Math"/>
                </w:rPr>
                <m:t xml:space="preserve">α</m:t>
              </m:r>
              <m:r>
                <w:rPr>
                  <w:rFonts w:ascii="Cambria Math" w:hAnsi="Cambria Math"/>
                </w:rPr>
                <m:t xml:space="preserve">)</m:t>
              </m:r>
            </m:num>
            <m:den>
              <m:r>
                <w:rPr>
                  <w:rFonts w:ascii="Cambria Math" w:hAnsi="Cambria Math"/>
                </w:rPr>
                <m:t xml:space="preserve">r</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In the connecting neck</w:t>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P</m:t>
          </m:r>
          <m:r>
            <w:rPr>
              <w:rFonts w:ascii="Cambria Math" w:hAnsi="Cambria Math"/>
            </w:rPr>
            <m:t xml:space="preserve">к</m:t>
          </m:r>
          <m:r>
            <w:rPr>
              <w:rFonts w:ascii="Cambria Math" w:hAnsi="Cambria Math"/>
            </w:rPr>
            <m:t xml:space="preserve">=</m:t>
          </m:r>
          <m:f>
            <m:num>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num>
            <m:den>
              <m:r>
                <w:rPr>
                  <w:rFonts w:ascii="Cambria Math" w:hAnsi="Cambria Math"/>
                </w:rPr>
                <m:t xml:space="preserve">r</m:t>
              </m:r>
            </m:den>
          </m:f>
        </m:oMath>
      </m:oMathPara>
    </w:p>
    <w:p>
      <w:pPr>
        <w:pStyle w:val="Normal"/>
        <w:spacing w:lineRule="auto" w:line="240" w:before="0" w:after="0"/>
        <w:ind w:firstLine="709"/>
        <w:jc w:val="both"/>
        <w:rPr>
          <w:rFonts w:ascii="Times New Roman" w:hAnsi="Times New Roman" w:eastAsia="Times New Roman" w:cs="Times New Roman"/>
          <w:i/>
          <w:i/>
          <w:sz w:val="24"/>
          <w:szCs w:val="24"/>
          <w:lang w:eastAsia="ru-RU"/>
        </w:rPr>
      </w:pPr>
      <w:r>
        <w:rPr>
          <w:rFonts w:eastAsia="Times New Roman" w:cs="Times New Roman" w:ascii="Times New Roman" w:hAnsi="Times New Roman"/>
          <w:i/>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The mixing process takes place in a temperature range 140 ÷ 180 </w:t>
      </w:r>
      <w:r>
        <w:rPr>
          <w:rFonts w:eastAsia="Times New Roman" w:cs="Times New Roman" w:ascii="Times New Roman" w:hAnsi="Times New Roman"/>
          <w:sz w:val="24"/>
          <w:szCs w:val="24"/>
          <w:vertAlign w:val="superscript"/>
          <w:lang w:val="en-US" w:eastAsia="ru-RU"/>
        </w:rPr>
        <w:t>0</w:t>
      </w:r>
      <w:r>
        <w:rPr>
          <w:rFonts w:eastAsia="Times New Roman" w:cs="Times New Roman" w:ascii="Times New Roman" w:hAnsi="Times New Roman"/>
          <w:sz w:val="24"/>
          <w:szCs w:val="24"/>
          <w:lang w:eastAsia="ru-RU"/>
        </w:rPr>
        <w:t>С</w:t>
      </w:r>
      <w:r>
        <w:rPr>
          <w:rFonts w:eastAsia="Times New Roman" w:cs="Times New Roman" w:ascii="Times New Roman" w:hAnsi="Times New Roman"/>
          <w:sz w:val="24"/>
          <w:szCs w:val="24"/>
          <w:lang w:val="en-US" w:eastAsia="ru-RU"/>
        </w:rPr>
        <w:t xml:space="preserve">, at the same time </w:t>
      </w:r>
      <w:r>
        <w:rPr/>
      </w:r>
      <m:oMath xmlns:m="http://schemas.openxmlformats.org/officeDocument/2006/math">
        <m:r>
          <w:rPr>
            <w:rFonts w:ascii="Cambria Math" w:hAnsi="Cambria Math"/>
          </w:rPr>
          <m:t xml:space="preserve">φ</m:t>
        </m:r>
        <m:r>
          <w:rPr>
            <w:rFonts w:ascii="Cambria Math" w:hAnsi="Cambria Math"/>
          </w:rPr>
          <m:t xml:space="preserve">≈</m:t>
        </m:r>
        <m:r>
          <w:rPr>
            <w:rFonts w:ascii="Cambria Math" w:hAnsi="Cambria Math"/>
          </w:rPr>
          <m:t xml:space="preserve">90</m:t>
        </m:r>
        <m:r>
          <w:rPr>
            <w:rFonts w:ascii="Cambria Math" w:hAnsi="Cambria Math"/>
          </w:rPr>
          <m:t xml:space="preserve">±</m:t>
        </m:r>
        <m:sSup>
          <m:e>
            <m:r>
              <w:rPr>
                <w:rFonts w:ascii="Cambria Math" w:hAnsi="Cambria Math"/>
              </w:rPr>
              <m:t xml:space="preserve">10</m:t>
            </m:r>
          </m:e>
          <m:sup>
            <m:r>
              <w:rPr>
                <w:rFonts w:ascii="Cambria Math" w:hAnsi="Cambria Math"/>
              </w:rPr>
              <m:t xml:space="preserve">0</m:t>
            </m:r>
          </m:sup>
        </m:sSup>
      </m:oMath>
      <w:r>
        <w:rPr>
          <w:rFonts w:eastAsia="Times New Roman" w:cs="Times New Roman" w:ascii="Times New Roman" w:hAnsi="Times New Roman"/>
          <w:sz w:val="24"/>
          <w:szCs w:val="24"/>
          <w:lang w:val="en-US" w:eastAsia="ru-RU"/>
        </w:rPr>
        <w:t xml:space="preserve">. From the given equations it is easy to establish that the greatest negative pressure preventing the penetration of liquid into the pore is created when the conical part of the narrowing pore passes into the neck. This pressure can be called the "breakdown pressure". Exceeding it allows one to overcome the "narrow" section beyond which the binder fills the pore. This condition is achieved by creating additional pressure in the mixer itself or by achieving the wetting condition, when </w:t>
      </w:r>
      <w:r>
        <w:rPr/>
      </w:r>
      <m:oMath xmlns:m="http://schemas.openxmlformats.org/officeDocument/2006/math">
        <m:r>
          <w:rPr>
            <w:rFonts w:ascii="Cambria Math" w:hAnsi="Cambria Math"/>
          </w:rPr>
          <m:t xml:space="preserve">φ</m:t>
        </m:r>
        <m:r>
          <w:rPr>
            <w:rFonts w:ascii="Cambria Math" w:hAnsi="Cambria Math"/>
          </w:rPr>
          <m:t xml:space="preserve">≪</m:t>
        </m:r>
        <m:sSup>
          <m:e>
            <m:r>
              <w:rPr>
                <w:rFonts w:ascii="Cambria Math" w:hAnsi="Cambria Math"/>
              </w:rPr>
              <m:t xml:space="preserve">90</m:t>
            </m:r>
          </m:e>
          <m:sup>
            <m:r>
              <w:rPr>
                <w:rFonts w:ascii="Cambria Math" w:hAnsi="Cambria Math"/>
              </w:rPr>
              <m:t xml:space="preserve">0</m:t>
            </m:r>
          </m:sup>
        </m:sSup>
        <m:r>
          <w:rPr>
            <w:rFonts w:ascii="Cambria Math" w:hAnsi="Cambria Math"/>
          </w:rPr>
          <m:t xml:space="preserve">+</m:t>
        </m:r>
        <m:r>
          <w:rPr>
            <w:rFonts w:ascii="Cambria Math" w:hAnsi="Cambria Math"/>
          </w:rPr>
          <m:t xml:space="preserve">α</m:t>
        </m:r>
        <m:r>
          <w:rPr>
            <w:rFonts w:ascii="Cambria Math" w:hAnsi="Cambria Math"/>
          </w:rPr>
          <m:t xml:space="preserve">.</m:t>
        </m:r>
      </m:oMath>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interaction of soot dust particles (enrichment agent) with the liquid phase of the binder is also associated with capillary phenomena in briquette compositions. Let there be a thin layer of wetting liquid between two closely located solid soot particles.</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3962400" cy="1654175"/>
            <wp:effectExtent l="0" t="0" r="0" b="0"/>
            <wp:docPr id="19" name="Image5" descr="C:\Users\User\Desktop\4рисун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C:\Users\User\Desktop\4рисунок.jpg"/>
                    <pic:cNvPicPr>
                      <a:picLocks noChangeAspect="1" noChangeArrowheads="1"/>
                    </pic:cNvPicPr>
                  </pic:nvPicPr>
                  <pic:blipFill>
                    <a:blip r:embed="rId31"/>
                    <a:stretch>
                      <a:fillRect/>
                    </a:stretch>
                  </pic:blipFill>
                  <pic:spPr bwMode="auto">
                    <a:xfrm>
                      <a:off x="0" y="0"/>
                      <a:ext cx="3962400" cy="1654175"/>
                    </a:xfrm>
                    <a:prstGeom prst="rect">
                      <a:avLst/>
                    </a:prstGeom>
                    <a:noFill/>
                  </pic:spPr>
                </pic:pic>
              </a:graphicData>
            </a:graphic>
          </wp:inline>
        </w:drawing>
      </w:r>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Fig. 9 - Movement of two particles on the surface of a liquid</w:t>
      </w:r>
    </w:p>
    <w:p>
      <w:pPr>
        <w:pStyle w:val="Normal"/>
        <w:spacing w:lineRule="auto" w:line="240" w:before="0" w:after="0"/>
        <w:ind w:firstLine="709"/>
        <w:jc w:val="center"/>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surface of the liquid, due to capillary phenomena, acquires a concave shape, raised above the level AB to a height h. Then, according to Laplace's law, there will be a negative pressure between the particles in the liquid, equal to</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Р</m:t>
          </m:r>
          <m:r>
            <w:rPr>
              <w:rFonts w:ascii="Cambria Math" w:hAnsi="Cambria Math"/>
            </w:rPr>
            <m:t xml:space="preserve">=</m:t>
          </m:r>
          <m:f>
            <m:num>
              <m:r>
                <w:rPr>
                  <w:rFonts w:ascii="Cambria Math" w:hAnsi="Cambria Math"/>
                </w:rPr>
                <m:t xml:space="preserve">−</m:t>
              </m:r>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num>
            <m:den>
              <m:r>
                <w:rPr>
                  <w:rFonts w:ascii="Cambria Math" w:hAnsi="Cambria Math"/>
                </w:rPr>
                <m:t xml:space="preserve">r</m:t>
              </m:r>
            </m:den>
          </m:f>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In this case, atmospheric pressure will act on the outer surfaces of the particles, and below atmospheric pressure on the inner surfaces (below CD), which will lead to the particles coming closer together. Thus, a closed film of dust particles is formed on the surface of the liquid. The smaller the diameter of the dust particles, the stronger the forces holding them. The wetting ability of a drop of binder covered with a film is extremely low, which inhibits the processes of capillary penetration of the binder into the pores of the base particles. The filler and binder have a mutual influence in the composition of the briquette composition. By adsorbing on the surface of the filler particles, the molecules of petroleum pitch increase the effective diameter of the particles, which entails an increase in the volume concentration of the filler. According to the Einstein formula for diluted suspensions, with an apparent increase in the volume fraction C of solid spherical particles, the viscosity </w:t>
      </w:r>
      <w:r>
        <w:rPr>
          <w:rFonts w:eastAsia="Times New Roman" w:cs="Times New Roman" w:ascii="Times New Roman" w:hAnsi="Times New Roman"/>
          <w:sz w:val="24"/>
          <w:szCs w:val="24"/>
          <w:lang w:eastAsia="ru-RU"/>
        </w:rPr>
        <w:t>μ</w:t>
      </w:r>
      <w:r>
        <w:rPr>
          <w:rFonts w:eastAsia="Times New Roman" w:cs="Times New Roman" w:ascii="Times New Roman" w:hAnsi="Times New Roman"/>
          <w:sz w:val="24"/>
          <w:szCs w:val="24"/>
          <w:lang w:val="en-US" w:eastAsia="ru-RU"/>
        </w:rPr>
        <w:t xml:space="preserve"> increases according to the formula</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sz w:val="24"/>
          <w:szCs w:val="24"/>
          <w:lang w:eastAsia="ru-RU"/>
        </w:rPr>
      </w:pPr>
      <w:r>
        <w:rPr/>
      </w:r>
      <m:oMathPara xmlns:m="http://schemas.openxmlformats.org/officeDocument/2006/math">
        <m:oMathParaPr>
          <m:jc m:val="center"/>
        </m:oMathParaPr>
        <m:oMath>
          <m:r>
            <w:rPr>
              <w:rFonts w:ascii="Cambria Math" w:hAnsi="Cambria Math"/>
            </w:rPr>
            <m:t xml:space="preserve">μ</m:t>
          </m:r>
          <m:r>
            <w:rPr>
              <w:rFonts w:ascii="Cambria Math" w:hAnsi="Cambria Math"/>
            </w:rPr>
            <m:t xml:space="preserve">=</m:t>
          </m:r>
          <m:sSub>
            <m:e>
              <m:r>
                <w:rPr>
                  <w:rFonts w:ascii="Cambria Math" w:hAnsi="Cambria Math"/>
                </w:rPr>
                <m:t xml:space="preserve">μ</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5</m:t>
          </m:r>
          <m:r>
            <w:rPr>
              <w:rFonts w:ascii="Cambria Math" w:hAnsi="Cambria Math"/>
            </w:rPr>
            <m:t xml:space="preserve">С</m:t>
          </m:r>
          <m:r>
            <w:rPr>
              <w:rFonts w:ascii="Cambria Math" w:hAnsi="Cambria Math"/>
            </w:rPr>
            <m:t xml:space="preserve">)</m:t>
          </m:r>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where </w:t>
      </w:r>
      <w:r>
        <w:rPr>
          <w:rFonts w:eastAsia="Times New Roman" w:cs="Times New Roman" w:ascii="Times New Roman" w:hAnsi="Times New Roman"/>
          <w:sz w:val="24"/>
          <w:szCs w:val="24"/>
          <w:lang w:eastAsia="ru-RU"/>
        </w:rPr>
        <w:t>μ</w:t>
      </w:r>
      <w:r>
        <w:rPr>
          <w:rFonts w:eastAsia="Times New Roman" w:cs="Times New Roman" w:ascii="Times New Roman" w:hAnsi="Times New Roman"/>
          <w:sz w:val="24"/>
          <w:szCs w:val="24"/>
          <w:vertAlign w:val="subscript"/>
          <w:lang w:val="en-US" w:eastAsia="ru-RU"/>
        </w:rPr>
        <w:t>0</w:t>
      </w:r>
      <w:r>
        <w:rPr>
          <w:rFonts w:eastAsia="Times New Roman" w:cs="Times New Roman" w:ascii="Times New Roman" w:hAnsi="Times New Roman"/>
          <w:sz w:val="24"/>
          <w:szCs w:val="24"/>
          <w:lang w:val="en-US" w:eastAsia="ru-RU"/>
        </w:rPr>
        <w:t xml:space="preserve"> – viscosity at </w:t>
      </w:r>
      <w:r>
        <w:rPr>
          <w:rFonts w:eastAsia="Times New Roman" w:cs="Times New Roman" w:ascii="Times New Roman" w:hAnsi="Times New Roman"/>
          <w:sz w:val="24"/>
          <w:szCs w:val="24"/>
          <w:lang w:eastAsia="ru-RU"/>
        </w:rPr>
        <w:t>С</w:t>
      </w:r>
      <w:r>
        <w:rPr>
          <w:rFonts w:eastAsia="Times New Roman" w:cs="Times New Roman" w:ascii="Times New Roman" w:hAnsi="Times New Roman"/>
          <w:sz w:val="24"/>
          <w:szCs w:val="24"/>
          <w:lang w:val="en-US" w:eastAsia="ru-RU"/>
        </w:rPr>
        <w:t xml:space="preserve"> = 0.</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For concentrated systems according to the Gutman formula</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sz w:val="24"/>
          <w:szCs w:val="24"/>
          <w:lang w:eastAsia="ru-RU"/>
        </w:rPr>
      </w:pPr>
      <w:r>
        <w:rPr/>
      </w:r>
      <m:oMathPara xmlns:m="http://schemas.openxmlformats.org/officeDocument/2006/math">
        <m:oMathParaPr>
          <m:jc m:val="center"/>
        </m:oMathParaPr>
        <m:oMath>
          <m:r>
            <w:rPr>
              <w:rFonts w:ascii="Cambria Math" w:hAnsi="Cambria Math"/>
            </w:rPr>
            <m:t xml:space="preserve">μ</m:t>
          </m:r>
          <m:r>
            <w:rPr>
              <w:rFonts w:ascii="Cambria Math" w:hAnsi="Cambria Math"/>
            </w:rPr>
            <m:t xml:space="preserve">=</m:t>
          </m:r>
          <m:sSub>
            <m:e>
              <m:r>
                <w:rPr>
                  <w:rFonts w:ascii="Cambria Math" w:hAnsi="Cambria Math"/>
                </w:rPr>
                <m:t xml:space="preserve">μ</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5</m:t>
          </m:r>
          <m:r>
            <w:rPr>
              <w:rFonts w:ascii="Cambria Math" w:hAnsi="Cambria Math"/>
            </w:rPr>
            <m:t xml:space="preserve">С</m:t>
          </m:r>
          <m:r>
            <w:rPr>
              <w:rFonts w:ascii="Cambria Math" w:hAnsi="Cambria Math"/>
            </w:rPr>
            <m:t xml:space="preserve">+</m:t>
          </m:r>
          <m:sSup>
            <m:e>
              <m:r>
                <w:rPr>
                  <w:rFonts w:ascii="Cambria Math" w:hAnsi="Cambria Math"/>
                </w:rPr>
                <m:t xml:space="preserve">14</m:t>
              </m:r>
              <m:r>
                <w:rPr>
                  <w:rFonts w:ascii="Cambria Math" w:hAnsi="Cambria Math"/>
                </w:rPr>
                <m:t xml:space="preserve">,</m:t>
              </m:r>
              <m:r>
                <w:rPr>
                  <w:rFonts w:ascii="Cambria Math" w:hAnsi="Cambria Math"/>
                </w:rPr>
                <m:t xml:space="preserve">1</m:t>
              </m:r>
              <m:r>
                <w:rPr>
                  <w:rFonts w:ascii="Cambria Math" w:hAnsi="Cambria Math"/>
                </w:rPr>
                <m:t xml:space="preserve">С</m:t>
              </m:r>
            </m:e>
            <m:sup>
              <m:r>
                <w:rPr>
                  <w:rFonts w:ascii="Cambria Math" w:hAnsi="Cambria Math"/>
                </w:rPr>
                <m:t xml:space="preserve">2</m:t>
              </m:r>
            </m:sup>
          </m:sSup>
          <m:r>
            <w:rPr>
              <w:rFonts w:ascii="Cambria Math" w:hAnsi="Cambria Math"/>
            </w:rPr>
            <m:t xml:space="preserve">)</m:t>
          </m:r>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For very high concentrations the formula is recommended</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sz w:val="24"/>
          <w:szCs w:val="24"/>
          <w:lang w:eastAsia="ru-RU"/>
        </w:rPr>
      </w:pPr>
      <w:r>
        <w:rPr/>
      </w:r>
      <m:oMathPara xmlns:m="http://schemas.openxmlformats.org/officeDocument/2006/math">
        <m:oMathParaPr>
          <m:jc m:val="center"/>
        </m:oMathParaPr>
        <m:oMath>
          <m:f>
            <m:num>
              <m:r>
                <w:rPr>
                  <w:rFonts w:ascii="Cambria Math" w:hAnsi="Cambria Math"/>
                </w:rPr>
                <m:t xml:space="preserve">μ</m:t>
              </m:r>
            </m:num>
            <m:den>
              <m:sSub>
                <m:e>
                  <m:r>
                    <w:rPr>
                      <w:rFonts w:ascii="Cambria Math" w:hAnsi="Cambria Math"/>
                    </w:rPr>
                    <m:t xml:space="preserve">μ</m:t>
                  </m:r>
                </m:e>
                <m:sub>
                  <m:r>
                    <w:rPr>
                      <w:rFonts w:ascii="Cambria Math" w:hAnsi="Cambria Math"/>
                    </w:rPr>
                    <m:t xml:space="preserve">0</m:t>
                  </m:r>
                </m:sub>
              </m:sSub>
            </m:den>
          </m:f>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εС</m:t>
          </m:r>
          <m:r>
            <w:rPr>
              <w:rFonts w:ascii="Cambria Math" w:hAnsi="Cambria Math"/>
            </w:rPr>
            <m:t xml:space="preserve">)</m:t>
          </m:r>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where </w:t>
      </w:r>
      <w:r>
        <w:rPr/>
      </w:r>
      <m:oMath xmlns:m="http://schemas.openxmlformats.org/officeDocument/2006/math">
        <m:r>
          <w:rPr>
            <w:rFonts w:ascii="Cambria Math" w:hAnsi="Cambria Math"/>
          </w:rPr>
          <m:t xml:space="preserve">ε</m:t>
        </m:r>
      </m:oMath>
      <w:r>
        <w:rPr>
          <w:rFonts w:eastAsia="Times New Roman" w:cs="Times New Roman" w:ascii="Times New Roman" w:hAnsi="Times New Roman"/>
          <w:sz w:val="24"/>
          <w:szCs w:val="24"/>
          <w:lang w:val="en-US" w:eastAsia="ru-RU"/>
        </w:rPr>
        <w:t xml:space="preserve"> − coefficient depending on the filler concentration</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Viscosity is associated with the phenomenon of filler sedimentation in the liquid phase of the binder. The resistance force experienced by a solid spherical particle of radius r when moving in a viscous liquid is determined by Stokes' law</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r>
      <m:oMathPara xmlns:m="http://schemas.openxmlformats.org/officeDocument/2006/math">
        <m:oMathParaPr>
          <m:jc m:val="center"/>
        </m:oMathParaPr>
        <m:oMath>
          <m:r>
            <w:rPr>
              <w:rFonts w:ascii="Cambria Math" w:hAnsi="Cambria Math"/>
            </w:rPr>
            <m:t xml:space="preserve">F</m:t>
          </m:r>
          <m:r>
            <w:rPr>
              <w:rFonts w:ascii="Cambria Math" w:hAnsi="Cambria Math"/>
            </w:rPr>
            <m:t xml:space="preserve">=</m:t>
          </m:r>
          <m:r>
            <w:rPr>
              <w:rFonts w:ascii="Cambria Math" w:hAnsi="Cambria Math"/>
            </w:rPr>
            <m:t xml:space="preserve">6</m:t>
          </m:r>
          <m:r>
            <w:rPr>
              <w:rFonts w:ascii="Cambria Math" w:hAnsi="Cambria Math"/>
            </w:rPr>
            <m:t xml:space="preserve">πrμw</m:t>
          </m:r>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maximum speed of a small ball falling in a viscous liquid is found using a well-known formula in physics, which follows from Stokes' law:</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sz w:val="24"/>
          <w:szCs w:val="24"/>
          <w:lang w:eastAsia="ru-RU"/>
        </w:rPr>
      </w:pPr>
      <w:r>
        <w:rPr/>
      </w:r>
      <m:oMathPara xmlns:m="http://schemas.openxmlformats.org/officeDocument/2006/math">
        <m:oMathParaPr>
          <m:jc m:val="center"/>
        </m:oMathParaPr>
        <m:oMath>
          <m:sSub>
            <m:e>
              <m:r>
                <w:rPr>
                  <w:rFonts w:ascii="Cambria Math" w:hAnsi="Cambria Math"/>
                </w:rPr>
                <m:t xml:space="preserve">w</m:t>
              </m:r>
            </m:e>
            <m:sub>
              <m:r>
                <w:rPr>
                  <w:rFonts w:ascii="Cambria Math" w:hAnsi="Cambria Math"/>
                </w:rPr>
                <m:t xml:space="preserve">pr</m:t>
              </m:r>
            </m:sub>
          </m:sSub>
          <m:r>
            <w:rPr>
              <w:rFonts w:ascii="Cambria Math" w:hAnsi="Cambria Math"/>
            </w:rPr>
            <m:t xml:space="preserve">=</m:t>
          </m:r>
          <m:f>
            <m:num>
              <m:f>
                <m:num>
                  <m:r>
                    <w:rPr>
                      <w:rFonts w:ascii="Cambria Math" w:hAnsi="Cambria Math"/>
                    </w:rPr>
                    <m:t xml:space="preserve">2</m:t>
                  </m:r>
                </m:num>
                <m:den>
                  <m:r>
                    <w:rPr>
                      <w:rFonts w:ascii="Cambria Math" w:hAnsi="Cambria Math"/>
                    </w:rPr>
                    <m:t xml:space="preserve">9</m:t>
                  </m:r>
                </m:den>
              </m:f>
              <m:sSup>
                <m:e>
                  <m:r>
                    <w:rPr>
                      <w:rFonts w:ascii="Cambria Math" w:hAnsi="Cambria Math"/>
                    </w:rPr>
                    <m:t xml:space="preserve">r</m:t>
                  </m:r>
                </m:e>
                <m:sup>
                  <m:r>
                    <w:rPr>
                      <w:rFonts w:ascii="Cambria Math" w:hAnsi="Cambria Math"/>
                    </w:rPr>
                    <m:t xml:space="preserve">2</m:t>
                  </m:r>
                </m:sup>
              </m:sSup>
              <m:r>
                <w:rPr>
                  <w:rFonts w:ascii="Cambria Math" w:hAnsi="Cambria Math"/>
                </w:rPr>
                <m:t xml:space="preserve">g</m:t>
              </m:r>
              <m:d>
                <m:dPr>
                  <m:begChr m:val="("/>
                  <m:endChr m:val=")"/>
                </m:dPr>
                <m:e>
                  <m:sSup>
                    <m:e>
                      <m:r>
                        <w:rPr>
                          <w:rFonts w:ascii="Cambria Math" w:hAnsi="Cambria Math"/>
                        </w:rPr>
                        <m:t xml:space="preserve">ρ</m:t>
                      </m:r>
                    </m:e>
                    <m:sup>
                      <m:r>
                        <w:rPr>
                          <w:rFonts w:ascii="Cambria Math" w:hAnsi="Cambria Math"/>
                        </w:rPr>
                        <m:t xml:space="preserve">1</m:t>
                      </m:r>
                    </m:sup>
                  </m:sSup>
                  <m:r>
                    <w:rPr>
                      <w:rFonts w:ascii="Cambria Math" w:hAnsi="Cambria Math"/>
                    </w:rPr>
                    <m:t xml:space="preserve">−</m:t>
                  </m:r>
                  <m:r>
                    <w:rPr>
                      <w:rFonts w:ascii="Cambria Math" w:hAnsi="Cambria Math"/>
                    </w:rPr>
                    <m:t xml:space="preserve">ρ</m:t>
                  </m:r>
                </m:e>
              </m:d>
            </m:num>
            <m:den>
              <m:r>
                <w:rPr>
                  <w:rFonts w:ascii="Cambria Math" w:hAnsi="Cambria Math"/>
                </w:rPr>
                <m:t xml:space="preserve">μ</m:t>
              </m:r>
            </m:den>
          </m:f>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where </w:t>
      </w:r>
      <w:r>
        <w:rPr/>
      </w:r>
      <m:oMath xmlns:m="http://schemas.openxmlformats.org/officeDocument/2006/math">
        <m:sSup>
          <m:e>
            <m:r>
              <w:rPr>
                <w:rFonts w:ascii="Cambria Math" w:hAnsi="Cambria Math"/>
              </w:rPr>
              <m:t xml:space="preserve">ρ</m:t>
            </m:r>
          </m:e>
          <m:sup>
            <m:r>
              <w:rPr>
                <w:rFonts w:ascii="Cambria Math" w:hAnsi="Cambria Math"/>
              </w:rPr>
              <m:t xml:space="preserve">1</m:t>
            </m:r>
          </m:sup>
        </m:sSup>
        <m:r>
          <w:rPr>
            <w:rFonts w:ascii="Cambria Math" w:hAnsi="Cambria Math"/>
          </w:rPr>
          <m:t xml:space="preserve">,</m:t>
        </m:r>
        <m:r>
          <w:rPr>
            <w:rFonts w:ascii="Cambria Math" w:hAnsi="Cambria Math"/>
          </w:rPr>
          <m:t xml:space="preserve">ρ</m:t>
        </m:r>
      </m:oMath>
      <w:r>
        <w:rPr>
          <w:rFonts w:eastAsia="Times New Roman" w:cs="Times New Roman" w:ascii="Times New Roman" w:hAnsi="Times New Roman"/>
          <w:sz w:val="24"/>
          <w:szCs w:val="24"/>
          <w:lang w:val="en-US" w:eastAsia="ru-RU"/>
        </w:rPr>
        <w:t xml:space="preserve"> – particle and liquid density.</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Using this formula, we calculated the dependence of the settling rate of coal particles, anode dust in petroleum pitch at 170 – 200 </w:t>
      </w:r>
      <w:r>
        <w:rPr>
          <w:rFonts w:eastAsia="Times New Roman" w:cs="Times New Roman" w:ascii="Times New Roman" w:hAnsi="Times New Roman"/>
          <w:sz w:val="24"/>
          <w:szCs w:val="24"/>
          <w:vertAlign w:val="superscript"/>
          <w:lang w:val="en-US" w:eastAsia="ru-RU"/>
        </w:rPr>
        <w:t>0</w:t>
      </w:r>
      <w:r>
        <w:rPr>
          <w:rFonts w:eastAsia="Times New Roman" w:cs="Times New Roman" w:ascii="Times New Roman" w:hAnsi="Times New Roman"/>
          <w:sz w:val="24"/>
          <w:szCs w:val="24"/>
          <w:lang w:eastAsia="ru-RU"/>
        </w:rPr>
        <w:t>С</w:t>
      </w:r>
      <w:r>
        <w:rPr>
          <w:rFonts w:eastAsia="Times New Roman" w:cs="Times New Roman" w:ascii="Times New Roman" w:hAnsi="Times New Roman"/>
          <w:sz w:val="24"/>
          <w:szCs w:val="24"/>
          <w:lang w:val="en-US" w:eastAsia="ru-RU"/>
        </w:rPr>
        <w:t xml:space="preserve">. </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3536950" cy="2023745"/>
            <wp:effectExtent l="0" t="0" r="0" b="0"/>
            <wp:docPr id="20" name="Image6" descr="Изображение выглядит как линия, диаграмма, График, ска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Изображение выглядит как линия, диаграмма, График, скат&#10;&#10;Контент, сгенерированный ИИ, может содержать ошибки."/>
                    <pic:cNvPicPr>
                      <a:picLocks noChangeAspect="1" noChangeArrowheads="1"/>
                    </pic:cNvPicPr>
                  </pic:nvPicPr>
                  <pic:blipFill>
                    <a:blip r:embed="rId32"/>
                    <a:stretch>
                      <a:fillRect/>
                    </a:stretch>
                  </pic:blipFill>
                  <pic:spPr bwMode="auto">
                    <a:xfrm>
                      <a:off x="0" y="0"/>
                      <a:ext cx="3536950" cy="2023745"/>
                    </a:xfrm>
                    <a:prstGeom prst="rect">
                      <a:avLst/>
                    </a:prstGeom>
                    <a:noFill/>
                  </pic:spPr>
                </pic:pic>
              </a:graphicData>
            </a:graphic>
          </wp:inline>
        </w:drawing>
      </w:r>
    </w:p>
    <w:p>
      <w:pPr>
        <w:pStyle w:val="Normal"/>
        <w:spacing w:lineRule="auto" w:line="240" w:before="0" w:after="0"/>
        <w:ind w:firstLine="709"/>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Fig. 10 -Dependence of the settling velocity of particles with a radius of 0.1 ÷ 8 mm in petroleum pitch</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In the experiments, for greater clarity, a wider range of particle sizes was taken from 0.2 to 16 mm, although in the briquette mass the granulometry of coal is from 0.8 to 1.2 mm, and that of anode dust is from 0.2 to 0.4 mm.</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Thus, with an increase in the particle radius from 0.1 to 8 mm, the settling rate increases from 0.024 to 118 cm/h. Let us further recalculate the viscosity of the binder to the viscosity of the filled system using the Gutman formula. Let us take the volume fraction of the filler as 0.72, while the viscosity of the composition will be an order of magnitude higher than the viscosity of the binder. Accordingly, the settling rate will also decrease by an order of magnitude to 0.0024 ÷ 11.8 cm/h.</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stability of the masses against sedimentation is a determining factor for maintaining the specified recipe in the liquid phase of the briquettes. The temperature dependence of viscosity, according to the Frenkel-Eyring theory, is determined by the expression:</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μ</m:t>
          </m:r>
          <m:r>
            <w:rPr>
              <w:rFonts w:ascii="Cambria Math" w:hAnsi="Cambria Math"/>
            </w:rPr>
            <m:t xml:space="preserve">=</m:t>
          </m:r>
          <m:r>
            <w:rPr>
              <w:rFonts w:ascii="Cambria Math" w:hAnsi="Cambria Math"/>
            </w:rPr>
            <m:t xml:space="preserve">А</m:t>
          </m:r>
          <m:sSup>
            <m:e>
              <m:r>
                <w:rPr>
                  <w:rFonts w:ascii="Cambria Math" w:hAnsi="Cambria Math"/>
                </w:rPr>
                <m:t xml:space="preserve">е</m:t>
              </m:r>
            </m:e>
            <m:sup>
              <m:f>
                <m:num>
                  <m:r>
                    <w:rPr>
                      <w:rFonts w:ascii="Cambria Math" w:hAnsi="Cambria Math"/>
                    </w:rPr>
                    <m:t xml:space="preserve">Δ</m:t>
                  </m:r>
                  <m:r>
                    <w:rPr>
                      <w:rFonts w:ascii="Cambria Math" w:hAnsi="Cambria Math"/>
                    </w:rPr>
                    <m:t xml:space="preserve">G</m:t>
                  </m:r>
                </m:num>
                <m:den>
                  <m:r>
                    <w:rPr>
                      <w:rFonts w:ascii="Cambria Math" w:hAnsi="Cambria Math"/>
                    </w:rPr>
                    <m:t xml:space="preserve">RT</m:t>
                  </m:r>
                </m:den>
              </m:f>
            </m:sup>
          </m:sSup>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where </w:t>
      </w:r>
      <w:r>
        <w:rPr>
          <w:rFonts w:eastAsia="Times New Roman" w:cs="Times New Roman" w:ascii="Times New Roman" w:hAnsi="Times New Roman"/>
          <w:sz w:val="24"/>
          <w:szCs w:val="24"/>
          <w:lang w:eastAsia="ru-RU"/>
        </w:rPr>
        <w:t>А</w:t>
      </w:r>
      <w:r>
        <w:rPr>
          <w:rFonts w:eastAsia="Times New Roman" w:cs="Times New Roman" w:ascii="Times New Roman" w:hAnsi="Times New Roman"/>
          <w:sz w:val="24"/>
          <w:szCs w:val="24"/>
          <w:lang w:val="en-US" w:eastAsia="ru-RU"/>
        </w:rPr>
        <w:t xml:space="preserve"> – constant;</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G – free energy of activation of viscous flow;</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R – gas constant.</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This dependence is generally valid for the briquette mass. It is evident from the equation that with an increase in temperature T, the viscosity of the system decreases and with a large overheating, sedimentation can reach significant values.</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Based on the theoretical studies outlined above, we investigated the adhesion processes in briquette compositions, namely, the adsorption of petroleum pitch by the surface of a coal grain, the wetting of the coal substrate with a drop of pitch, as well as the influence of various factors on adhesion in the specified systems.</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dependence of the adsorption capacity of dispersed base powders on their specific surface is shown in Figure 11, and on the grain size in Figure 12.</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2799080" cy="2851150"/>
            <wp:effectExtent l="0" t="0" r="0" b="0"/>
            <wp:docPr id="21" name="Image7" descr="Изображение выглядит как текст, линия,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Изображение выглядит как текст, линия, диаграмма, Шрифт&#10;&#10;Контент, сгенерированный ИИ, может содержать ошибки."/>
                    <pic:cNvPicPr>
                      <a:picLocks noChangeAspect="1" noChangeArrowheads="1"/>
                    </pic:cNvPicPr>
                  </pic:nvPicPr>
                  <pic:blipFill>
                    <a:blip r:embed="rId33"/>
                    <a:stretch>
                      <a:fillRect/>
                    </a:stretch>
                  </pic:blipFill>
                  <pic:spPr bwMode="auto">
                    <a:xfrm>
                      <a:off x="0" y="0"/>
                      <a:ext cx="2799080" cy="2851150"/>
                    </a:xfrm>
                    <a:prstGeom prst="rect">
                      <a:avLst/>
                    </a:prstGeom>
                    <a:noFill/>
                  </pic:spPr>
                </pic:pic>
              </a:graphicData>
            </a:graphic>
          </wp:inline>
        </w:drawing>
      </w:r>
    </w:p>
    <w:p>
      <w:pPr>
        <w:pStyle w:val="Normal"/>
        <w:spacing w:lineRule="auto" w:line="240" w:before="0" w:after="0"/>
        <w:ind w:firstLine="709"/>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Fig. 11 - Dependence of the adsorption capacity of powders on their specific surface area</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2762250" cy="2870200"/>
            <wp:effectExtent l="0" t="0" r="0" b="0"/>
            <wp:docPr id="22" name="Image8" descr="Изображение выглядит как текст, линия,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Изображение выглядит как текст, линия, диаграмма, Шрифт&#10;&#10;Контент, сгенерированный ИИ, может содержать ошибки."/>
                    <pic:cNvPicPr>
                      <a:picLocks noChangeAspect="1" noChangeArrowheads="1"/>
                    </pic:cNvPicPr>
                  </pic:nvPicPr>
                  <pic:blipFill>
                    <a:blip r:embed="rId34"/>
                    <a:stretch>
                      <a:fillRect/>
                    </a:stretch>
                  </pic:blipFill>
                  <pic:spPr bwMode="auto">
                    <a:xfrm>
                      <a:off x="0" y="0"/>
                      <a:ext cx="2762250" cy="2870200"/>
                    </a:xfrm>
                    <a:prstGeom prst="rect">
                      <a:avLst/>
                    </a:prstGeom>
                    <a:noFill/>
                  </pic:spPr>
                </pic:pic>
              </a:graphicData>
            </a:graphic>
          </wp:inline>
        </w:drawing>
      </w:r>
    </w:p>
    <w:p>
      <w:pPr>
        <w:pStyle w:val="Normal"/>
        <w:spacing w:lineRule="auto" w:line="240" w:before="0" w:after="0"/>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Fig. 12 - Dependence of adsorption capacity of powders on particle size</w:t>
      </w:r>
    </w:p>
    <w:p>
      <w:pPr>
        <w:pStyle w:val="Normal"/>
        <w:tabs>
          <w:tab w:val="clear" w:pos="708"/>
          <w:tab w:val="left" w:pos="709" w:leader="none"/>
        </w:tabs>
        <w:spacing w:lineRule="auto" w:line="240" w:before="0" w:after="0"/>
        <w:ind w:firstLine="709"/>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Evaluation of the quality of mixing of briquette mass</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Preparation of briquette mass consists of two closely related processes: mixing (averaging) itself and physical and chemical processes of interaction of all components of the briquette composition. These processes are often superimposed on each other, and partially proceed sequentially.</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To evaluate the qualitative side of the mixing process, one of the important indicators is the degree of homogenization of the mixed mass. In the limit, a completely homogenized mass should have the same component and grain composition in any macrovolumes. Therefore, the measure for evaluating the mixer's operation is the standard deviation of the sample composition taken after a certain mixing time, or the degree of mixing, expressing the ratio of the actual deviation of a particular component of the mixture to the theoretical standard deviation of an ideally mixed mixture. The latter indicator, in the limit equal to 1 (or 100%), is more visual for evaluating the characteristics of the mixer's operation.</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Consequently, the evaluation of the quality of mixing can be partially carried out from the standpoint of statistical distribution parameters. There are dozens of formulas for quantitatively evaluating the distribution of mixed components in the final products. The coefficient of heterogeneity (variation) has become widespread as a criterion for the quality of mixing.</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jc w:val="center"/>
        <w:rPr>
          <w:rFonts w:ascii="Times New Roman" w:hAnsi="Times New Roman" w:eastAsia="Times New Roman" w:cs="Times New Roman"/>
          <w:i/>
          <w:i/>
          <w:sz w:val="24"/>
          <w:szCs w:val="24"/>
          <w:lang w:val="en-US" w:eastAsia="ru-RU"/>
        </w:rPr>
      </w:pPr>
      <w:r>
        <w:rPr/>
      </w:r>
      <m:oMath xmlns:m="http://schemas.openxmlformats.org/officeDocument/2006/math">
        <m:sSub>
          <m:e>
            <m:r>
              <w:rPr>
                <w:rFonts w:ascii="Cambria Math" w:hAnsi="Cambria Math"/>
              </w:rPr>
              <m:t xml:space="preserve">V</m:t>
            </m:r>
          </m:e>
          <m:sub>
            <m:r>
              <w:rPr>
                <w:rFonts w:ascii="Cambria Math" w:hAnsi="Cambria Math"/>
              </w:rPr>
              <m:t xml:space="preserve">с</m:t>
            </m:r>
          </m:sub>
        </m:sSub>
        <m:r>
          <w:rPr>
            <w:rFonts w:ascii="Cambria Math" w:hAnsi="Cambria Math"/>
          </w:rPr>
          <m:t xml:space="preserve">=</m:t>
        </m:r>
        <m:f>
          <m:num>
            <m:r>
              <w:rPr>
                <w:rFonts w:ascii="Cambria Math" w:hAnsi="Cambria Math"/>
              </w:rPr>
              <m:t xml:space="preserve">100</m:t>
            </m:r>
            <m:r>
              <w:rPr>
                <w:rFonts w:ascii="Cambria Math" w:hAnsi="Cambria Math"/>
              </w:rPr>
              <m:t xml:space="preserve">S</m:t>
            </m:r>
          </m:num>
          <m:den>
            <m:bar>
              <m:barPr>
                <m:pos m:val="top"/>
              </m:barPr>
              <m:e>
                <m:r>
                  <w:rPr>
                    <w:rFonts w:ascii="Cambria Math" w:hAnsi="Cambria Math"/>
                  </w:rPr>
                  <m:t xml:space="preserve">m</m:t>
                </m:r>
              </m:e>
            </m:bar>
          </m:den>
        </m:f>
        <m:r>
          <w:rPr>
            <w:rFonts w:ascii="Cambria Math" w:hAnsi="Cambria Math"/>
          </w:rPr>
          <m:t xml:space="preserve">=</m:t>
        </m:r>
        <m:f>
          <m:num>
            <m:r>
              <w:rPr>
                <w:rFonts w:ascii="Cambria Math" w:hAnsi="Cambria Math"/>
              </w:rPr>
              <m:t xml:space="preserve">100</m:t>
            </m:r>
          </m:num>
          <m:den>
            <m:bar>
              <m:barPr>
                <m:pos m:val="top"/>
              </m:barPr>
              <m:e>
                <m:r>
                  <w:rPr>
                    <w:rFonts w:ascii="Cambria Math" w:hAnsi="Cambria Math"/>
                  </w:rPr>
                  <m:t xml:space="preserve">m</m:t>
                </m:r>
              </m:e>
            </m:bar>
          </m:den>
        </m:f>
        <m:rad>
          <m:radPr>
            <m:degHide m:val="1"/>
          </m:radPr>
          <m:deg/>
          <m:e>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Х</m:t>
                                </m: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m</m:t>
                                </m:r>
                              </m:e>
                            </m:bar>
                          </m:e>
                        </m:d>
                      </m:e>
                      <m:sup>
                        <m:r>
                          <w:rPr>
                            <w:rFonts w:ascii="Cambria Math" w:hAnsi="Cambria Math"/>
                          </w:rPr>
                          <m:t xml:space="preserve">2</m:t>
                        </m:r>
                      </m:sup>
                    </m:sSup>
                  </m:e>
                </m:nary>
              </m:num>
              <m:den>
                <m:r>
                  <w:rPr>
                    <w:rFonts w:ascii="Cambria Math" w:hAnsi="Cambria Math"/>
                  </w:rPr>
                  <m:t xml:space="preserve">n</m:t>
                </m:r>
                <m:r>
                  <w:rPr>
                    <w:rFonts w:ascii="Cambria Math" w:hAnsi="Cambria Math"/>
                  </w:rPr>
                  <m:t xml:space="preserve">−</m:t>
                </m:r>
                <m:r>
                  <w:rPr>
                    <w:rFonts w:ascii="Cambria Math" w:hAnsi="Cambria Math"/>
                  </w:rPr>
                  <m:t xml:space="preserve">1</m:t>
                </m:r>
              </m:den>
            </m:f>
          </m:e>
        </m:rad>
      </m:oMath>
      <w:r>
        <w:rPr>
          <w:rFonts w:eastAsia="Times New Roman" w:cs="Times New Roman" w:ascii="Times New Roman" w:hAnsi="Times New Roman"/>
          <w:i/>
          <w:sz w:val="24"/>
          <w:szCs w:val="24"/>
          <w:lang w:val="en-US" w:eastAsia="ru-RU"/>
        </w:rPr>
        <w:t>, %</w:t>
      </w:r>
    </w:p>
    <w:p>
      <w:pPr>
        <w:pStyle w:val="Normal"/>
        <w:tabs>
          <w:tab w:val="clear" w:pos="708"/>
          <w:tab w:val="left" w:pos="709" w:leader="none"/>
        </w:tabs>
        <w:spacing w:lineRule="auto" w:line="240" w:before="0" w:after="0"/>
        <w:ind w:firstLine="709"/>
        <w:jc w:val="center"/>
        <w:rPr>
          <w:rFonts w:ascii="Times New Roman" w:hAnsi="Times New Roman" w:eastAsia="Times New Roman" w:cs="Times New Roman"/>
          <w:i/>
          <w:i/>
          <w:sz w:val="24"/>
          <w:szCs w:val="24"/>
          <w:lang w:val="en-US" w:eastAsia="ru-RU"/>
        </w:rPr>
      </w:pPr>
      <w:r>
        <w:rPr>
          <w:rFonts w:eastAsia="Times New Roman" w:cs="Times New Roman" w:ascii="Times New Roman" w:hAnsi="Times New Roman"/>
          <w:i/>
          <w:sz w:val="24"/>
          <w:szCs w:val="24"/>
          <w:lang w:val="en-US"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where S – standard deviation;</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
      <m:oMath xmlns:m="http://schemas.openxmlformats.org/officeDocument/2006/math">
        <m:bar>
          <m:barPr>
            <m:pos m:val="top"/>
          </m:barPr>
          <m:e>
            <m:r>
              <w:rPr>
                <w:rFonts w:ascii="Cambria Math" w:hAnsi="Cambria Math"/>
              </w:rPr>
              <m:t xml:space="preserve">m</m:t>
            </m:r>
          </m:e>
        </m:bar>
      </m:oMath>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bCs/>
          <w:sz w:val="24"/>
          <w:szCs w:val="24"/>
          <w:lang w:val="en-US" w:eastAsia="ru-RU"/>
        </w:rPr>
        <w:t>–</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val="en-US" w:eastAsia="ru-RU"/>
        </w:rPr>
        <w:t>arithmetic mean content of the controlled component in all samples;</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n </w:t>
      </w:r>
      <w:r>
        <w:rPr>
          <w:rFonts w:eastAsia="Times New Roman" w:cs="Times New Roman" w:ascii="Times New Roman" w:hAnsi="Times New Roman"/>
          <w:bCs/>
          <w:sz w:val="24"/>
          <w:szCs w:val="24"/>
          <w:lang w:val="en-US" w:eastAsia="ru-RU"/>
        </w:rPr>
        <w:t>–</w:t>
      </w:r>
      <w:r>
        <w:rPr>
          <w:rFonts w:eastAsia="Times New Roman" w:cs="Times New Roman" w:ascii="Times New Roman" w:hAnsi="Times New Roman"/>
          <w:sz w:val="24"/>
          <w:szCs w:val="24"/>
          <w:lang w:val="en-US" w:eastAsia="ru-RU"/>
        </w:rPr>
        <w:t xml:space="preserve"> number of samples;</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
      <m:oMath xmlns:m="http://schemas.openxmlformats.org/officeDocument/2006/math">
        <m:sSub>
          <m:e>
            <m:r>
              <w:rPr>
                <w:rFonts w:ascii="Cambria Math" w:hAnsi="Cambria Math"/>
              </w:rPr>
              <m:t xml:space="preserve">Х</m:t>
            </m:r>
          </m:e>
          <m:sub>
            <m:r>
              <w:rPr>
                <w:rFonts w:ascii="Cambria Math" w:hAnsi="Cambria Math"/>
              </w:rPr>
              <m:t xml:space="preserve">i</m:t>
            </m:r>
          </m:sub>
        </m:sSub>
        <m:r>
          <w:rPr>
            <w:rFonts w:ascii="Cambria Math" w:hAnsi="Cambria Math"/>
          </w:rPr>
          <m:t xml:space="preserve">−</m:t>
        </m:r>
      </m:oMath>
      <w:r>
        <w:rPr>
          <w:rFonts w:eastAsia="Times New Roman" w:cs="Times New Roman" w:ascii="Times New Roman" w:hAnsi="Times New Roman"/>
          <w:sz w:val="24"/>
          <w:szCs w:val="24"/>
          <w:lang w:val="en-US" w:eastAsia="ru-RU"/>
        </w:rPr>
        <w:t>the value of random variable X in the i-th experiment.</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It is advisable to evaluate the quality of mixing of masses using some control fraction of base particles (for example, 0.8–1.2 mm or 1–1.5 mm) in single samples </w:t>
      </w:r>
      <w:r>
        <w:rPr>
          <w:rFonts w:eastAsia="Times New Roman" w:cs="Times New Roman" w:ascii="Times New Roman" w:hAnsi="Times New Roman"/>
          <w:i/>
          <w:sz w:val="24"/>
          <w:szCs w:val="24"/>
          <w:lang w:eastAsia="ru-RU"/>
        </w:rPr>
        <w:t>С</w:t>
      </w:r>
      <w:r>
        <w:rPr>
          <w:rFonts w:eastAsia="Times New Roman" w:cs="Times New Roman" w:ascii="Times New Roman" w:hAnsi="Times New Roman"/>
          <w:i/>
          <w:sz w:val="24"/>
          <w:szCs w:val="24"/>
          <w:lang w:val="en-US" w:eastAsia="ru-RU"/>
        </w:rPr>
        <w:t>i</w:t>
      </w:r>
      <w:r>
        <w:rPr>
          <w:rFonts w:eastAsia="Times New Roman" w:cs="Times New Roman" w:ascii="Times New Roman" w:hAnsi="Times New Roman"/>
          <w:sz w:val="24"/>
          <w:szCs w:val="24"/>
          <w:lang w:val="en-US" w:eastAsia="ru-RU"/>
        </w:rPr>
        <w:t>:</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jc w:val="center"/>
        <w:rPr>
          <w:rFonts w:ascii="Times New Roman" w:hAnsi="Times New Roman" w:eastAsia="Times New Roman" w:cs="Times New Roman"/>
          <w:i/>
          <w:i/>
          <w:sz w:val="24"/>
          <w:szCs w:val="24"/>
          <w:lang w:val="en-US" w:eastAsia="ru-RU"/>
        </w:rPr>
      </w:pPr>
      <w:r>
        <w:rPr/>
      </w:r>
      <m:oMath xmlns:m="http://schemas.openxmlformats.org/officeDocument/2006/math">
        <m:sSub>
          <m:e>
            <m:r>
              <w:rPr>
                <w:rFonts w:ascii="Cambria Math" w:hAnsi="Cambria Math"/>
              </w:rPr>
              <m:t xml:space="preserve">V</m:t>
            </m:r>
          </m:e>
          <m:sub>
            <m:r>
              <w:rPr>
                <w:rFonts w:ascii="Cambria Math" w:hAnsi="Cambria Math"/>
              </w:rPr>
              <m:t xml:space="preserve">с</m:t>
            </m:r>
          </m:sub>
        </m:sSub>
        <m:r>
          <w:rPr>
            <w:rFonts w:ascii="Cambria Math" w:hAnsi="Cambria Math"/>
          </w:rPr>
          <m:t xml:space="preserve">=</m:t>
        </m:r>
        <m:f>
          <m:num>
            <m:r>
              <w:rPr>
                <w:rFonts w:ascii="Cambria Math" w:hAnsi="Cambria Math"/>
              </w:rPr>
              <m:t xml:space="preserve">100</m:t>
            </m:r>
            <m:r>
              <w:rPr>
                <w:rFonts w:ascii="Cambria Math" w:hAnsi="Cambria Math"/>
              </w:rPr>
              <m:t xml:space="preserve">S</m:t>
            </m:r>
          </m:num>
          <m:den>
            <m:bar>
              <m:barPr>
                <m:pos m:val="top"/>
              </m:barPr>
              <m:e>
                <m:r>
                  <w:rPr>
                    <w:rFonts w:ascii="Cambria Math" w:hAnsi="Cambria Math"/>
                  </w:rPr>
                  <m:t xml:space="preserve">C</m:t>
                </m:r>
              </m:e>
            </m:bar>
          </m:den>
        </m:f>
        <m:r>
          <w:rPr>
            <w:rFonts w:ascii="Cambria Math" w:hAnsi="Cambria Math"/>
          </w:rPr>
          <m:t xml:space="preserve">=</m:t>
        </m:r>
        <m:f>
          <m:num>
            <m:r>
              <w:rPr>
                <w:rFonts w:ascii="Cambria Math" w:hAnsi="Cambria Math"/>
              </w:rPr>
              <m:t xml:space="preserve">100</m:t>
            </m:r>
          </m:num>
          <m:den>
            <m:bar>
              <m:barPr>
                <m:pos m:val="top"/>
              </m:barPr>
              <m:e>
                <m:r>
                  <w:rPr>
                    <w:rFonts w:ascii="Cambria Math" w:hAnsi="Cambria Math"/>
                  </w:rPr>
                  <m:t xml:space="preserve">C</m:t>
                </m:r>
              </m:e>
            </m:bar>
          </m:den>
        </m:f>
        <m:rad>
          <m:radPr>
            <m:degHide m:val="1"/>
          </m:radPr>
          <m:deg/>
          <m:e>
            <m:f>
              <m:num>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1</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bar>
                              <m:barPr>
                                <m:pos m:val="top"/>
                              </m:barPr>
                              <m:e>
                                <m:r>
                                  <w:rPr>
                                    <w:rFonts w:ascii="Cambria Math" w:hAnsi="Cambria Math"/>
                                  </w:rPr>
                                  <m:t xml:space="preserve">С</m:t>
                                </m:r>
                              </m:e>
                            </m:ba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С</m:t>
                            </m:r>
                          </m:e>
                        </m:bar>
                      </m:e>
                    </m:d>
                  </m:e>
                  <m:sup>
                    <m:r>
                      <w:rPr>
                        <w:rFonts w:ascii="Cambria Math" w:hAnsi="Cambria Math"/>
                      </w:rPr>
                      <m:t xml:space="preserve">2</m:t>
                    </m:r>
                  </m:sup>
                </m:sSup>
              </m:e>
            </m:nary>
          </m:e>
        </m:rad>
      </m:oMath>
      <w:r>
        <w:rPr>
          <w:rFonts w:eastAsia="Times New Roman" w:cs="Times New Roman" w:ascii="Times New Roman" w:hAnsi="Times New Roman"/>
          <w:i/>
          <w:sz w:val="24"/>
          <w:szCs w:val="24"/>
          <w:lang w:val="en-US" w:eastAsia="ru-RU"/>
        </w:rPr>
        <w:t>, %</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where </w:t>
      </w:r>
      <w:r>
        <w:rPr/>
      </w:r>
      <m:oMath xmlns:m="http://schemas.openxmlformats.org/officeDocument/2006/math">
        <m:bar>
          <m:barPr>
            <m:pos m:val="top"/>
          </m:barPr>
          <m:e>
            <m:r>
              <w:rPr>
                <w:rFonts w:ascii="Cambria Math" w:hAnsi="Cambria Math"/>
              </w:rPr>
              <m:t xml:space="preserve">С</m:t>
            </m:r>
          </m:e>
        </m:bar>
      </m:oMath>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bCs/>
          <w:sz w:val="24"/>
          <w:szCs w:val="24"/>
          <w:lang w:val="en-US" w:eastAsia="ru-RU"/>
        </w:rPr>
        <w:t>–</w:t>
      </w:r>
      <w:r>
        <w:rPr>
          <w:rFonts w:eastAsia="Times New Roman" w:cs="Times New Roman" w:ascii="Times New Roman" w:hAnsi="Times New Roman"/>
          <w:sz w:val="24"/>
          <w:szCs w:val="24"/>
          <w:lang w:val="en-US" w:eastAsia="ru-RU"/>
        </w:rPr>
        <w:t xml:space="preserve"> arithmetic mean of the number of particles in the samples studied, %.</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However, as was indicated at the beginning of this section, mechanical mixing (homogenization) in itself does not yet mean obtaining a briquette mass as a stable polycomposition. The second stage - adhesion (wetting, sorption), capillary impregnation, etc. ensure the stable formation of the finest layers at the abrasive-substrate boundary, connected by the action of van der Waals, molecular and electrostatic forces. The presence of such forces leads to the formation of a solid volumetric structure. Only after the completion of these processes does the briquette mass turn into a cohesive, loose, extremely concentrated and structurally stabilized substance. It is the spatial structure of molecular forces that gives the substance plasticity, viscosity and stability of the composition. </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For a normal (Newtonian) liquid, the movement of layers is caused by an arbitrarily small force. In structured systems, as a result of the presence of a sufficiently strong continuous structural network, it is necessary to apply some force to destroy it. According to a number of studies             [17 -18] , the flow of such a system begins only from the moment when the shear stress R exceeds a certain critical value Rk, necessary for the destruction of the structure formed in this system. Such a flow is called plastic, and Rk is the yield point.</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In the briquette mass at operating temperatures, a viscous flow is more typical, as in a normal Newtonian fluid. In the mass of the mixture, as a result of a sharp increase in the concentration of the base, one should expect a noticeable manifestation of elastic plastic properties and the yield point, which is especially important when forming briquettes in roller presses. This is what ensures the preservation of a stable shape of the briquettes after they exit the mold cells.</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Considering the complexity of the above processes, the technological assessment of the quality of mixing sand-coal masses has a number of features. It is very important to assess the completion of the main processes during mixing: homogenization, adhesive interaction, enveloping, impregnation, etc. The rheological characteristics of the masses (viscous flow and plasticity, sedimentation in the liquid phase of the binder, pressing characteristics, etc.) are also taken into account.</w:t>
      </w:r>
    </w:p>
    <w:p>
      <w:pPr>
        <w:pStyle w:val="Normal"/>
        <w:tabs>
          <w:tab w:val="clear" w:pos="708"/>
          <w:tab w:val="left" w:pos="709" w:leader="none"/>
        </w:tabs>
        <w:spacing w:lineRule="auto" w:line="240" w:before="0" w:after="0"/>
        <w:ind w:firstLine="709"/>
        <w:jc w:val="both"/>
        <w:rPr>
          <w:rFonts w:ascii="Times New Roman" w:hAnsi="Times New Roman" w:cs="Times New Roman"/>
          <w:sz w:val="24"/>
          <w:szCs w:val="24"/>
          <w:lang w:val="en-US"/>
        </w:rPr>
      </w:pPr>
      <w:r>
        <w:rPr>
          <w:rFonts w:eastAsia="Times New Roman" w:cs="Times New Roman" w:ascii="Times New Roman" w:hAnsi="Times New Roman"/>
          <w:sz w:val="24"/>
          <w:szCs w:val="24"/>
          <w:lang w:val="en-US" w:eastAsia="ru-RU"/>
        </w:rPr>
        <w:t>A study of the adhesive-cohesive properties of petroleum pitch as a binder showed that the process of mixing coal and enrichment fractions with pitch plays a key role in the formation of the structure of the briquette mass.</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b/>
          <w:sz w:val="24"/>
          <w:szCs w:val="24"/>
          <w:lang w:val="en-US"/>
        </w:rPr>
        <w:t>Conclusion.</w:t>
      </w:r>
      <w:r>
        <w:rPr>
          <w:rFonts w:cs="Times New Roman" w:ascii="Times New Roman" w:hAnsi="Times New Roman"/>
          <w:sz w:val="24"/>
          <w:szCs w:val="24"/>
          <w:lang w:val="en-US"/>
        </w:rPr>
        <w:t xml:space="preserve"> As a result of the theoretical analysis of the briquetting process, the mechanism of coal briquettes structure formation was established taking into account the physicochemical and structural-rheological properties of coal. The main factors influencing the coal briquetting process are: coal moisture and moisture distribution in individual classes, coal size, distribution of elementary size classes in the briquette charge, granulometric composition, pressure, duration and temperature of pressing, that is, in general, the structural-rheological and physicochemical properties of the solid phase, as well as the water content. The application of high pressure during briquetting brings the particles closer together and increases interparticle contact, which results in an attractive force between adjacent particles through weak Van der Waals forces. During this process, particle deformation causes smaller binder particles to fill the voids in the original briquette mixture.</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ind w:firstLine="567"/>
        <w:jc w:val="center"/>
        <w:rPr>
          <w:rFonts w:ascii="Times New Roman" w:hAnsi="Times New Roman" w:cs="Times New Roman"/>
          <w:b/>
          <w:sz w:val="24"/>
          <w:szCs w:val="24"/>
          <w:lang w:val="en-US"/>
        </w:rPr>
      </w:pPr>
      <w:r>
        <w:rPr>
          <w:rFonts w:cs="Times New Roman" w:ascii="Times New Roman" w:hAnsi="Times New Roman"/>
          <w:b/>
          <w:sz w:val="24"/>
          <w:szCs w:val="24"/>
          <w:lang w:val="en-US"/>
        </w:rPr>
        <w:t>References</w:t>
      </w:r>
    </w:p>
    <w:p>
      <w:pPr>
        <w:pStyle w:val="Normal"/>
        <w:spacing w:lineRule="auto" w:line="240" w:before="0" w:after="0"/>
        <w:ind w:firstLine="567"/>
        <w:jc w:val="center"/>
        <w:rPr>
          <w:rFonts w:ascii="Times New Roman" w:hAnsi="Times New Roman" w:cs="Times New Roman"/>
          <w:b/>
          <w:sz w:val="24"/>
          <w:szCs w:val="24"/>
          <w:lang w:val="en-US"/>
        </w:rPr>
      </w:pPr>
      <w:r>
        <w:rPr>
          <w:rFonts w:cs="Times New Roman" w:ascii="Times New Roman" w:hAnsi="Times New Roman"/>
          <w:b/>
          <w:sz w:val="24"/>
          <w:szCs w:val="24"/>
          <w:lang w:val="en-US"/>
        </w:rPr>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 Adylov CH.A. Ehkonomicheskie aspekty briketirovaniya uglei s pomoshch'yu svyazuyushchikh rastitel'nogo proiskhozhdeniya // Nauka. Obrazovanie. Tekhnika. - 2017. - No. 1. - P. 14-18.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2.Ismanzhanov A.I., Dzholdosheva T.Dzh., Adylov CH.A. Optimizatsiya tekhnologii briketirovaniya uglei s produktami pererabotki biomassy metodom matematicheskogo planirovaniya ehksperimenta // Nauka. Obrazovanie. Tekhnika. - 2016. - No. 1. - P. 5-10.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color w:themeColor="text1" w:val="000000"/>
          <w:sz w:val="24"/>
          <w:szCs w:val="24"/>
          <w:lang w:val="en-US"/>
        </w:rPr>
        <w:t>3.Baiseitov M., Tulepov A., Zhapekova A. i dr. Sintez ugol'nykh briketov v matritse polivinilkhlorida // Promyshlennost' Kazakhstana. - 2020. - No. 1. - P. 34-36. [</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color w:themeColor="text1" w:val="000000"/>
          <w:sz w:val="24"/>
          <w:szCs w:val="24"/>
          <w:lang w:val="en-US"/>
        </w:rPr>
        <w:t>4.Baiseitov D., Tulepov M., Gabdrashova SH. i dr. Povyshenie kaloriinosti i teplotvornoi sposobnosti ugol'nykh briketov sostavov // Promyshlennost' Kazakhstana. - 2020. - No. 1. - P. 30-33. [</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5.Yusupov S.K., Ehshmetov I.D., Bekturdiev G.M. i dr. Modifitsirovannyi svyazuyushchii dlya briketirovaniya uglya // Universum. - 2019. - No. 12. - P. 86-90.</w:t>
      </w:r>
      <w:r>
        <w:rPr>
          <w:rFonts w:cs="Times New Roman" w:ascii="Times New Roman" w:hAnsi="Times New Roman"/>
          <w:color w:themeColor="text1" w:val="000000"/>
          <w:sz w:val="24"/>
          <w:szCs w:val="24"/>
          <w:lang w:val="en-US"/>
        </w:rPr>
        <w:t xml:space="preserve"> [</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6.Kuskov V.B., Skripchenko E.V., Kalashnikova V.YU. Razrabotka tekhnologii polucheniya toplivnykh briketov iz malovostrebovannogo uglerodsoderzhashchego syr'ya // Zapiski Gornogo instituta. - 2012. - Vol. 196. - P. 147-149.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7.Drizhd N.A., Dauletzhanov A.ZH., Dauletzhanova ZH.T. i dr. Issledovanie kachestva toplivnykh briketov iz Shubarkol'skogo uglya // Gornyi zhurnal Kazakhstana. - 2021. - No. 9. - P. 44-49.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8.Loginov D.A., Chernykh A.P., Islamov S.R. Ehksperimental'noe issledovanie vliyaniya davleniya na protsess polukoksovaniya burogo uglya // Khimiya tverdogo topliva. - 2021. - No. 2. -P. 67-70.</w:t>
      </w:r>
      <w:r>
        <w:rPr>
          <w:rFonts w:cs="Times New Roman" w:ascii="Times New Roman" w:hAnsi="Times New Roman"/>
          <w:color w:themeColor="text1" w:val="000000"/>
          <w:sz w:val="24"/>
          <w:szCs w:val="24"/>
          <w:lang w:val="en-US"/>
        </w:rPr>
        <w:t xml:space="preserve"> [</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9.Drizhd N.A., Dauletzhanova Zh.T., ,Zamaliyev N.M., Dauletzhanov A.Zh. Influence of technological process parameters on qualitative characteristics of coal thermolysis products // Naukovyi Visnyk Natsionalnoho Hirnychoho Universytetu. – 2021. – No.1 P. 39-46 </w:t>
      </w:r>
      <w:hyperlink r:id="rId35">
        <w:r>
          <w:rPr>
            <w:rStyle w:val="Hyperlink"/>
            <w:rFonts w:cs="Times New Roman" w:ascii="Times New Roman" w:hAnsi="Times New Roman"/>
            <w:sz w:val="24"/>
            <w:szCs w:val="24"/>
            <w:lang w:val="en-US"/>
          </w:rPr>
          <w:t>DOI 10.33271/nvngu/2021-1/039</w:t>
        </w:r>
      </w:hyperlink>
      <w:r>
        <w:rPr>
          <w:rFonts w:cs="Times New Roman" w:ascii="Times New Roman" w:hAnsi="Times New Roman"/>
          <w:sz w:val="24"/>
          <w:szCs w:val="24"/>
          <w:lang w:val="en-US"/>
        </w:rPr>
        <w:t xml:space="preserve">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10. Abdrakhmanov Ye.S. Thermal capacity of enriched fuel briquets produced from the fine of ekibastuz coal // Solid State Phenomena. – 2018 (Volume 284) P. 731-736 </w:t>
      </w:r>
      <w:hyperlink r:id="rId36">
        <w:r>
          <w:rPr>
            <w:rStyle w:val="Hyperlink"/>
            <w:rFonts w:cs="Times New Roman" w:ascii="Times New Roman" w:hAnsi="Times New Roman"/>
            <w:sz w:val="24"/>
            <w:szCs w:val="24"/>
            <w:lang w:val="en-US"/>
          </w:rPr>
          <w:t>DOI 10.4028/www.scientific.net/SSP.284.731</w:t>
        </w:r>
      </w:hyperlink>
      <w:r>
        <w:rPr>
          <w:rFonts w:cs="Times New Roman" w:ascii="Times New Roman" w:hAnsi="Times New Roman"/>
          <w:sz w:val="24"/>
          <w:szCs w:val="24"/>
          <w:lang w:val="en-US"/>
        </w:rPr>
        <w:t xml:space="preserve"> </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11. Fufaeva M.S., Manzhay V.N. Primenenie kriogelei dlya polucheniya toplivnykh briketov iz melkodispersnykh uglerodsoderzhashchikh otkhodov // Khimiya tverdogo topliva. - 2023. - No. 2-3. -P. 5-10.DOI  </w:t>
      </w:r>
      <w:hyperlink r:id="rId37">
        <w:r>
          <w:rPr>
            <w:rStyle w:val="Hyperlink"/>
            <w:rFonts w:cs="Times New Roman" w:ascii="Times New Roman" w:hAnsi="Times New Roman"/>
            <w:sz w:val="24"/>
            <w:szCs w:val="24"/>
            <w:lang w:val="en-US"/>
          </w:rPr>
          <w:t>/10.31857/S0023117723020032</w:t>
        </w:r>
      </w:hyperlink>
      <w:r>
        <w:rPr>
          <w:rStyle w:val="Hyperlink"/>
          <w:rFonts w:cs="Times New Roman" w:ascii="Times New Roman" w:hAnsi="Times New Roman"/>
          <w:sz w:val="24"/>
          <w:szCs w:val="24"/>
          <w:lang w:val="en-US"/>
        </w:rPr>
        <w:t xml:space="preserve">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12. Buravchuk N.I., Guryanova O.V. Issledovanie vodostoikosti toplivnykh briketov. - 2023. - No. 5. -P. 38-42 </w:t>
      </w:r>
      <w:hyperlink r:id="rId38">
        <w:r>
          <w:rPr>
            <w:rStyle w:val="Hyperlink"/>
            <w:rFonts w:cs="Times New Roman" w:ascii="Times New Roman" w:hAnsi="Times New Roman"/>
            <w:sz w:val="24"/>
            <w:szCs w:val="24"/>
            <w:lang w:val="en-US"/>
          </w:rPr>
          <w:t>DOI 10.31857/S002311772305002X</w:t>
        </w:r>
      </w:hyperlink>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13. </w:t>
      </w:r>
      <w:r>
        <w:rPr>
          <w:rFonts w:cs="Times New Roman" w:ascii="Times New Roman" w:hAnsi="Times New Roman"/>
          <w:sz w:val="24"/>
          <w:szCs w:val="24"/>
        </w:rPr>
        <w:t>А</w:t>
      </w:r>
      <w:r>
        <w:rPr>
          <w:rFonts w:cs="Times New Roman" w:ascii="Times New Roman" w:hAnsi="Times New Roman"/>
          <w:sz w:val="24"/>
          <w:szCs w:val="24"/>
          <w:lang w:val="en-US"/>
        </w:rPr>
        <w:t xml:space="preserve">lvarez L., Gharebaghi M., Jones J.M., Pourkashanian M., Williams A., Riaza J., Pevida C., Pis J.J.,  Rubiera F. CFD modeling of oxy-coal combustion: Prediction of burnout, volatile and NO precursors release [Text]: scientific publication / L. Alvarez [et al.] // Appl. Energy. –Vol 104.– 2013. – P. 653–665 </w:t>
      </w:r>
      <w:hyperlink r:id="rId39">
        <w:r>
          <w:rPr>
            <w:rStyle w:val="Hyperlink"/>
            <w:rFonts w:cs="Times New Roman" w:ascii="Times New Roman" w:hAnsi="Times New Roman"/>
            <w:sz w:val="24"/>
            <w:szCs w:val="24"/>
            <w:lang w:val="en-US"/>
          </w:rPr>
          <w:t>DOI 10.1016/j.apenergy.2012.11.058</w:t>
        </w:r>
      </w:hyperlink>
      <w:r>
        <w:rPr>
          <w:rFonts w:cs="Times New Roman" w:ascii="Times New Roman" w:hAnsi="Times New Roman"/>
          <w:sz w:val="24"/>
          <w:szCs w:val="24"/>
          <w:lang w:val="en-US"/>
        </w:rPr>
        <w:t xml:space="preserve"> </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14. Ukhichev, A. S. Liniya ehnergeticheskogo obogashcheniya toplivnogo syr'ya v vakuume: nauchnoe izdanie // Nauchno-tekhnicheskaya konferentsiya s uchastiem zarubezhnykh spetsialistov «Vakuumnaya nauka i tekhnikA». – M., 2012. – P. 62–63.</w:t>
      </w:r>
      <w:r>
        <w:rPr>
          <w:rFonts w:cs="Times New Roman" w:ascii="Times New Roman" w:hAnsi="Times New Roman"/>
          <w:color w:themeColor="text1" w:val="000000"/>
          <w:sz w:val="24"/>
          <w:szCs w:val="24"/>
          <w:lang w:val="en-US"/>
        </w:rPr>
        <w:t xml:space="preserve"> [</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15. Popov E.M. Issledovanie neftyanykh bitumov Ukrainy kak svyazuyushchikh pri briketirovanii kamennogo uglya: dis. … kand. tekhn. nauk. – Kiev: Institut uglekhimii NAN Ukrainy, 1958. – 135 p.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16. Ozhegov V.V. Briketirovanie poleznykh iskopaemykh. – M.: Nedra, 2011. – 304 p.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17. Ozerov A.V. Razrabotka tekhnologii briketirovaniya silikatnogo flyusa i vybor ratsional'nogo svyazuyushchego dlya briketirovaniya medno-nikelevogo kontsentrata: dis. … kand. tekhn. nauk. -Sankt-Peterburg: Sankt-Peterburgskii gornyi universitet, 2017. – 152 p.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18. Abdrakhmanov, Y., Bogomolov, A., Bykov, P.,  Kuandikov, A. Thermal capacity of enriched fuel briquets produced from the fine of ekibastus coaL // International Journal of Engineering Technologies and Management Research - 2017, No. 4(9), </w:t>
      </w:r>
      <w:r>
        <w:rPr>
          <w:rFonts w:cs="Times New Roman" w:ascii="Times New Roman" w:hAnsi="Times New Roman"/>
          <w:sz w:val="24"/>
          <w:szCs w:val="24"/>
        </w:rPr>
        <w:t>Р</w:t>
      </w:r>
      <w:r>
        <w:rPr>
          <w:rFonts w:cs="Times New Roman" w:ascii="Times New Roman" w:hAnsi="Times New Roman"/>
          <w:sz w:val="24"/>
          <w:szCs w:val="24"/>
          <w:lang w:val="en-US"/>
        </w:rPr>
        <w:t xml:space="preserve">. 49–64. </w:t>
      </w:r>
      <w:hyperlink r:id="rId40">
        <w:r>
          <w:rPr>
            <w:rStyle w:val="Hyperlink"/>
            <w:rFonts w:cs="Times New Roman" w:ascii="Times New Roman" w:hAnsi="Times New Roman"/>
            <w:sz w:val="24"/>
            <w:szCs w:val="24"/>
            <w:lang w:val="en-US"/>
          </w:rPr>
          <w:t>DOI 10.29121/ijetmr.v4.i9.2017.99</w:t>
        </w:r>
      </w:hyperlink>
      <w:r>
        <w:rPr>
          <w:rFonts w:cs="Times New Roman" w:ascii="Times New Roman" w:hAnsi="Times New Roman"/>
          <w:sz w:val="24"/>
          <w:szCs w:val="24"/>
          <w:lang w:val="en-US"/>
        </w:rPr>
        <w:t xml:space="preserve"> </w:t>
      </w:r>
    </w:p>
    <w:p>
      <w:pPr>
        <w:pStyle w:val="Normal"/>
        <w:spacing w:lineRule="auto" w:line="240" w:before="0" w:after="0"/>
        <w:jc w:val="center"/>
        <w:rPr>
          <w:rFonts w:ascii="Times New Roman" w:hAnsi="Times New Roman" w:cs="Times New Roman"/>
          <w:b/>
          <w:sz w:val="24"/>
          <w:szCs w:val="24"/>
          <w:lang w:val="en-US"/>
        </w:rPr>
      </w:pPr>
      <w:r>
        <w:rPr>
          <w:rFonts w:cs="Times New Roman" w:ascii="Times New Roman" w:hAnsi="Times New Roman"/>
          <w:b/>
          <w:sz w:val="24"/>
          <w:szCs w:val="24"/>
          <w:lang w:val="en-US"/>
        </w:rPr>
      </w:r>
    </w:p>
    <w:p>
      <w:pPr>
        <w:pStyle w:val="Normal"/>
        <w:spacing w:lineRule="auto" w:line="240" w:before="0" w:after="0"/>
        <w:jc w:val="both"/>
        <w:rPr>
          <w:rFonts w:ascii="Times New Roman" w:hAnsi="Times New Roman" w:cs="Times New Roman"/>
          <w:color w:val="FF0000"/>
          <w:sz w:val="24"/>
          <w:szCs w:val="24"/>
          <w:lang w:val="en-US"/>
        </w:rPr>
      </w:pPr>
      <w:r>
        <w:rPr>
          <w:rFonts w:cs="Times New Roman" w:ascii="Times New Roman" w:hAnsi="Times New Roman"/>
          <w:color w:val="FF0000"/>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cs="Times New Roman"/>
          <w:b/>
          <w:i/>
          <w:i/>
          <w:sz w:val="20"/>
          <w:szCs w:val="20"/>
          <w:lang w:val="kk-KZ"/>
        </w:rPr>
      </w:pPr>
      <w:r>
        <w:rPr>
          <w:rFonts w:cs="Times New Roman" w:ascii="Times New Roman" w:hAnsi="Times New Roman"/>
          <w:b/>
          <w:i/>
          <w:sz w:val="20"/>
          <w:szCs w:val="20"/>
          <w:lang w:val="kk-KZ"/>
        </w:rPr>
        <w:t>Information about the authors</w:t>
      </w:r>
    </w:p>
    <w:p>
      <w:pPr>
        <w:pStyle w:val="Normal"/>
        <w:spacing w:lineRule="auto" w:line="240" w:before="0" w:after="0"/>
        <w:ind w:firstLine="567"/>
        <w:jc w:val="both"/>
        <w:rPr>
          <w:rFonts w:ascii="Times New Roman" w:hAnsi="Times New Roman" w:cs="Times New Roman"/>
          <w:b/>
          <w:i/>
          <w:i/>
          <w:sz w:val="20"/>
          <w:szCs w:val="20"/>
          <w:lang w:val="kk-KZ"/>
        </w:rPr>
      </w:pPr>
      <w:r>
        <w:rPr>
          <w:rFonts w:cs="Times New Roman" w:ascii="Times New Roman" w:hAnsi="Times New Roman"/>
          <w:b/>
          <w:i/>
          <w:sz w:val="20"/>
          <w:szCs w:val="20"/>
          <w:lang w:val="kk-KZ"/>
        </w:rPr>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Abdrakhmanov </w:t>
      </w:r>
      <w:r>
        <w:rPr>
          <w:rFonts w:cs="Times New Roman" w:ascii="Times New Roman" w:hAnsi="Times New Roman"/>
          <w:sz w:val="20"/>
          <w:szCs w:val="20"/>
          <w:lang w:val="en-US"/>
        </w:rPr>
        <w:t>Ye</w:t>
      </w:r>
      <w:r>
        <w:rPr>
          <w:rFonts w:cs="Times New Roman" w:ascii="Times New Roman" w:hAnsi="Times New Roman"/>
          <w:sz w:val="20"/>
          <w:szCs w:val="20"/>
          <w:lang w:val="kk-KZ"/>
        </w:rPr>
        <w:t xml:space="preserve">.S. - </w:t>
      </w:r>
      <w:r>
        <w:rPr>
          <w:rFonts w:cs="Times New Roman" w:ascii="Times New Roman" w:hAnsi="Times New Roman"/>
          <w:sz w:val="20"/>
          <w:szCs w:val="20"/>
          <w:lang w:val="en-US"/>
        </w:rPr>
        <w:t>Candidate of Technical Sciences</w:t>
      </w:r>
      <w:r>
        <w:rPr>
          <w:rFonts w:cs="Times New Roman" w:ascii="Times New Roman" w:hAnsi="Times New Roman"/>
          <w:sz w:val="20"/>
          <w:szCs w:val="20"/>
          <w:lang w:val="kk-KZ"/>
        </w:rPr>
        <w:t>, professor, Toraighyrov university, Pavlodar, Kazakhstan, e-mail:</w:t>
      </w:r>
      <w:r>
        <w:rPr>
          <w:rFonts w:cs="Times New Roman" w:ascii="Times New Roman" w:hAnsi="Times New Roman"/>
          <w:sz w:val="20"/>
          <w:szCs w:val="20"/>
          <w:lang w:val="en-US"/>
        </w:rPr>
        <w:t xml:space="preserve"> </w:t>
      </w:r>
      <w:hyperlink r:id="rId41">
        <w:r>
          <w:rPr>
            <w:rStyle w:val="Hyperlink"/>
            <w:rFonts w:cs="Times New Roman" w:ascii="Times New Roman" w:hAnsi="Times New Roman"/>
            <w:sz w:val="20"/>
            <w:szCs w:val="20"/>
            <w:lang w:val="kk-KZ"/>
          </w:rPr>
          <w:t>erai1512@mail.ru</w:t>
        </w:r>
      </w:hyperlink>
      <w:r>
        <w:rPr>
          <w:rFonts w:cs="Times New Roman" w:ascii="Times New Roman" w:hAnsi="Times New Roman"/>
          <w:sz w:val="20"/>
          <w:szCs w:val="20"/>
          <w:lang w:val="kk-KZ"/>
        </w:rPr>
        <w:t>;</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Temirtas </w:t>
      </w:r>
      <w:r>
        <w:rPr>
          <w:rFonts w:cs="Times New Roman" w:ascii="Times New Roman" w:hAnsi="Times New Roman"/>
          <w:sz w:val="20"/>
          <w:szCs w:val="20"/>
          <w:lang w:val="en-US"/>
        </w:rPr>
        <w:t xml:space="preserve">Kh.B. - assistant, </w:t>
      </w:r>
      <w:r>
        <w:rPr>
          <w:rFonts w:cs="Times New Roman" w:ascii="Times New Roman" w:hAnsi="Times New Roman"/>
          <w:sz w:val="20"/>
          <w:szCs w:val="20"/>
          <w:lang w:val="kk-KZ"/>
        </w:rPr>
        <w:t>Toraighyrov university, Pavlodar, Kazakhstan,</w:t>
      </w:r>
      <w:r>
        <w:rPr>
          <w:rFonts w:cs="Times New Roman" w:ascii="Times New Roman" w:hAnsi="Times New Roman"/>
          <w:sz w:val="20"/>
          <w:szCs w:val="20"/>
          <w:lang w:val="en-US"/>
        </w:rPr>
        <w:t xml:space="preserve"> </w:t>
      </w:r>
      <w:r>
        <w:rPr>
          <w:rFonts w:cs="Times New Roman" w:ascii="Times New Roman" w:hAnsi="Times New Roman"/>
          <w:sz w:val="20"/>
          <w:szCs w:val="20"/>
          <w:lang w:val="kk-KZ"/>
        </w:rPr>
        <w:t xml:space="preserve">e-mail: </w:t>
      </w:r>
      <w:hyperlink r:id="rId42">
        <w:r>
          <w:rPr>
            <w:rStyle w:val="Hyperlink"/>
            <w:rFonts w:cs="Times New Roman" w:ascii="Times New Roman" w:hAnsi="Times New Roman"/>
            <w:sz w:val="20"/>
            <w:szCs w:val="20"/>
            <w:lang w:val="kk-KZ"/>
          </w:rPr>
          <w:t>xamit1797@gmail.com</w:t>
        </w:r>
      </w:hyperlink>
      <w:r>
        <w:rPr>
          <w:rStyle w:val="Hyperlink"/>
          <w:rFonts w:cs="Times New Roman" w:ascii="Times New Roman" w:hAnsi="Times New Roman"/>
          <w:sz w:val="20"/>
          <w:szCs w:val="20"/>
          <w:lang w:val="kk-KZ"/>
        </w:rPr>
        <w:t>;</w:t>
      </w:r>
      <w:r>
        <w:rPr>
          <w:rFonts w:cs="Times New Roman" w:ascii="Times New Roman" w:hAnsi="Times New Roman"/>
          <w:sz w:val="20"/>
          <w:szCs w:val="20"/>
          <w:lang w:val="kk-KZ"/>
        </w:rPr>
        <w:t xml:space="preserve"> </w:t>
      </w:r>
    </w:p>
    <w:p>
      <w:pPr>
        <w:pStyle w:val="17"/>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t xml:space="preserve">Yermagambet B.T. - Doctor of Chemical Sciences, Professor, Academician of KazNAEN, Project Manager, Chief Researcher, Director of LLP "Institute of Coal Chemistry and Technology", Astana, Kazakhstan, e-mail: </w:t>
      </w:r>
      <w:hyperlink r:id="rId43">
        <w:r>
          <w:rPr>
            <w:rStyle w:val="Style"/>
            <w:rFonts w:eastAsia="Times New Roman" w:cs="Times New Roman" w:ascii="Times New Roman" w:hAnsi="Times New Roman"/>
            <w:color w:themeColor="text1" w:val="000000"/>
            <w:sz w:val="20"/>
            <w:szCs w:val="20"/>
            <w:lang w:val="en-US"/>
          </w:rPr>
          <w:t>bake.yer@mail.ru</w:t>
        </w:r>
      </w:hyperlink>
      <w:r>
        <w:rPr>
          <w:rFonts w:eastAsia="Times New Roman" w:cs="Times New Roman" w:ascii="Times New Roman" w:hAnsi="Times New Roman"/>
          <w:sz w:val="20"/>
          <w:szCs w:val="20"/>
          <w:lang w:val="en-US"/>
        </w:rPr>
        <w:t>;</w:t>
      </w:r>
    </w:p>
    <w:p>
      <w:pPr>
        <w:pStyle w:val="Normal"/>
        <w:spacing w:lineRule="auto" w:line="240" w:before="0" w:after="0"/>
        <w:jc w:val="both"/>
        <w:rPr>
          <w:rFonts w:ascii="Times New Roman" w:hAnsi="Times New Roman" w:cs="Times New Roman"/>
          <w:sz w:val="20"/>
          <w:szCs w:val="20"/>
          <w:lang w:val="en-US"/>
        </w:rPr>
      </w:pPr>
      <w:r>
        <w:rPr>
          <w:rFonts w:eastAsia="Times New Roman" w:cs="Times New Roman" w:ascii="Times New Roman" w:hAnsi="Times New Roman"/>
          <w:sz w:val="20"/>
          <w:szCs w:val="20"/>
          <w:lang w:val="en-US"/>
        </w:rPr>
        <w:t>Kassenova Zh.M. - Candidate of Chemical Sciences (</w:t>
      </w:r>
      <w:r>
        <w:rPr>
          <w:rFonts w:cs="Times New Roman" w:ascii="Times New Roman" w:hAnsi="Times New Roman"/>
          <w:sz w:val="20"/>
          <w:szCs w:val="20"/>
          <w:lang w:val="en-US"/>
        </w:rPr>
        <w:t>PhD</w:t>
      </w:r>
      <w:r>
        <w:rPr>
          <w:rFonts w:eastAsia="Times New Roman" w:cs="Times New Roman" w:ascii="Times New Roman" w:hAnsi="Times New Roman"/>
          <w:sz w:val="20"/>
          <w:szCs w:val="20"/>
          <w:lang w:val="en-US"/>
        </w:rPr>
        <w:t xml:space="preserve">), Leading Researcher, Deputy Director of LLP "Institute of Coal Chemistry and Technology", Astana, Kazakhstan, </w:t>
      </w:r>
      <w:r>
        <w:rPr>
          <w:rFonts w:cs="Times New Roman" w:ascii="Times New Roman" w:hAnsi="Times New Roman"/>
          <w:sz w:val="20"/>
          <w:szCs w:val="20"/>
          <w:lang w:val="en-US"/>
        </w:rPr>
        <w:t xml:space="preserve">e-mail: </w:t>
      </w:r>
      <w:hyperlink r:id="rId44">
        <w:r>
          <w:rPr>
            <w:rStyle w:val="Style"/>
            <w:rFonts w:eastAsia="Times New Roman" w:cs="Times New Roman" w:ascii="Times New Roman" w:hAnsi="Times New Roman"/>
            <w:color w:themeColor="text1" w:val="000000"/>
            <w:sz w:val="20"/>
            <w:szCs w:val="20"/>
            <w:lang w:val="en-US"/>
          </w:rPr>
          <w:t>zhanar_k_68@mail.ru</w:t>
        </w:r>
      </w:hyperlink>
      <w:r>
        <w:rPr>
          <w:rFonts w:cs="Times New Roman" w:ascii="Times New Roman" w:hAnsi="Times New Roman"/>
          <w:sz w:val="20"/>
          <w:szCs w:val="20"/>
          <w:lang w:val="en-US"/>
        </w:rPr>
        <w:t>;</w:t>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kk-KZ"/>
        </w:rPr>
        <w:t>Dauletzhanova Zh.T.</w:t>
      </w:r>
      <w:r>
        <w:rPr>
          <w:rFonts w:cs="Times New Roman" w:ascii="Times New Roman" w:hAnsi="Times New Roman"/>
          <w:sz w:val="20"/>
          <w:szCs w:val="20"/>
          <w:lang w:val="en-US"/>
        </w:rPr>
        <w:t xml:space="preserve"> - PhD, Associate Professor, Kazhach University of Technology and Business, Astana, Kazakhstan, e-mail: kaliyeva_zhanna@mail.ru;</w:t>
      </w:r>
    </w:p>
    <w:p>
      <w:pPr>
        <w:pStyle w:val="17"/>
        <w:spacing w:lineRule="auto" w:line="240" w:before="0" w:after="0"/>
        <w:jc w:val="both"/>
        <w:rPr>
          <w:rFonts w:ascii="Times New Roman" w:hAnsi="Times New Roman" w:cs="Times New Roman"/>
          <w:sz w:val="20"/>
          <w:szCs w:val="20"/>
          <w:lang w:val="kk-KZ"/>
        </w:rPr>
      </w:pPr>
      <w:r>
        <w:rPr>
          <w:rFonts w:eastAsia="Times New Roman" w:cs="Times New Roman" w:ascii="Times New Roman" w:hAnsi="Times New Roman"/>
          <w:sz w:val="20"/>
          <w:szCs w:val="20"/>
          <w:lang w:val="en-US"/>
        </w:rPr>
        <w:t xml:space="preserve">Kazankapova M.K. - PhD in Philosophy, Associate Professor, Corresponding Member of KazNAEN, Leading Researcher, Head of Laboratory of LLP "Institute of Coal Chemistry and Technology", Astana, Kazakhstan, e-mail: </w:t>
      </w:r>
      <w:hyperlink r:id="rId45">
        <w:r>
          <w:rPr>
            <w:rStyle w:val="Style"/>
            <w:rFonts w:eastAsia="Times New Roman" w:cs="Times New Roman" w:ascii="Times New Roman" w:hAnsi="Times New Roman"/>
            <w:color w:themeColor="text1" w:val="000000"/>
            <w:sz w:val="20"/>
            <w:szCs w:val="20"/>
            <w:lang w:val="en-US"/>
          </w:rPr>
          <w:t>maira_1986@mail.ru</w:t>
        </w:r>
      </w:hyperlink>
      <w:r>
        <w:rPr>
          <w:rFonts w:cs="Times New Roman" w:ascii="Times New Roman" w:hAnsi="Times New Roman"/>
          <w:sz w:val="20"/>
          <w:szCs w:val="20"/>
          <w:lang w:val="kk-KZ"/>
        </w:rPr>
        <w:t>;</w:t>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t>Akimbekov N</w:t>
      </w:r>
      <w:r>
        <w:rPr>
          <w:rFonts w:cs="Times New Roman" w:ascii="Times New Roman" w:hAnsi="Times New Roman"/>
          <w:sz w:val="20"/>
          <w:szCs w:val="20"/>
          <w:lang w:val="kk-KZ"/>
        </w:rPr>
        <w:t>.</w:t>
      </w:r>
      <w:r>
        <w:rPr>
          <w:rFonts w:cs="Times New Roman" w:ascii="Times New Roman" w:hAnsi="Times New Roman"/>
          <w:sz w:val="20"/>
          <w:szCs w:val="20"/>
          <w:lang w:val="en-US"/>
        </w:rPr>
        <w:t>S - PhD, Professor, Research Institute of “Sustainability of Ecology and Bioresources”</w:t>
      </w:r>
      <w:r>
        <w:rPr>
          <w:rFonts w:cs="Times New Roman" w:ascii="Times New Roman" w:hAnsi="Times New Roman"/>
          <w:sz w:val="20"/>
          <w:szCs w:val="20"/>
          <w:lang w:val="kk-KZ"/>
        </w:rPr>
        <w:t xml:space="preserve">, </w:t>
      </w:r>
      <w:r>
        <w:rPr>
          <w:rFonts w:cs="Times New Roman" w:ascii="Times New Roman" w:hAnsi="Times New Roman"/>
          <w:sz w:val="20"/>
          <w:szCs w:val="20"/>
          <w:lang w:val="en-US"/>
        </w:rPr>
        <w:t xml:space="preserve">Almaty, Kazakhstan, e-mail: </w:t>
      </w:r>
      <w:hyperlink r:id="rId46">
        <w:r>
          <w:rPr>
            <w:rStyle w:val="Hyperlink"/>
            <w:rFonts w:cs="Times New Roman" w:ascii="Times New Roman" w:hAnsi="Times New Roman"/>
            <w:sz w:val="20"/>
            <w:szCs w:val="20"/>
            <w:lang w:val="en-US"/>
          </w:rPr>
          <w:t>akimbeknur@gmail.com</w:t>
        </w:r>
      </w:hyperlink>
      <w:r>
        <w:rPr>
          <w:rFonts w:cs="Times New Roman" w:ascii="Times New Roman" w:hAnsi="Times New Roman"/>
          <w:sz w:val="20"/>
          <w:szCs w:val="20"/>
          <w:lang w:val="en-US"/>
        </w:rPr>
        <w:t>;</w:t>
      </w:r>
    </w:p>
    <w:p>
      <w:pPr>
        <w:pStyle w:val="Normal"/>
        <w:spacing w:before="0" w:after="0"/>
        <w:rPr>
          <w:rFonts w:ascii="Times New Roman" w:hAnsi="Times New Roman" w:cs="Times New Roman"/>
          <w:sz w:val="20"/>
          <w:szCs w:val="20"/>
          <w:lang w:val="en-US"/>
        </w:rPr>
      </w:pPr>
      <w:r>
        <w:rPr>
          <w:rFonts w:cs="Times New Roman" w:ascii="Times New Roman" w:hAnsi="Times New Roman"/>
          <w:sz w:val="20"/>
          <w:szCs w:val="20"/>
          <w:lang w:val="en-US"/>
        </w:rPr>
        <w:t>Tastambek K.T.– PhD, director, SRI Sustainability of ecology and bioresources, Al-Farabi Kazakh National University,Almaty, Kazakhstan,  e-mail: kuanysh.tastambek@kaznu.edu.kz</w:t>
      </w:r>
    </w:p>
    <w:p>
      <w:pPr>
        <w:pStyle w:val="Normal"/>
        <w:spacing w:before="0" w:after="0"/>
        <w:ind w:firstLine="567"/>
        <w:rPr>
          <w:rFonts w:ascii="Times New Roman" w:hAnsi="Times New Roman" w:cs="Times New Roman"/>
          <w:sz w:val="24"/>
          <w:szCs w:val="24"/>
          <w:lang w:val="kk-KZ"/>
        </w:rPr>
      </w:pPr>
      <w:r>
        <w:rPr>
          <w:rFonts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cs="Times New Roman"/>
          <w:b/>
          <w:i/>
          <w:i/>
          <w:sz w:val="20"/>
          <w:szCs w:val="20"/>
          <w:lang w:val="kk-KZ"/>
        </w:rPr>
      </w:pPr>
      <w:r>
        <w:rPr>
          <w:rFonts w:cs="Times New Roman" w:ascii="Times New Roman" w:hAnsi="Times New Roman"/>
          <w:b/>
          <w:i/>
          <w:sz w:val="20"/>
          <w:szCs w:val="20"/>
          <w:lang w:val="kk-KZ"/>
        </w:rPr>
        <w:t>Сведения об авторах</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Абдрахманов Е.С.</w:t>
      </w:r>
      <w:r>
        <w:rPr>
          <w:rFonts w:cs="Times New Roman" w:ascii="Times New Roman" w:hAnsi="Times New Roman"/>
          <w:sz w:val="20"/>
          <w:szCs w:val="20"/>
          <w:vertAlign w:val="superscript"/>
          <w:lang w:val="kk-KZ"/>
        </w:rPr>
        <w:t xml:space="preserve"> </w:t>
      </w:r>
      <w:r>
        <w:rPr>
          <w:rFonts w:cs="Times New Roman" w:ascii="Times New Roman" w:hAnsi="Times New Roman"/>
          <w:sz w:val="20"/>
          <w:szCs w:val="20"/>
          <w:lang w:val="kk-KZ"/>
        </w:rPr>
        <w:t>- к.т.н., профессор,</w:t>
      </w:r>
      <w:r>
        <w:rPr>
          <w:sz w:val="20"/>
          <w:szCs w:val="20"/>
          <w:lang w:val="kk-KZ"/>
        </w:rPr>
        <w:t xml:space="preserve"> </w:t>
      </w:r>
      <w:r>
        <w:rPr>
          <w:rFonts w:cs="Times New Roman" w:ascii="Times New Roman" w:hAnsi="Times New Roman"/>
          <w:sz w:val="20"/>
          <w:szCs w:val="20"/>
          <w:lang w:val="kk-KZ"/>
        </w:rPr>
        <w:t xml:space="preserve">Торайгыров Университет, Павлодар, Казахстан. e-mail: </w:t>
      </w:r>
      <w:hyperlink r:id="rId47">
        <w:r>
          <w:rPr>
            <w:rStyle w:val="Hyperlink"/>
            <w:rFonts w:cs="Times New Roman" w:ascii="Times New Roman" w:hAnsi="Times New Roman"/>
            <w:sz w:val="20"/>
            <w:szCs w:val="20"/>
            <w:lang w:val="kk-KZ"/>
          </w:rPr>
          <w:t>erai1512@mail.ru</w:t>
        </w:r>
      </w:hyperlink>
      <w:r>
        <w:rPr>
          <w:rStyle w:val="Hyperlink"/>
          <w:rFonts w:cs="Times New Roman" w:ascii="Times New Roman" w:hAnsi="Times New Roman"/>
          <w:sz w:val="20"/>
          <w:szCs w:val="20"/>
          <w:lang w:val="kk-KZ"/>
        </w:rPr>
        <w:t>;</w:t>
      </w:r>
      <w:r>
        <w:rPr>
          <w:rFonts w:cs="Times New Roman" w:ascii="Times New Roman" w:hAnsi="Times New Roman"/>
          <w:sz w:val="20"/>
          <w:szCs w:val="20"/>
          <w:lang w:val="kk-KZ"/>
        </w:rPr>
        <w:t xml:space="preserve"> </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Теміртас Х.Б. – ассистент, Торайгыров Университет, Павлодар, Казахстан. e-mail:</w:t>
      </w:r>
      <w:r>
        <w:rPr>
          <w:sz w:val="20"/>
          <w:szCs w:val="20"/>
          <w:lang w:val="kk-KZ"/>
        </w:rPr>
        <w:t xml:space="preserve"> </w:t>
      </w:r>
      <w:hyperlink r:id="rId48">
        <w:r>
          <w:rPr>
            <w:rStyle w:val="Hyperlink"/>
            <w:rFonts w:cs="Times New Roman" w:ascii="Times New Roman" w:hAnsi="Times New Roman"/>
            <w:sz w:val="20"/>
            <w:szCs w:val="20"/>
            <w:lang w:val="kk-KZ"/>
          </w:rPr>
          <w:t>xamit1797@gmail.com</w:t>
        </w:r>
      </w:hyperlink>
      <w:r>
        <w:rPr>
          <w:rStyle w:val="Hyperlink"/>
          <w:rFonts w:cs="Times New Roman" w:ascii="Times New Roman" w:hAnsi="Times New Roman"/>
          <w:sz w:val="20"/>
          <w:szCs w:val="20"/>
          <w:lang w:val="kk-KZ"/>
        </w:rPr>
        <w:t>;</w:t>
      </w:r>
      <w:r>
        <w:rPr>
          <w:rFonts w:cs="Times New Roman" w:ascii="Times New Roman" w:hAnsi="Times New Roman"/>
          <w:sz w:val="20"/>
          <w:szCs w:val="20"/>
          <w:lang w:val="kk-KZ"/>
        </w:rPr>
        <w:t xml:space="preserve"> </w:t>
      </w:r>
    </w:p>
    <w:p>
      <w:pPr>
        <w:pStyle w:val="17"/>
        <w:spacing w:before="0" w:after="0"/>
        <w:jc w:val="both"/>
        <w:rPr>
          <w:rFonts w:ascii="Times New Roman" w:hAnsi="Times New Roman" w:eastAsia="Times New Roman" w:cs="Times New Roman"/>
          <w:sz w:val="20"/>
          <w:szCs w:val="20"/>
        </w:rPr>
      </w:pPr>
      <w:r>
        <w:rPr>
          <w:rFonts w:eastAsia="Times New Roman" w:cs="Times New Roman" w:ascii="Times New Roman" w:hAnsi="Times New Roman"/>
          <w:color w:val="000000"/>
          <w:sz w:val="20"/>
          <w:szCs w:val="20"/>
        </w:rPr>
        <w:t xml:space="preserve">Ермагамбет Б.Т. - доктор химических наук, профессор, академик КазНАЕН, руководитель проекта, главный научный сотрудник, директор ТОО «Институт химии и технологии угля», Астана, Казахстан,  e-mail: </w:t>
      </w:r>
      <w:hyperlink r:id="rId49">
        <w:r>
          <w:rPr>
            <w:rStyle w:val="Style"/>
            <w:rFonts w:eastAsia="Times New Roman" w:cs="Times New Roman" w:ascii="Times New Roman" w:hAnsi="Times New Roman"/>
            <w:color w:themeColor="text1" w:val="000000"/>
            <w:sz w:val="20"/>
            <w:szCs w:val="20"/>
          </w:rPr>
          <w:t>bake.yer@mail.ru</w:t>
        </w:r>
      </w:hyperlink>
      <w:r>
        <w:rPr>
          <w:rFonts w:eastAsia="Times New Roman" w:cs="Times New Roman" w:ascii="Times New Roman" w:hAnsi="Times New Roman"/>
          <w:color w:themeColor="text1" w:val="000000"/>
          <w:sz w:val="20"/>
          <w:szCs w:val="20"/>
        </w:rPr>
        <w:t>;</w:t>
      </w:r>
      <w:r>
        <w:rPr>
          <w:sz w:val="20"/>
          <w:szCs w:val="20"/>
        </w:rPr>
        <w:t xml:space="preserve"> </w:t>
      </w:r>
    </w:p>
    <w:p>
      <w:pPr>
        <w:pStyle w:val="Normal"/>
        <w:spacing w:lineRule="auto" w:line="240" w:before="0" w:after="0"/>
        <w:jc w:val="both"/>
        <w:rPr>
          <w:rFonts w:ascii="Times New Roman" w:hAnsi="Times New Roman" w:cs="Times New Roman"/>
          <w:sz w:val="20"/>
          <w:szCs w:val="20"/>
        </w:rPr>
      </w:pPr>
      <w:r>
        <w:rPr>
          <w:rFonts w:eastAsia="Times New Roman" w:cs="Times New Roman" w:ascii="Times New Roman" w:hAnsi="Times New Roman"/>
          <w:sz w:val="20"/>
          <w:szCs w:val="20"/>
        </w:rPr>
        <w:t>Касенова</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sz w:val="20"/>
          <w:szCs w:val="20"/>
        </w:rPr>
        <w:t>Ж.М</w:t>
      </w:r>
      <w:r>
        <w:rPr>
          <w:rFonts w:eastAsia="Times New Roman" w:cs="Times New Roman" w:ascii="Times New Roman" w:hAnsi="Times New Roman"/>
          <w:color w:val="000000"/>
          <w:sz w:val="20"/>
          <w:szCs w:val="20"/>
        </w:rPr>
        <w:t xml:space="preserve">. – </w:t>
      </w:r>
      <w:r>
        <w:rPr>
          <w:rFonts w:eastAsia="Times New Roman" w:cs="Times New Roman" w:ascii="Times New Roman" w:hAnsi="Times New Roman"/>
          <w:sz w:val="20"/>
          <w:szCs w:val="20"/>
        </w:rPr>
        <w:t>кандидат химических наук (</w:t>
      </w:r>
      <w:r>
        <w:rPr>
          <w:rFonts w:cs="Times New Roman" w:ascii="Times New Roman" w:hAnsi="Times New Roman"/>
          <w:sz w:val="20"/>
          <w:szCs w:val="20"/>
          <w:lang w:val="en-US"/>
        </w:rPr>
        <w:t>PhD</w:t>
      </w:r>
      <w:r>
        <w:rPr>
          <w:rFonts w:eastAsia="Times New Roman" w:cs="Times New Roman" w:ascii="Times New Roman" w:hAnsi="Times New Roman"/>
          <w:sz w:val="20"/>
          <w:szCs w:val="20"/>
        </w:rPr>
        <w:t xml:space="preserve">), </w:t>
      </w:r>
      <w:r>
        <w:rPr>
          <w:rFonts w:eastAsia="Times New Roman" w:cs="Times New Roman" w:ascii="Times New Roman" w:hAnsi="Times New Roman"/>
          <w:color w:val="000000"/>
          <w:sz w:val="20"/>
          <w:szCs w:val="20"/>
        </w:rPr>
        <w:t xml:space="preserve">ведущий научный сотрудник, </w:t>
      </w:r>
      <w:r>
        <w:rPr>
          <w:rFonts w:eastAsia="Times New Roman" w:cs="Times New Roman" w:ascii="Times New Roman" w:hAnsi="Times New Roman"/>
          <w:sz w:val="20"/>
          <w:szCs w:val="20"/>
        </w:rPr>
        <w:t xml:space="preserve">заместитель директора ТОО «Институт химии и технологии угля», Астана, Казахстан,  e-mail: </w:t>
      </w:r>
      <w:hyperlink r:id="rId50">
        <w:r>
          <w:rPr>
            <w:rStyle w:val="Style"/>
            <w:rFonts w:eastAsia="Times New Roman" w:cs="Times New Roman" w:ascii="Times New Roman" w:hAnsi="Times New Roman"/>
            <w:color w:themeColor="text1" w:val="000000"/>
            <w:sz w:val="20"/>
            <w:szCs w:val="20"/>
          </w:rPr>
          <w:t>zhanar_k_68@mail.ru</w:t>
        </w:r>
      </w:hyperlink>
      <w:r>
        <w:rPr>
          <w:sz w:val="20"/>
          <w:szCs w:val="20"/>
        </w:rPr>
        <w:t>;</w:t>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 xml:space="preserve">Даулетжанова Ж.Т.- </w:t>
      </w:r>
      <w:r>
        <w:rPr>
          <w:rFonts w:cs="Times New Roman" w:ascii="Times New Roman" w:hAnsi="Times New Roman"/>
          <w:sz w:val="20"/>
          <w:szCs w:val="20"/>
          <w:lang w:val="en-US"/>
        </w:rPr>
        <w:t>PhD</w:t>
      </w:r>
      <w:r>
        <w:rPr>
          <w:rFonts w:cs="Times New Roman" w:ascii="Times New Roman" w:hAnsi="Times New Roman"/>
          <w:sz w:val="20"/>
          <w:szCs w:val="20"/>
        </w:rPr>
        <w:t xml:space="preserve">, ассоциированный профессор,Казахский университет технологии и бизнеса им.К.Кулажанова, Астана, Казахстан, </w:t>
      </w:r>
      <w:bookmarkStart w:id="0" w:name="_Hlk192852323"/>
      <w:r>
        <w:rPr>
          <w:rFonts w:cs="Times New Roman" w:ascii="Times New Roman" w:hAnsi="Times New Roman"/>
          <w:sz w:val="20"/>
          <w:szCs w:val="20"/>
        </w:rPr>
        <w:t>e-mail:</w:t>
      </w:r>
      <w:r>
        <w:rPr>
          <w:sz w:val="20"/>
          <w:szCs w:val="20"/>
        </w:rPr>
        <w:t xml:space="preserve"> </w:t>
      </w:r>
      <w:hyperlink r:id="rId51">
        <w:bookmarkEnd w:id="0"/>
        <w:r>
          <w:rPr>
            <w:rStyle w:val="Hyperlink"/>
            <w:rFonts w:cs="Times New Roman" w:ascii="Times New Roman" w:hAnsi="Times New Roman"/>
            <w:color w:themeColor="text1" w:val="000000"/>
            <w:sz w:val="20"/>
            <w:szCs w:val="20"/>
          </w:rPr>
          <w:t>kaliyeva_zhanna@mail.ru</w:t>
        </w:r>
      </w:hyperlink>
      <w:r>
        <w:rPr>
          <w:sz w:val="20"/>
          <w:szCs w:val="20"/>
        </w:rPr>
        <w:t>;</w:t>
      </w:r>
      <w:r>
        <w:rPr>
          <w:rFonts w:cs="Times New Roman" w:ascii="Times New Roman" w:hAnsi="Times New Roman"/>
          <w:sz w:val="20"/>
          <w:szCs w:val="20"/>
        </w:rPr>
        <w:t xml:space="preserve"> </w:t>
      </w:r>
    </w:p>
    <w:p>
      <w:pPr>
        <w:pStyle w:val="17"/>
        <w:spacing w:lineRule="auto" w:line="240" w:before="0" w:after="0"/>
        <w:jc w:val="both"/>
        <w:rPr>
          <w:sz w:val="20"/>
          <w:szCs w:val="20"/>
          <w:lang w:val="kk-KZ"/>
        </w:rPr>
      </w:pPr>
      <w:r>
        <w:rPr>
          <w:rFonts w:eastAsia="Times New Roman" w:cs="Times New Roman" w:ascii="Times New Roman" w:hAnsi="Times New Roman"/>
          <w:color w:val="000000"/>
          <w:sz w:val="20"/>
          <w:szCs w:val="20"/>
        </w:rPr>
        <w:t xml:space="preserve">Казанкапова </w:t>
      </w:r>
      <w:bookmarkStart w:id="1" w:name="_Hlk191069119"/>
      <w:r>
        <w:rPr>
          <w:rFonts w:eastAsia="Times New Roman" w:cs="Times New Roman" w:ascii="Times New Roman" w:hAnsi="Times New Roman"/>
          <w:color w:val="000000"/>
          <w:sz w:val="20"/>
          <w:szCs w:val="20"/>
        </w:rPr>
        <w:t>М.К.</w:t>
      </w:r>
      <w:bookmarkEnd w:id="1"/>
      <w:r>
        <w:rPr>
          <w:rFonts w:eastAsia="Times New Roman" w:cs="Times New Roman" w:ascii="Times New Roman" w:hAnsi="Times New Roman"/>
          <w:color w:val="000000"/>
          <w:sz w:val="20"/>
          <w:szCs w:val="20"/>
        </w:rPr>
        <w:t xml:space="preserve">-PhD, </w:t>
      </w:r>
      <w:r>
        <w:rPr>
          <w:rFonts w:cs="Times New Roman" w:ascii="Times New Roman" w:hAnsi="Times New Roman"/>
          <w:sz w:val="20"/>
          <w:szCs w:val="20"/>
        </w:rPr>
        <w:t>ассоциированный профессор</w:t>
      </w:r>
      <w:r>
        <w:rPr>
          <w:rFonts w:eastAsia="Times New Roman" w:cs="Times New Roman" w:ascii="Times New Roman" w:hAnsi="Times New Roman"/>
          <w:color w:val="000000"/>
          <w:sz w:val="20"/>
          <w:szCs w:val="20"/>
        </w:rPr>
        <w:t xml:space="preserve">, чл.-корр. КазНАЕН, ведущий научный сотрудник, заведующий лабораторией ТОО «Институт химии и технологии угля», Астана, Казахстан, e-mail: </w:t>
      </w:r>
      <w:hyperlink r:id="rId52">
        <w:r>
          <w:rPr>
            <w:rStyle w:val="Style"/>
            <w:rFonts w:eastAsia="Times New Roman" w:cs="Times New Roman" w:ascii="Times New Roman" w:hAnsi="Times New Roman"/>
            <w:color w:themeColor="text1" w:val="000000"/>
            <w:sz w:val="20"/>
            <w:szCs w:val="20"/>
          </w:rPr>
          <w:t>maira_1986@mail.ru</w:t>
        </w:r>
      </w:hyperlink>
      <w:r>
        <w:rPr>
          <w:rFonts w:eastAsia="Times New Roman" w:cs="Times New Roman" w:ascii="Times New Roman" w:hAnsi="Times New Roman"/>
          <w:color w:themeColor="text1" w:val="000000"/>
          <w:sz w:val="20"/>
          <w:szCs w:val="20"/>
        </w:rPr>
        <w:t>;</w:t>
      </w:r>
      <w:r>
        <w:rPr>
          <w:rFonts w:eastAsia="Times New Roman" w:cs="Times New Roman" w:ascii="Times New Roman" w:hAnsi="Times New Roman"/>
          <w:color w:val="000000"/>
          <w:sz w:val="20"/>
          <w:szCs w:val="20"/>
        </w:rPr>
        <w:t xml:space="preserve"> </w:t>
      </w:r>
    </w:p>
    <w:p>
      <w:pPr>
        <w:pStyle w:val="17"/>
        <w:pBdr/>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Акимбеков Н.Ш. - PhD, профессор, НИИ «Устойчивости экологии и биоресурсов», КазНУ им. аль-Фараби, Алматы, Казахстан, email: </w:t>
      </w:r>
      <w:hyperlink r:id="rId53">
        <w:r>
          <w:rPr>
            <w:rStyle w:val="Hyperlink"/>
            <w:rFonts w:cs="Times New Roman" w:ascii="Times New Roman" w:hAnsi="Times New Roman"/>
            <w:sz w:val="20"/>
            <w:szCs w:val="20"/>
            <w:lang w:val="kk-KZ"/>
          </w:rPr>
          <w:t>akimbeknur@gmail.com</w:t>
        </w:r>
      </w:hyperlink>
      <w:r>
        <w:rPr>
          <w:rFonts w:cs="Times New Roman" w:ascii="Times New Roman" w:hAnsi="Times New Roman"/>
          <w:sz w:val="20"/>
          <w:szCs w:val="20"/>
          <w:lang w:val="kk-KZ"/>
        </w:rPr>
        <w:t>;</w:t>
      </w:r>
    </w:p>
    <w:p>
      <w:pPr>
        <w:pStyle w:val="17"/>
        <w:pBdr/>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Тастамбек К.Т. - PhD, директор НИИ «Устойчивости экологии и биоресурсов», КазНУ им. аль-Фараби, Алматы, Казахстан, email: </w:t>
      </w:r>
      <w:hyperlink r:id="rId54">
        <w:r>
          <w:rPr>
            <w:rStyle w:val="Hyperlink"/>
            <w:rFonts w:cs="Times New Roman" w:ascii="Times New Roman" w:hAnsi="Times New Roman"/>
            <w:sz w:val="20"/>
            <w:szCs w:val="20"/>
            <w:lang w:val="kk-KZ"/>
          </w:rPr>
          <w:t>kuanysh.tastambek@kaznu.edu.kz</w:t>
        </w:r>
      </w:hyperlink>
      <w:r>
        <w:rPr>
          <w:rFonts w:cs="Times New Roman" w:ascii="Times New Roman" w:hAnsi="Times New Roman"/>
          <w:sz w:val="20"/>
          <w:szCs w:val="20"/>
          <w:lang w:val="kk-KZ"/>
        </w:rPr>
        <w:t xml:space="preserve"> </w:t>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eastAsia="Times New Roman" w:cs="Times New Roman"/>
          <w:color w:val="000000"/>
          <w:sz w:val="24"/>
          <w:szCs w:val="24"/>
          <w:lang w:val="kk-KZ"/>
        </w:rPr>
      </w:pPr>
      <w:r>
        <w:rPr>
          <w:rFonts w:eastAsia="Times New Roman" w:cs="Times New Roman" w:ascii="Times New Roman" w:hAnsi="Times New Roman"/>
          <w:color w:val="000000"/>
          <w:sz w:val="24"/>
          <w:szCs w:val="24"/>
          <w:lang w:val="kk-KZ"/>
        </w:rPr>
      </w:r>
    </w:p>
    <w:p>
      <w:pPr>
        <w:pStyle w:val="Normal"/>
        <w:spacing w:lineRule="auto" w:line="240" w:before="0" w:after="0"/>
        <w:rPr>
          <w:rFonts w:ascii="Times New Roman" w:hAnsi="Times New Roman" w:eastAsia="Calibri" w:cs="Times New Roman"/>
        </w:rPr>
      </w:pPr>
      <w:r>
        <w:rPr>
          <w:rFonts w:eastAsia="Calibri" w:cs="Times New Roman" w:ascii="Times New Roman" w:hAnsi="Times New Roman"/>
        </w:rPr>
        <w:t>МРНТИ 52.31.29</w:t>
      </w:r>
    </w:p>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jc w:val="center"/>
        <w:rPr>
          <w:rFonts w:ascii="Times New Roman" w:hAnsi="Times New Roman" w:eastAsia="Calibri" w:cs="Times New Roman"/>
          <w:b/>
          <w:bCs/>
        </w:rPr>
      </w:pPr>
      <w:r>
        <w:rPr>
          <w:rFonts w:eastAsia="Calibri" w:cs="Times New Roman" w:ascii="Times New Roman" w:hAnsi="Times New Roman"/>
          <w:b/>
          <w:bCs/>
        </w:rPr>
        <w:t xml:space="preserve">ГЕОЛОГИЧЕСКАЯ И ПОИСКОВАЯ ИЗУЧЕННОСТЬ УЧАСТКА ОРДАБАСЫ </w:t>
      </w:r>
    </w:p>
    <w:p>
      <w:pPr>
        <w:pStyle w:val="Normal"/>
        <w:spacing w:lineRule="auto" w:line="240" w:before="0" w:after="0"/>
        <w:jc w:val="center"/>
        <w:rPr>
          <w:rFonts w:ascii="Times New Roman" w:hAnsi="Times New Roman" w:eastAsia="Calibri" w:cs="Times New Roman"/>
          <w:b/>
          <w:bCs/>
        </w:rPr>
      </w:pPr>
      <w:r>
        <w:rPr>
          <w:rFonts w:eastAsia="Calibri" w:cs="Times New Roman" w:ascii="Times New Roman" w:hAnsi="Times New Roman"/>
          <w:b/>
          <w:bCs/>
        </w:rPr>
        <w:t xml:space="preserve">С ЦЕЛЬЮ ПОИСКОВО-ОЦЕНОЧНЫХ РАБОТ НА МЕДНУЮ РУДУ </w:t>
      </w:r>
    </w:p>
    <w:p>
      <w:pPr>
        <w:pStyle w:val="Normal"/>
        <w:spacing w:lineRule="auto" w:line="240" w:before="0" w:after="0"/>
        <w:jc w:val="center"/>
        <w:rPr>
          <w:rFonts w:ascii="Times New Roman" w:hAnsi="Times New Roman" w:eastAsia="Calibri" w:cs="Times New Roman"/>
          <w:b/>
          <w:bCs/>
        </w:rPr>
      </w:pPr>
      <w:r>
        <w:rPr>
          <w:rFonts w:eastAsia="Calibri" w:cs="Times New Roman" w:ascii="Times New Roman" w:hAnsi="Times New Roman"/>
          <w:b/>
          <w:bCs/>
        </w:rPr>
        <w:t>И ПОПУТНЫЕ КОМПОНЕНТЫ</w:t>
      </w:r>
    </w:p>
    <w:p>
      <w:pPr>
        <w:pStyle w:val="Normal"/>
        <w:spacing w:lineRule="auto" w:line="240" w:before="0" w:after="0"/>
        <w:jc w:val="center"/>
        <w:rPr>
          <w:rFonts w:ascii="Times New Roman" w:hAnsi="Times New Roman" w:eastAsia="Calibri" w:cs="Times New Roman"/>
          <w:b/>
          <w:bCs/>
        </w:rPr>
      </w:pPr>
      <w:r>
        <w:rPr>
          <w:rFonts w:eastAsia="Calibri" w:cs="Times New Roman" w:ascii="Times New Roman" w:hAnsi="Times New Roman"/>
          <w:b/>
          <w:bCs/>
        </w:rPr>
      </w:r>
    </w:p>
    <w:p>
      <w:pPr>
        <w:pStyle w:val="Normal"/>
        <w:spacing w:lineRule="auto" w:line="240" w:before="0" w:after="0"/>
        <w:jc w:val="center"/>
        <w:rPr>
          <w:rFonts w:ascii="Times New Roman" w:hAnsi="Times New Roman" w:eastAsia="Times New Roman" w:cs="Times New Roman"/>
          <w:sz w:val="24"/>
          <w:szCs w:val="24"/>
          <w:lang w:eastAsia="ru-RU"/>
        </w:rPr>
      </w:pPr>
      <w:r>
        <w:rPr>
          <w:rFonts w:eastAsia="Times New Roman" w:cs="Times New Roman" w:ascii="Times New Roman" w:hAnsi="Times New Roman"/>
          <w:b/>
          <w:bCs/>
          <w:lang w:val="kk-KZ" w:eastAsia="ru-RU"/>
        </w:rPr>
        <w:t>Тұрғали А</w:t>
      </w:r>
      <w:r>
        <w:rPr>
          <w:rFonts w:eastAsia="Times New Roman" w:cs="Times New Roman" w:ascii="Times New Roman" w:hAnsi="Times New Roman"/>
          <w:b/>
          <w:bCs/>
          <w:lang w:eastAsia="ru-RU"/>
        </w:rPr>
        <w:t>.Т.</w:t>
      </w:r>
      <w:r>
        <w:rPr>
          <w:rFonts w:eastAsia="Times New Roman" w:cs="Times New Roman" w:ascii="Times New Roman" w:hAnsi="Times New Roman"/>
          <w:lang w:eastAsia="ru-RU"/>
        </w:rPr>
        <w:t xml:space="preserve"> </w:t>
      </w:r>
      <w:r>
        <w:rPr/>
        <w:drawing>
          <wp:inline distT="0" distB="0" distL="0" distR="0">
            <wp:extent cx="137160" cy="137160"/>
            <wp:effectExtent l="0" t="0" r="0" b="0"/>
            <wp:docPr id="23" name="Рисунок 53" descr="D:\Desktop\иконка.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53" descr="D:\Desktop\иконка.png">
                      <a:hlinkClick r:id="rId56"/>
                    </pic:cNvPr>
                    <pic:cNvPicPr>
                      <a:picLocks noChangeAspect="1" noChangeArrowheads="1"/>
                    </pic:cNvPicPr>
                  </pic:nvPicPr>
                  <pic:blipFill>
                    <a:blip r:embed="rId55"/>
                    <a:stretch>
                      <a:fillRect/>
                    </a:stretch>
                  </pic:blipFill>
                  <pic:spPr bwMode="auto">
                    <a:xfrm>
                      <a:off x="0" y="0"/>
                      <a:ext cx="137160" cy="137160"/>
                    </a:xfrm>
                    <a:prstGeom prst="rect">
                      <a:avLst/>
                    </a:prstGeom>
                    <a:noFill/>
                  </pic:spPr>
                </pic:pic>
              </a:graphicData>
            </a:graphic>
          </wp:inline>
        </w:drawing>
      </w:r>
      <w:r>
        <w:rPr>
          <w:rFonts w:eastAsia="Wingdings" w:cs="Wingdings" w:ascii="Wingdings" w:hAnsi="Wingdings"/>
          <w:b/>
          <w:bCs/>
          <w:color w:val="5B9BD5"/>
          <w:vertAlign w:val="superscript"/>
          <w:lang w:eastAsia="ru-RU"/>
        </w:rPr>
        <w:sym w:font="Wingdings" w:char="f02a"/>
      </w:r>
      <w:r>
        <w:rPr>
          <w:rFonts w:eastAsia="Times New Roman" w:cs="Times New Roman" w:ascii="Times New Roman" w:hAnsi="Times New Roman"/>
          <w:b/>
          <w:bCs/>
          <w:lang w:eastAsia="ru-RU"/>
        </w:rPr>
        <w:t>,</w:t>
      </w:r>
      <w:r>
        <w:rPr>
          <w:rFonts w:eastAsia="Times New Roman" w:cs="Times New Roman" w:ascii="Times New Roman" w:hAnsi="Times New Roman"/>
          <w:b/>
          <w:bCs/>
          <w:lang w:val="kk-KZ" w:eastAsia="ru-RU"/>
        </w:rPr>
        <w:t xml:space="preserve"> Қ.Ә.</w:t>
      </w:r>
      <w:r>
        <w:rPr>
          <w:rFonts w:eastAsia="Times New Roman" w:cs="Times New Roman" w:ascii="Times New Roman" w:hAnsi="Times New Roman"/>
          <w:b/>
          <w:bCs/>
          <w:lang w:eastAsia="ru-RU"/>
        </w:rPr>
        <w:t xml:space="preserve"> </w:t>
      </w:r>
      <w:r>
        <w:rPr>
          <w:rFonts w:eastAsia="Times New Roman" w:cs="Times New Roman" w:ascii="Times New Roman" w:hAnsi="Times New Roman"/>
          <w:b/>
          <w:bCs/>
          <w:lang w:val="kk-KZ" w:eastAsia="ru-RU"/>
        </w:rPr>
        <w:t>Қожахмет</w:t>
      </w:r>
      <w:r>
        <w:rPr/>
        <w:drawing>
          <wp:inline distT="0" distB="0" distL="0" distR="0">
            <wp:extent cx="137160" cy="137160"/>
            <wp:effectExtent l="0" t="0" r="0" b="0"/>
            <wp:docPr id="24" name="Рисунок 54" descr="D:\Desktop\иконка.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54" descr="D:\Desktop\иконка.png">
                      <a:hlinkClick r:id="rId58"/>
                    </pic:cNvPr>
                    <pic:cNvPicPr>
                      <a:picLocks noChangeAspect="1" noChangeArrowheads="1"/>
                    </pic:cNvPicPr>
                  </pic:nvPicPr>
                  <pic:blipFill>
                    <a:blip r:embed="rId57"/>
                    <a:stretch>
                      <a:fillRect/>
                    </a:stretch>
                  </pic:blipFill>
                  <pic:spPr bwMode="auto">
                    <a:xfrm>
                      <a:off x="0" y="0"/>
                      <a:ext cx="137160" cy="137160"/>
                    </a:xfrm>
                    <a:prstGeom prst="rect">
                      <a:avLst/>
                    </a:prstGeom>
                    <a:noFill/>
                  </pic:spPr>
                </pic:pic>
              </a:graphicData>
            </a:graphic>
          </wp:inline>
        </w:drawing>
      </w:r>
      <w:r>
        <w:rPr>
          <w:rFonts w:eastAsia="Times New Roman" w:cs="Times New Roman" w:ascii="Times New Roman" w:hAnsi="Times New Roman"/>
          <w:b/>
          <w:bCs/>
          <w:lang w:val="kk-KZ" w:eastAsia="ru-RU"/>
        </w:rPr>
        <w:t>,</w:t>
      </w:r>
      <w:r>
        <w:rPr>
          <w:rFonts w:eastAsia="Times New Roman" w:cs="Times New Roman" w:ascii="Times New Roman" w:hAnsi="Times New Roman"/>
          <w:b/>
          <w:bCs/>
          <w:lang w:eastAsia="ru-RU"/>
        </w:rPr>
        <w:t xml:space="preserve"> А.Г.Гусманова</w:t>
      </w:r>
      <w:r>
        <w:rPr>
          <w:rFonts w:eastAsia="Times New Roman" w:cs="Times New Roman" w:ascii="Times New Roman" w:hAnsi="Times New Roman"/>
          <w:b/>
          <w:bCs/>
          <w:sz w:val="24"/>
          <w:szCs w:val="24"/>
          <w:lang w:eastAsia="ru-RU"/>
        </w:rPr>
        <w:t xml:space="preserve"> </w:t>
      </w:r>
      <w:r>
        <w:rPr/>
        <w:drawing>
          <wp:inline distT="0" distB="0" distL="0" distR="0">
            <wp:extent cx="137160" cy="137160"/>
            <wp:effectExtent l="0" t="0" r="0" b="0"/>
            <wp:docPr id="25" name="Рисунок 55" descr="D:\Desktop\иконка.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55" descr="D:\Desktop\иконка.png">
                      <a:hlinkClick r:id="rId60"/>
                    </pic:cNvPr>
                    <pic:cNvPicPr>
                      <a:picLocks noChangeAspect="1" noChangeArrowheads="1"/>
                    </pic:cNvPicPr>
                  </pic:nvPicPr>
                  <pic:blipFill>
                    <a:blip r:embed="rId59"/>
                    <a:stretch>
                      <a:fillRect/>
                    </a:stretch>
                  </pic:blipFill>
                  <pic:spPr bwMode="auto">
                    <a:xfrm>
                      <a:off x="0" y="0"/>
                      <a:ext cx="137160" cy="137160"/>
                    </a:xfrm>
                    <a:prstGeom prst="rect">
                      <a:avLst/>
                    </a:prstGeom>
                    <a:noFill/>
                  </pic:spPr>
                </pic:pic>
              </a:graphicData>
            </a:graphic>
          </wp:inline>
        </w:drawing>
      </w:r>
    </w:p>
    <w:p>
      <w:pPr>
        <w:pStyle w:val="Normal"/>
        <w:spacing w:lineRule="auto" w:line="240" w:before="0" w:after="0"/>
        <w:jc w:val="center"/>
        <w:rPr>
          <w:rFonts w:ascii="Times New Roman" w:hAnsi="Times New Roman" w:eastAsia="Calibri" w:cs="Times New Roman"/>
          <w:i/>
          <w:i/>
          <w:sz w:val="20"/>
          <w:szCs w:val="20"/>
          <w:shd w:fill="FFFFFF" w:val="clear"/>
        </w:rPr>
      </w:pPr>
      <w:r>
        <w:rPr>
          <w:rFonts w:eastAsia="Calibri" w:cs="Times New Roman" w:ascii="Times New Roman" w:hAnsi="Times New Roman"/>
          <w:i/>
          <w:sz w:val="20"/>
          <w:szCs w:val="20"/>
          <w:shd w:fill="FFFFFF" w:val="clear"/>
        </w:rPr>
        <w:t>Каспийский университет технологии и инжиниринга им. Ш. Есенова, Актау, Казахстан</w:t>
      </w:r>
    </w:p>
    <w:p>
      <w:pPr>
        <w:pStyle w:val="Normal"/>
        <w:spacing w:lineRule="auto" w:line="240" w:before="0" w:after="0"/>
        <w:rPr>
          <w:rFonts w:ascii="Calibri" w:hAnsi="Calibri" w:eastAsia="Calibri" w:cs="Times New Roman"/>
          <w:b/>
          <w:bCs/>
        </w:rPr>
      </w:pPr>
      <w:r>
        <w:rPr>
          <w:rFonts w:eastAsia="Calibri" w:cs="Times New Roman" w:ascii="Times New Roman" w:hAnsi="Times New Roman"/>
          <w:b/>
          <w:bCs/>
        </w:rPr>
        <w:t xml:space="preserve">  </w:t>
      </w:r>
    </w:p>
    <w:p>
      <w:pPr>
        <w:pStyle w:val="Normal"/>
        <w:spacing w:lineRule="auto" w:line="240" w:before="0" w:after="0"/>
        <w:jc w:val="both"/>
        <w:rPr>
          <w:rFonts w:ascii="Times New Roman" w:hAnsi="Times New Roman" w:eastAsia="Calibri" w:cs="Times New Roman"/>
        </w:rPr>
      </w:pPr>
      <w:r>
        <w:rPr>
          <w:rFonts w:eastAsia="Wingdings" w:cs="Wingdings" w:ascii="Wingdings" w:hAnsi="Wingdings"/>
          <w:b/>
          <w:bCs/>
          <w:color w:val="5B9BD5"/>
          <w:vertAlign w:val="superscript"/>
        </w:rPr>
        <w:sym w:font="Wingdings" w:char="f02a"/>
      </w:r>
      <w:r>
        <w:rPr>
          <w:rFonts w:eastAsia="Calibri" w:cs="Times New Roman" w:ascii="Times New Roman" w:hAnsi="Times New Roman"/>
        </w:rPr>
        <w:t xml:space="preserve">Корреспондент- автор: </w:t>
      </w:r>
      <w:hyperlink r:id="rId61">
        <w:r>
          <w:rPr>
            <w:rStyle w:val="Style"/>
            <w:rFonts w:eastAsia="Times New Roman" w:cs="Times New Roman" w:ascii="Times New Roman" w:hAnsi="Times New Roman"/>
            <w:lang w:val="en-US" w:eastAsia="ru-RU"/>
          </w:rPr>
          <w:t>aiman</w:t>
        </w:r>
        <w:r>
          <w:rPr>
            <w:rStyle w:val="Style"/>
            <w:rFonts w:eastAsia="Times New Roman" w:cs="Times New Roman" w:ascii="Times New Roman" w:hAnsi="Times New Roman"/>
            <w:lang w:eastAsia="ru-RU"/>
          </w:rPr>
          <w:t>.</w:t>
        </w:r>
        <w:r>
          <w:rPr>
            <w:rStyle w:val="Style"/>
            <w:rFonts w:eastAsia="Times New Roman" w:cs="Times New Roman" w:ascii="Times New Roman" w:hAnsi="Times New Roman"/>
            <w:lang w:val="en-US" w:eastAsia="ru-RU"/>
          </w:rPr>
          <w:t>tt</w:t>
        </w:r>
        <w:r>
          <w:rPr>
            <w:rStyle w:val="Style"/>
            <w:rFonts w:eastAsia="Times New Roman" w:cs="Times New Roman" w:ascii="Times New Roman" w:hAnsi="Times New Roman"/>
            <w:lang w:eastAsia="ru-RU"/>
          </w:rPr>
          <w:t>@</w:t>
        </w:r>
        <w:r>
          <w:rPr>
            <w:rStyle w:val="Style"/>
            <w:rFonts w:eastAsia="Times New Roman" w:cs="Times New Roman" w:ascii="Times New Roman" w:hAnsi="Times New Roman"/>
            <w:lang w:val="en-US" w:eastAsia="ru-RU"/>
          </w:rPr>
          <w:t>mail</w:t>
        </w:r>
        <w:r>
          <w:rPr>
            <w:rStyle w:val="Style"/>
            <w:rFonts w:eastAsia="Times New Roman" w:cs="Times New Roman" w:ascii="Times New Roman" w:hAnsi="Times New Roman"/>
            <w:lang w:eastAsia="ru-RU"/>
          </w:rPr>
          <w:t>.</w:t>
        </w:r>
        <w:r>
          <w:rPr>
            <w:rStyle w:val="Style"/>
            <w:rFonts w:eastAsia="Times New Roman" w:cs="Times New Roman" w:ascii="Times New Roman" w:hAnsi="Times New Roman"/>
            <w:lang w:val="en-US" w:eastAsia="ru-RU"/>
          </w:rPr>
          <w:t>ru</w:t>
        </w:r>
      </w:hyperlink>
    </w:p>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В данной статье исследуется геологическая и поисковая характеристика участка Ордабасы с акцентом на поисково-оценочные работы по медной руде и сопутствующим компонентам. Площадь исследования составляет 15 км², и, хотя участок проявляет перспективность, окончательная оценка не была проведена из-за недостатка поисково-оценочных работ для формирования промышленных запасов меди и сопутствующих компонентов, при этом прогнозные ресурсы классифицируются по категории Р3. Первоначальные геологические исследования данной территории проводились в 1938-1946 годах и были связаны с изучением Атасуйских железорудных месторождений. В ходе этих работ были составлены геологические карты северной части Атасуйского рудного поля, а также геоморфологические карты и карты окрестностей Малого Ктая. Впервые в регионе выделены горизонты нижнего девона: каражирикский, прибалхашский и сарджальский. Также была фаунистически охарактеризована тектурмасская свита кембрия, а допалеозойские отложения разделены на свиты и пачки. Определены перспективы на золото, медь и полиметаллы, а в фаменских отложениях установлены фации, потенциально перспективные для поиска свинцово-цинковых руд стратиформного типа. На основе обширных картографических и поисковых работ были построены карты допалеозойских образований, дробно расчленены отложения франского, фаменского ярусов и нижнетурнейских отложений с выделением мелководных и глубоководных фаций. Проведено геохимическое исследование района, выявлены новые проявления рудной минерализации, что обосновало необходимость оценки глубоких горизонтов медного месторождения Успенское. Поисковые работы осуществлялись как в процессе геолого-съемочных работ, так и в ходе специализированных поисков, что привело к выявлению редкометалльной и медной минерализации, связанной с малой линейной интрузией гранитов. Выделена значительная площадь минерализованных пород, что стало основанием для продолжения поисковых работ на участке Просторненский. Оценка оруденения проводилась с использованием различных методов, включая магниторазведку и электроразведку. На площади также обнаружены геофизические аномалии, связанные с эндо-экзоконтактом гранитоидов Просторненского массива и осадочных пород нижнего силура. Большинство этих аномалий изучено недостаточно или не проверено вовсе. </w:t>
      </w:r>
    </w:p>
    <w:p>
      <w:pPr>
        <w:pStyle w:val="Normal"/>
        <w:spacing w:lineRule="auto" w:line="240" w:before="0" w:after="0"/>
        <w:ind w:firstLine="709"/>
        <w:jc w:val="both"/>
        <w:rPr>
          <w:rFonts w:ascii="Times New Roman" w:hAnsi="Times New Roman" w:eastAsia="Calibri" w:cs="Times New Roman"/>
          <w:bCs/>
          <w:sz w:val="24"/>
          <w:szCs w:val="24"/>
        </w:rPr>
      </w:pPr>
      <w:r>
        <w:rPr>
          <w:rFonts w:eastAsia="Calibri" w:cs="Times New Roman" w:ascii="Times New Roman" w:hAnsi="Times New Roman"/>
          <w:b/>
          <w:bCs/>
          <w:sz w:val="24"/>
          <w:szCs w:val="24"/>
        </w:rPr>
        <w:t>Ключевые слова:</w:t>
      </w:r>
      <w:r>
        <w:rPr>
          <w:rFonts w:eastAsia="Calibri" w:cs="Times New Roman" w:ascii="Times New Roman" w:hAnsi="Times New Roman"/>
          <w:sz w:val="24"/>
          <w:szCs w:val="24"/>
        </w:rPr>
        <w:t xml:space="preserve"> геологическая изученность, руда</w:t>
      </w:r>
      <w:r>
        <w:rPr>
          <w:rFonts w:eastAsia="Calibri" w:cs="Times New Roman" w:ascii="Times New Roman" w:hAnsi="Times New Roman"/>
          <w:bCs/>
          <w:sz w:val="24"/>
          <w:szCs w:val="24"/>
        </w:rPr>
        <w:t>, тектоника, геологическое развитие, геофизика</w:t>
      </w:r>
      <w:r>
        <w:rPr>
          <w:rFonts w:eastAsia="Calibri" w:cs="Times New Roman" w:ascii="Times New Roman" w:hAnsi="Times New Roman"/>
          <w:sz w:val="24"/>
          <w:szCs w:val="24"/>
        </w:rPr>
        <w:t>,</w:t>
      </w:r>
      <w:r>
        <w:rPr>
          <w:rFonts w:eastAsia="Calibri" w:cs="Times New Roman" w:ascii="Times New Roman" w:hAnsi="Times New Roman"/>
          <w:bCs/>
          <w:sz w:val="24"/>
          <w:szCs w:val="24"/>
        </w:rPr>
        <w:t xml:space="preserve"> аномалия, медь. </w:t>
      </w:r>
    </w:p>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ind w:firstLine="709"/>
        <w:jc w:val="center"/>
        <w:rPr>
          <w:rFonts w:ascii="Times New Roman" w:hAnsi="Times New Roman" w:eastAsia="Calibri" w:cs="Times New Roman"/>
          <w:b/>
          <w:bCs/>
        </w:rPr>
      </w:pPr>
      <w:r>
        <w:rPr>
          <w:rFonts w:eastAsia="Calibri" w:cs="Times New Roman" w:ascii="Times New Roman" w:hAnsi="Times New Roman"/>
          <w:b/>
          <w:bCs/>
        </w:rPr>
        <w:t xml:space="preserve">МЫС КЕНІ МЕН ІЛЕСПЕ КОМПОНЕНТТЕРГЕ ІЗДЕУ-БАҒАЛАУ </w:t>
      </w:r>
    </w:p>
    <w:p>
      <w:pPr>
        <w:pStyle w:val="Normal"/>
        <w:spacing w:lineRule="auto" w:line="240" w:before="0" w:after="0"/>
        <w:ind w:firstLine="709"/>
        <w:jc w:val="center"/>
        <w:rPr>
          <w:rFonts w:ascii="Times New Roman" w:hAnsi="Times New Roman" w:eastAsia="Calibri" w:cs="Times New Roman"/>
          <w:b/>
          <w:bCs/>
        </w:rPr>
      </w:pPr>
      <w:r>
        <w:rPr>
          <w:rFonts w:eastAsia="Calibri" w:cs="Times New Roman" w:ascii="Times New Roman" w:hAnsi="Times New Roman"/>
          <w:b/>
          <w:bCs/>
        </w:rPr>
        <w:t>ЖҰМЫСТАРЫ МАҚСАТЫНДА ОРДАБАСЫ УЧАСКЕСІНІҢ ГЕОЛОГИЯЛЫҚ ЖӘНЕ ІЗДЕСТІРУ ЗЕРДЕЛЕНУІ</w:t>
      </w:r>
    </w:p>
    <w:p>
      <w:pPr>
        <w:pStyle w:val="Normal"/>
        <w:spacing w:lineRule="auto" w:line="240" w:before="0" w:after="0"/>
        <w:ind w:firstLine="709"/>
        <w:jc w:val="center"/>
        <w:rPr>
          <w:rFonts w:ascii="Times New Roman" w:hAnsi="Times New Roman" w:eastAsia="Calibri" w:cs="Times New Roman"/>
          <w:b/>
          <w:bCs/>
        </w:rPr>
      </w:pPr>
      <w:r>
        <w:rPr>
          <w:rFonts w:eastAsia="Calibri" w:cs="Times New Roman" w:ascii="Times New Roman" w:hAnsi="Times New Roman"/>
          <w:b/>
          <w:bCs/>
        </w:rPr>
      </w:r>
    </w:p>
    <w:p>
      <w:pPr>
        <w:pStyle w:val="Normal"/>
        <w:spacing w:lineRule="auto" w:line="240" w:before="0" w:after="0"/>
        <w:jc w:val="center"/>
        <w:rPr>
          <w:rFonts w:ascii="Times New Roman" w:hAnsi="Times New Roman" w:eastAsia="Calibri" w:cs="Times New Roman"/>
          <w:b/>
          <w:bCs/>
        </w:rPr>
      </w:pPr>
      <w:r>
        <w:rPr>
          <w:rFonts w:eastAsia="Calibri" w:cs="Times New Roman" w:ascii="Times New Roman" w:hAnsi="Times New Roman"/>
          <w:b/>
          <w:bCs/>
          <w:lang w:val="kk-KZ"/>
        </w:rPr>
        <w:t>А</w:t>
      </w:r>
      <w:r>
        <w:rPr>
          <w:rFonts w:eastAsia="Calibri" w:cs="Times New Roman" w:ascii="Times New Roman" w:hAnsi="Times New Roman"/>
          <w:b/>
          <w:bCs/>
        </w:rPr>
        <w:t>.Т.</w:t>
      </w:r>
      <w:r>
        <w:rPr>
          <w:rFonts w:eastAsia="Calibri" w:cs="Times New Roman" w:ascii="Times New Roman" w:hAnsi="Times New Roman"/>
          <w:b/>
          <w:bCs/>
          <w:lang w:val="kk-KZ"/>
        </w:rPr>
        <w:t>Тұрғали</w:t>
      </w:r>
      <w:r>
        <w:rPr>
          <w:rFonts w:eastAsia="Wingdings" w:cs="Wingdings" w:ascii="Wingdings" w:hAnsi="Wingdings"/>
          <w:b/>
          <w:bCs/>
          <w:color w:val="5B9BD5"/>
          <w:vertAlign w:val="superscript"/>
        </w:rPr>
        <w:sym w:font="Wingdings" w:char="f02a"/>
      </w:r>
      <w:r>
        <w:rPr>
          <w:rFonts w:eastAsia="Calibri" w:cs="Times New Roman" w:ascii="Times New Roman" w:hAnsi="Times New Roman"/>
          <w:b/>
          <w:bCs/>
        </w:rPr>
        <w:t xml:space="preserve">,   </w:t>
      </w:r>
      <w:r>
        <w:rPr>
          <w:rFonts w:eastAsia="Calibri" w:cs="Times New Roman" w:ascii="Times New Roman" w:hAnsi="Times New Roman"/>
          <w:b/>
          <w:bCs/>
          <w:lang w:val="kk-KZ"/>
        </w:rPr>
        <w:t xml:space="preserve">Қ.Ә. Қожахмет, </w:t>
      </w:r>
      <w:r>
        <w:rPr>
          <w:rFonts w:eastAsia="Calibri" w:cs="Times New Roman" w:ascii="Times New Roman" w:hAnsi="Times New Roman"/>
          <w:b/>
          <w:bCs/>
        </w:rPr>
        <w:t xml:space="preserve">А.Г. Гусманова </w:t>
      </w:r>
    </w:p>
    <w:p>
      <w:pPr>
        <w:pStyle w:val="Normal"/>
        <w:spacing w:lineRule="auto" w:line="240" w:before="0" w:after="0"/>
        <w:jc w:val="center"/>
        <w:rPr>
          <w:rFonts w:ascii="Times New Roman" w:hAnsi="Times New Roman" w:eastAsia="Calibri" w:cs="Times New Roman"/>
          <w:i/>
          <w:i/>
          <w:spacing w:val="8"/>
          <w:sz w:val="20"/>
          <w:szCs w:val="20"/>
        </w:rPr>
      </w:pPr>
      <w:r>
        <w:rPr>
          <w:rFonts w:eastAsia="Calibri" w:cs="Times New Roman" w:ascii="Times New Roman" w:hAnsi="Times New Roman"/>
          <w:i/>
          <w:spacing w:val="8"/>
          <w:sz w:val="20"/>
          <w:szCs w:val="20"/>
        </w:rPr>
        <w:t xml:space="preserve">Ш. Есенов атындағы Каспий технологиялар және инжиниринг университеті, </w:t>
      </w:r>
    </w:p>
    <w:p>
      <w:pPr>
        <w:pStyle w:val="Normal"/>
        <w:spacing w:lineRule="auto" w:line="240" w:before="0" w:after="0"/>
        <w:jc w:val="center"/>
        <w:rPr>
          <w:rFonts w:ascii="Times New Roman" w:hAnsi="Times New Roman" w:eastAsia="Calibri" w:cs="Times New Roman"/>
          <w:i/>
          <w:i/>
          <w:spacing w:val="8"/>
          <w:sz w:val="20"/>
          <w:szCs w:val="20"/>
          <w:lang w:val="kk-KZ"/>
        </w:rPr>
      </w:pPr>
      <w:r>
        <w:rPr>
          <w:rFonts w:eastAsia="Calibri" w:cs="Times New Roman" w:ascii="Times New Roman" w:hAnsi="Times New Roman"/>
          <w:i/>
          <w:spacing w:val="8"/>
          <w:sz w:val="20"/>
          <w:szCs w:val="20"/>
          <w:lang w:val="kk-KZ"/>
        </w:rPr>
        <w:t xml:space="preserve">Ақтау, Қазақстан, </w:t>
      </w:r>
    </w:p>
    <w:p>
      <w:pPr>
        <w:pStyle w:val="Normal"/>
        <w:spacing w:lineRule="auto" w:line="240" w:before="0" w:after="0"/>
        <w:ind w:firstLine="708"/>
        <w:rPr>
          <w:rFonts w:ascii="Times New Roman" w:hAnsi="Times New Roman" w:eastAsia="Times New Roman" w:cs="Times New Roman"/>
          <w:i/>
          <w:i/>
          <w:sz w:val="20"/>
          <w:szCs w:val="20"/>
          <w:lang w:eastAsia="ru-RU"/>
        </w:rPr>
      </w:pPr>
      <w:r>
        <w:rPr>
          <w:rFonts w:eastAsia="Calibri" w:cs="Times New Roman" w:ascii="Times New Roman" w:hAnsi="Times New Roman"/>
          <w:i/>
          <w:sz w:val="20"/>
          <w:szCs w:val="20"/>
        </w:rPr>
        <w:t xml:space="preserve">                                                            </w:t>
      </w:r>
      <w:r>
        <w:rPr>
          <w:rFonts w:eastAsia="Calibri" w:cs="Times New Roman" w:ascii="Times New Roman" w:hAnsi="Times New Roman"/>
          <w:i/>
          <w:sz w:val="20"/>
          <w:szCs w:val="20"/>
          <w:lang w:val="en-US"/>
        </w:rPr>
        <w:t>e</w:t>
      </w:r>
      <w:r>
        <w:rPr>
          <w:rFonts w:eastAsia="Calibri" w:cs="Times New Roman" w:ascii="Times New Roman" w:hAnsi="Times New Roman"/>
          <w:i/>
          <w:sz w:val="20"/>
          <w:szCs w:val="20"/>
        </w:rPr>
        <w:t>-</w:t>
      </w:r>
      <w:r>
        <w:rPr>
          <w:rFonts w:eastAsia="Calibri" w:cs="Times New Roman" w:ascii="Times New Roman" w:hAnsi="Times New Roman"/>
          <w:i/>
          <w:sz w:val="20"/>
          <w:szCs w:val="20"/>
          <w:lang w:val="en-US"/>
        </w:rPr>
        <w:t>mail</w:t>
      </w:r>
      <w:r>
        <w:rPr>
          <w:rFonts w:eastAsia="Calibri" w:cs="Times New Roman" w:ascii="Times New Roman" w:hAnsi="Times New Roman"/>
          <w:i/>
          <w:sz w:val="20"/>
          <w:szCs w:val="20"/>
        </w:rPr>
        <w:t xml:space="preserve">: </w:t>
      </w:r>
      <w:r>
        <w:rPr>
          <w:rFonts w:eastAsia="Calibri" w:cs="Times New Roman" w:ascii="Times New Roman" w:hAnsi="Times New Roman"/>
          <w:i/>
          <w:sz w:val="20"/>
          <w:szCs w:val="20"/>
          <w:lang w:val="en-US"/>
        </w:rPr>
        <w:t>aiman</w:t>
      </w:r>
      <w:r>
        <w:rPr>
          <w:rFonts w:eastAsia="Calibri" w:cs="Times New Roman" w:ascii="Times New Roman" w:hAnsi="Times New Roman"/>
          <w:i/>
          <w:sz w:val="20"/>
          <w:szCs w:val="20"/>
        </w:rPr>
        <w:t>.</w:t>
      </w:r>
      <w:r>
        <w:rPr>
          <w:rFonts w:eastAsia="Calibri" w:cs="Times New Roman" w:ascii="Times New Roman" w:hAnsi="Times New Roman"/>
          <w:i/>
          <w:sz w:val="20"/>
          <w:szCs w:val="20"/>
          <w:lang w:val="en-US"/>
        </w:rPr>
        <w:t>tt</w:t>
      </w:r>
      <w:r>
        <w:rPr>
          <w:rFonts w:eastAsia="Calibri" w:cs="Times New Roman" w:ascii="Times New Roman" w:hAnsi="Times New Roman"/>
          <w:i/>
          <w:sz w:val="20"/>
          <w:szCs w:val="20"/>
        </w:rPr>
        <w:t>@</w:t>
      </w:r>
      <w:r>
        <w:rPr>
          <w:rFonts w:eastAsia="Calibri" w:cs="Times New Roman" w:ascii="Times New Roman" w:hAnsi="Times New Roman"/>
          <w:i/>
          <w:sz w:val="20"/>
          <w:szCs w:val="20"/>
          <w:lang w:val="en-US"/>
        </w:rPr>
        <w:t>mail</w:t>
      </w:r>
      <w:r>
        <w:rPr>
          <w:rFonts w:eastAsia="Calibri" w:cs="Times New Roman" w:ascii="Times New Roman" w:hAnsi="Times New Roman"/>
          <w:i/>
          <w:sz w:val="20"/>
          <w:szCs w:val="20"/>
        </w:rPr>
        <w:t>.</w:t>
      </w:r>
      <w:r>
        <w:rPr>
          <w:rFonts w:eastAsia="Calibri" w:cs="Times New Roman" w:ascii="Times New Roman" w:hAnsi="Times New Roman"/>
          <w:i/>
          <w:sz w:val="20"/>
          <w:szCs w:val="20"/>
          <w:lang w:val="en-US"/>
        </w:rPr>
        <w:t>ru</w:t>
      </w:r>
    </w:p>
    <w:p>
      <w:pPr>
        <w:pStyle w:val="Normal"/>
        <w:spacing w:lineRule="auto" w:line="240" w:before="0" w:after="0"/>
        <w:ind w:firstLine="709"/>
        <w:jc w:val="both"/>
        <w:rPr>
          <w:rFonts w:ascii="Times New Roman" w:hAnsi="Times New Roman" w:eastAsia="Calibri" w:cs="Times New Roman"/>
          <w:b/>
          <w:bCs/>
          <w:sz w:val="24"/>
          <w:szCs w:val="24"/>
        </w:rPr>
      </w:pPr>
      <w:r>
        <w:rPr>
          <w:rFonts w:eastAsia="Calibri" w:cs="Times New Roman" w:ascii="Times New Roman" w:hAnsi="Times New Roman"/>
          <w:b/>
          <w:bCs/>
          <w:sz w:val="24"/>
          <w:szCs w:val="24"/>
        </w:rPr>
      </w:r>
    </w:p>
    <w:p>
      <w:pPr>
        <w:pStyle w:val="Normal"/>
        <w:spacing w:lineRule="auto" w:line="240" w:before="0" w:after="0"/>
        <w:ind w:firstLine="708"/>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Бұл мақалада Ордабасы учаскесінің геологиялық және іздестіру сипаттамасы зерттеліп, мыс кені мен ілеспе компоненттер бойынша іздестіру-бағалау жұмыстарына екпін </w:t>
      </w:r>
      <w:r>
        <w:rPr>
          <w:rFonts w:eastAsia="Calibri" w:cs="Times New Roman" w:ascii="Times New Roman" w:hAnsi="Times New Roman"/>
          <w:sz w:val="24"/>
          <w:szCs w:val="24"/>
          <w:lang w:val="kk-KZ"/>
        </w:rPr>
        <w:t>қойылады</w:t>
      </w:r>
      <w:r>
        <w:rPr>
          <w:rFonts w:eastAsia="Calibri" w:cs="Times New Roman" w:ascii="Times New Roman" w:hAnsi="Times New Roman"/>
          <w:sz w:val="24"/>
          <w:szCs w:val="24"/>
        </w:rPr>
        <w:t xml:space="preserve">. Зерттеу алаңы 15 </w:t>
      </w:r>
      <w:r>
        <w:rPr>
          <w:rFonts w:eastAsia="Calibri" w:cs="Times New Roman" w:ascii="Times New Roman" w:hAnsi="Times New Roman"/>
          <w:sz w:val="24"/>
          <w:szCs w:val="24"/>
          <w:lang w:val="kk-KZ"/>
        </w:rPr>
        <w:t>шаршы километр</w:t>
      </w:r>
      <w:r>
        <w:rPr>
          <w:rFonts w:eastAsia="Calibri" w:cs="Times New Roman" w:ascii="Times New Roman" w:hAnsi="Times New Roman"/>
          <w:sz w:val="24"/>
          <w:szCs w:val="24"/>
        </w:rPr>
        <w:t xml:space="preserve"> құрайды және телім</w:t>
      </w:r>
      <w:r>
        <w:rPr>
          <w:rFonts w:eastAsia="Calibri" w:cs="Times New Roman" w:ascii="Times New Roman" w:hAnsi="Times New Roman"/>
          <w:sz w:val="24"/>
          <w:szCs w:val="24"/>
          <w:lang w:val="kk-KZ"/>
        </w:rPr>
        <w:t xml:space="preserve"> </w:t>
      </w:r>
      <w:r>
        <w:rPr>
          <w:rFonts w:eastAsia="Calibri" w:cs="Times New Roman" w:ascii="Times New Roman" w:hAnsi="Times New Roman"/>
          <w:sz w:val="24"/>
          <w:szCs w:val="24"/>
        </w:rPr>
        <w:t>көрініс</w:t>
      </w:r>
      <w:r>
        <w:rPr>
          <w:rFonts w:eastAsia="Calibri" w:cs="Times New Roman" w:ascii="Times New Roman" w:hAnsi="Times New Roman"/>
          <w:sz w:val="24"/>
          <w:szCs w:val="24"/>
          <w:lang w:val="kk-KZ"/>
        </w:rPr>
        <w:t>ті</w:t>
      </w:r>
      <w:r>
        <w:rPr>
          <w:rFonts w:eastAsia="Calibri" w:cs="Times New Roman" w:ascii="Times New Roman" w:hAnsi="Times New Roman"/>
          <w:sz w:val="24"/>
          <w:szCs w:val="24"/>
        </w:rPr>
        <w:t xml:space="preserve"> болғанымен, мыс пен онымен байланысты компоненттердің өндірістік қорларын қалыптастыру үшін іздеу-бағалау жұмыстарының болмауына байланысты түпкілікті бағалау жүргізілмеген, болжамды ресурстар Р3 санатына жатқызылған. Бұл аумақтың алғашқы геологиялық зерттеулері 1938-1946 жылдары жүргізілді және Атасу темір кен орындарын зерттеумен байланысты болды. Осы жұмыстар барысында Атасу кен алқабының солтүстік бөлігінің геологиялық карталары, сондай-ақ</w:t>
      </w:r>
      <w:r>
        <w:rPr>
          <w:rFonts w:eastAsia="Calibri" w:cs="Times New Roman" w:ascii="Times New Roman" w:hAnsi="Times New Roman"/>
          <w:sz w:val="24"/>
          <w:szCs w:val="24"/>
          <w:lang w:val="kk-KZ"/>
        </w:rPr>
        <w:t>,</w:t>
      </w:r>
      <w:r>
        <w:rPr>
          <w:rFonts w:eastAsia="Calibri" w:cs="Times New Roman" w:ascii="Times New Roman" w:hAnsi="Times New Roman"/>
          <w:sz w:val="24"/>
          <w:szCs w:val="24"/>
        </w:rPr>
        <w:t xml:space="preserve"> </w:t>
      </w:r>
      <w:r>
        <w:rPr>
          <w:rFonts w:eastAsia="Calibri" w:cs="Times New Roman" w:ascii="Times New Roman" w:hAnsi="Times New Roman"/>
          <w:sz w:val="24"/>
          <w:szCs w:val="24"/>
          <w:lang w:val="kk-KZ"/>
        </w:rPr>
        <w:t>К</w:t>
      </w:r>
      <w:r>
        <w:rPr>
          <w:rFonts w:eastAsia="Calibri" w:cs="Times New Roman" w:ascii="Times New Roman" w:hAnsi="Times New Roman"/>
          <w:sz w:val="24"/>
          <w:szCs w:val="24"/>
        </w:rPr>
        <w:t>іші К</w:t>
      </w:r>
      <w:r>
        <w:rPr>
          <w:rFonts w:eastAsia="Calibri" w:cs="Times New Roman" w:ascii="Times New Roman" w:hAnsi="Times New Roman"/>
          <w:sz w:val="24"/>
          <w:szCs w:val="24"/>
          <w:lang w:val="kk-KZ"/>
        </w:rPr>
        <w:t>т</w:t>
      </w:r>
      <w:r>
        <w:rPr>
          <w:rFonts w:eastAsia="Calibri" w:cs="Times New Roman" w:ascii="Times New Roman" w:hAnsi="Times New Roman"/>
          <w:sz w:val="24"/>
          <w:szCs w:val="24"/>
        </w:rPr>
        <w:t>ай маңындағы геоморфологиялық карталар</w:t>
      </w:r>
      <w:r>
        <w:rPr>
          <w:rFonts w:eastAsia="Calibri" w:cs="Times New Roman" w:ascii="Times New Roman" w:hAnsi="Times New Roman"/>
          <w:sz w:val="24"/>
          <w:szCs w:val="24"/>
          <w:lang w:val="kk-KZ"/>
        </w:rPr>
        <w:t>ы</w:t>
      </w:r>
      <w:r>
        <w:rPr>
          <w:rFonts w:eastAsia="Calibri" w:cs="Times New Roman" w:ascii="Times New Roman" w:hAnsi="Times New Roman"/>
          <w:sz w:val="24"/>
          <w:szCs w:val="24"/>
        </w:rPr>
        <w:t xml:space="preserve"> жасалды. Өңірде алғаш рет төменгі девонның көкжиектері бөлінді: қаражирик, Балқаш және сарджал. Кембрий Тектурмас формациясы да фауналық сипатта болды, ал палеозойға дейінгі шөгінділер формациялар мен пакеттерге бөлінді. Алтын, мыс және полиметалдар үшін </w:t>
      </w:r>
      <w:r>
        <w:rPr>
          <w:rFonts w:eastAsia="Calibri" w:cs="Times New Roman" w:ascii="Times New Roman" w:hAnsi="Times New Roman"/>
          <w:sz w:val="24"/>
          <w:szCs w:val="24"/>
          <w:lang w:val="kk-KZ"/>
        </w:rPr>
        <w:t>болашақ көрініс</w:t>
      </w:r>
      <w:r>
        <w:rPr>
          <w:rFonts w:eastAsia="Calibri" w:cs="Times New Roman" w:ascii="Times New Roman" w:hAnsi="Times New Roman"/>
          <w:sz w:val="24"/>
          <w:szCs w:val="24"/>
        </w:rPr>
        <w:t xml:space="preserve"> анықталды, ал фамен шөгінділерінде стратиформды типтегі қорғасын-мырыш кендерін іздеуге перспективалы фациялар орнатылды. Кең ауқымды картографиялық және іздеу жұмыстарының негізінде палеозойға дейінгі түзілімдердің карталары салынды, таяз және терең теңіз фацияларын бөліп көрсете отырып, франк, фамен және төменгі турнай шөгінділерінің шөгінділері бөлшектелді. Ауданға геохимиялық зерттеу жүргізілді, кен минералдануының жаңа көріністері анықталды, бұл Успенское мыс кен орнының терең көкжиектерін бағалау қажеттілігін негіздеді. Іздеу жұмыстары геологиялық-түсірілім жұмыстары барысында да, граниттердің шағын сызықтық интрузиясымен байланысты сирек металды және мыс минералдануын анықтауға алып келген мамандандырылған іздеулер барысында да жүзеге асырылды. Минералданған жыныстардың едәуір ауданы бөлінді, бұл Просторненский учаскесінде іздеу жұмыстарын жалғастыруға негіз болды. Кенденуді бағалау әртүрлі әдістерді, соның ішінде магниттік барлау мен электр барлауды қолдану арқылы жүргізілді. Алаңда сонымен қатар Просторненский массивінің гранитоидтары мен төменгі силурдың шөгінді жыныстарының эндо-экзоконтактісіне байланысты геофизикалық ауытқулар табылды. Бұл ауытқулардың көпшілігі жеткілікті зерттелмеген немесе мүлдем тексерілмеген.</w:t>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b/>
          <w:bCs/>
          <w:sz w:val="24"/>
          <w:szCs w:val="24"/>
        </w:rPr>
        <w:t xml:space="preserve">Түйін сөздер: </w:t>
      </w:r>
      <w:r>
        <w:rPr>
          <w:rFonts w:eastAsia="Calibri" w:cs="Times New Roman" w:ascii="Times New Roman" w:hAnsi="Times New Roman"/>
          <w:sz w:val="24"/>
          <w:szCs w:val="24"/>
        </w:rPr>
        <w:t>геологиялық зерттеу, кен, тектоника, геологиялық даму, геофизика, аномалия, мыс.</w:t>
      </w:r>
    </w:p>
    <w:p>
      <w:pPr>
        <w:pStyle w:val="Normal"/>
        <w:spacing w:lineRule="auto" w:line="240" w:before="0" w:after="0"/>
        <w:ind w:firstLine="709"/>
        <w:jc w:val="both"/>
        <w:rPr>
          <w:rFonts w:ascii="Times New Roman" w:hAnsi="Times New Roman" w:eastAsia="Calibri" w:cs="Times New Roman"/>
          <w:b/>
          <w:bCs/>
          <w:sz w:val="24"/>
          <w:szCs w:val="24"/>
        </w:rPr>
      </w:pPr>
      <w:r>
        <w:rPr>
          <w:rFonts w:eastAsia="Calibri" w:cs="Times New Roman" w:ascii="Times New Roman" w:hAnsi="Times New Roman"/>
          <w:b/>
          <w:bCs/>
          <w:sz w:val="24"/>
          <w:szCs w:val="24"/>
        </w:rPr>
      </w:r>
    </w:p>
    <w:p>
      <w:pPr>
        <w:pStyle w:val="Normal"/>
        <w:spacing w:lineRule="auto" w:line="240" w:before="0" w:after="0"/>
        <w:jc w:val="center"/>
        <w:rPr>
          <w:rFonts w:ascii="Times New Roman" w:hAnsi="Times New Roman" w:eastAsia="Calibri" w:cs="Times New Roman"/>
          <w:b/>
          <w:bCs/>
          <w:lang w:val="en-US"/>
        </w:rPr>
      </w:pPr>
      <w:r>
        <w:rPr>
          <w:rFonts w:eastAsia="Calibri" w:cs="Times New Roman" w:ascii="Times New Roman" w:hAnsi="Times New Roman"/>
          <w:b/>
          <w:bCs/>
          <w:lang w:val="en-US"/>
        </w:rPr>
        <w:t xml:space="preserve">GEOLOGICAL AND PROSPECTING STUDIES OF THE ORDABASY SITE FOR </w:t>
      </w:r>
    </w:p>
    <w:p>
      <w:pPr>
        <w:pStyle w:val="Normal"/>
        <w:spacing w:lineRule="auto" w:line="240" w:before="0" w:after="0"/>
        <w:jc w:val="center"/>
        <w:rPr>
          <w:rFonts w:ascii="Times New Roman" w:hAnsi="Times New Roman" w:eastAsia="Calibri" w:cs="Times New Roman"/>
          <w:b/>
          <w:bCs/>
          <w:lang w:val="en-US"/>
        </w:rPr>
      </w:pPr>
      <w:r>
        <w:rPr>
          <w:rFonts w:eastAsia="Calibri" w:cs="Times New Roman" w:ascii="Times New Roman" w:hAnsi="Times New Roman"/>
          <w:b/>
          <w:bCs/>
          <w:lang w:val="en-US"/>
        </w:rPr>
        <w:t xml:space="preserve">THE PURPOSE OF PROSPECTING AND EVALUATION WORKS FOR COPPER </w:t>
      </w:r>
    </w:p>
    <w:p>
      <w:pPr>
        <w:pStyle w:val="Normal"/>
        <w:spacing w:lineRule="auto" w:line="240" w:before="0" w:after="0"/>
        <w:jc w:val="center"/>
        <w:rPr>
          <w:rFonts w:ascii="Times New Roman" w:hAnsi="Times New Roman" w:eastAsia="Calibri" w:cs="Times New Roman"/>
          <w:b/>
          <w:bCs/>
          <w:lang w:val="en-US"/>
        </w:rPr>
      </w:pPr>
      <w:r>
        <w:rPr>
          <w:rFonts w:eastAsia="Calibri" w:cs="Times New Roman" w:ascii="Times New Roman" w:hAnsi="Times New Roman"/>
          <w:b/>
          <w:bCs/>
          <w:lang w:val="en-US"/>
        </w:rPr>
        <w:t>ORE AND ASSOCIATED COMPONENTS</w:t>
      </w:r>
    </w:p>
    <w:p>
      <w:pPr>
        <w:pStyle w:val="Normal"/>
        <w:spacing w:lineRule="auto" w:line="240" w:before="0" w:after="0"/>
        <w:jc w:val="center"/>
        <w:rPr>
          <w:rFonts w:ascii="Times New Roman" w:hAnsi="Times New Roman" w:eastAsia="Calibri" w:cs="Times New Roman"/>
          <w:b/>
          <w:bCs/>
          <w:lang w:val="en-US"/>
        </w:rPr>
      </w:pPr>
      <w:r>
        <w:rPr>
          <w:rFonts w:eastAsia="Calibri" w:cs="Times New Roman" w:ascii="Times New Roman" w:hAnsi="Times New Roman"/>
          <w:b/>
          <w:bCs/>
          <w:lang w:val="en-US"/>
        </w:rPr>
      </w:r>
    </w:p>
    <w:p>
      <w:pPr>
        <w:pStyle w:val="Normal"/>
        <w:spacing w:lineRule="auto" w:line="240" w:before="0" w:after="0"/>
        <w:jc w:val="center"/>
        <w:rPr>
          <w:rFonts w:ascii="Times New Roman" w:hAnsi="Times New Roman" w:eastAsia="Calibri" w:cs="Times New Roman"/>
          <w:b/>
          <w:bCs/>
          <w:lang w:val="en-US"/>
        </w:rPr>
      </w:pPr>
      <w:r>
        <w:rPr>
          <w:rFonts w:eastAsia="Calibri" w:cs="Times New Roman" w:ascii="Times New Roman" w:hAnsi="Times New Roman"/>
          <w:b/>
          <w:bCs/>
          <w:lang w:val="en-US"/>
        </w:rPr>
        <w:t>A.T.</w:t>
      </w:r>
      <w:r>
        <w:rPr>
          <w:rFonts w:eastAsia="Calibri" w:cs="Times New Roman" w:ascii="Times New Roman" w:hAnsi="Times New Roman"/>
          <w:b/>
          <w:bCs/>
          <w:color w:val="5B9BD5"/>
          <w:vertAlign w:val="superscript"/>
          <w:lang w:val="en-US"/>
        </w:rPr>
        <w:t xml:space="preserve"> </w:t>
      </w:r>
      <w:r>
        <w:rPr>
          <w:rFonts w:eastAsia="Calibri" w:cs="Times New Roman" w:ascii="Times New Roman" w:hAnsi="Times New Roman"/>
          <w:b/>
          <w:bCs/>
          <w:lang w:val="en-US"/>
        </w:rPr>
        <w:t>Turgali</w:t>
      </w:r>
      <w:r>
        <w:rPr>
          <w:rFonts w:eastAsia="Wingdings" w:cs="Wingdings" w:ascii="Wingdings" w:hAnsi="Wingdings"/>
          <w:b/>
          <w:bCs/>
          <w:color w:val="5B9BD5"/>
          <w:vertAlign w:val="superscript"/>
        </w:rPr>
        <w:sym w:font="Wingdings" w:char="f02a"/>
      </w:r>
      <w:r>
        <w:rPr>
          <w:rFonts w:eastAsia="Calibri" w:cs="Times New Roman" w:ascii="Times New Roman" w:hAnsi="Times New Roman"/>
          <w:b/>
          <w:bCs/>
          <w:lang w:val="en-US"/>
        </w:rPr>
        <w:t xml:space="preserve">,  K.A. Kozhakhmet, A.G.Gusmanova </w:t>
      </w:r>
    </w:p>
    <w:p>
      <w:pPr>
        <w:pStyle w:val="Normal"/>
        <w:spacing w:lineRule="auto" w:line="240" w:before="0" w:after="0"/>
        <w:ind w:firstLine="709"/>
        <w:jc w:val="center"/>
        <w:rPr>
          <w:rFonts w:ascii="Times New Roman" w:hAnsi="Times New Roman" w:eastAsia="Calibri" w:cs="Times New Roman"/>
          <w:i/>
          <w:i/>
          <w:sz w:val="20"/>
          <w:szCs w:val="20"/>
          <w:lang w:val="en-US"/>
        </w:rPr>
      </w:pPr>
      <w:r>
        <w:rPr>
          <w:rFonts w:eastAsia="Calibri" w:cs="Times New Roman" w:ascii="Times New Roman" w:hAnsi="Times New Roman"/>
          <w:i/>
          <w:sz w:val="20"/>
          <w:szCs w:val="20"/>
          <w:lang w:val="en-US"/>
        </w:rPr>
        <w:t>Caspian University of Technology and Engineering named after Sh. Yesenov</w:t>
      </w:r>
      <w:r>
        <w:rPr>
          <w:rFonts w:eastAsia="Calibri" w:cs="Times New Roman" w:ascii="Times New Roman" w:hAnsi="Times New Roman"/>
          <w:i/>
          <w:sz w:val="20"/>
          <w:szCs w:val="20"/>
          <w:lang w:val="kk-KZ"/>
        </w:rPr>
        <w:t xml:space="preserve">, </w:t>
      </w:r>
      <w:r>
        <w:rPr>
          <w:rFonts w:eastAsia="Calibri" w:cs="Times New Roman" w:ascii="Times New Roman" w:hAnsi="Times New Roman"/>
          <w:i/>
          <w:sz w:val="20"/>
          <w:szCs w:val="20"/>
          <w:lang w:val="en-US"/>
        </w:rPr>
        <w:t>Aktau, Kazakhstan,</w:t>
      </w:r>
    </w:p>
    <w:p>
      <w:pPr>
        <w:pStyle w:val="Normal"/>
        <w:spacing w:lineRule="auto" w:line="240" w:before="0" w:after="0"/>
        <w:ind w:firstLine="708"/>
        <w:jc w:val="center"/>
        <w:rPr>
          <w:rFonts w:ascii="Times New Roman" w:hAnsi="Times New Roman" w:eastAsia="Times New Roman" w:cs="Times New Roman"/>
          <w:i/>
          <w:i/>
          <w:sz w:val="20"/>
          <w:szCs w:val="20"/>
          <w:lang w:val="en-US" w:eastAsia="ru-RU"/>
        </w:rPr>
      </w:pPr>
      <w:r>
        <w:rPr>
          <w:rFonts w:eastAsia="Calibri" w:cs="Times New Roman" w:ascii="Times New Roman" w:hAnsi="Times New Roman"/>
          <w:i/>
          <w:sz w:val="20"/>
          <w:szCs w:val="20"/>
          <w:lang w:val="en-US"/>
        </w:rPr>
        <w:t>e-mail:</w:t>
      </w:r>
      <w:r>
        <w:rPr>
          <w:rFonts w:eastAsia="Calibri" w:cs="Times New Roman" w:ascii="Calibri" w:hAnsi="Calibri"/>
          <w:i/>
          <w:sz w:val="20"/>
          <w:szCs w:val="20"/>
          <w:lang w:val="en-US"/>
        </w:rPr>
        <w:t xml:space="preserve"> </w:t>
      </w:r>
      <w:hyperlink r:id="rId62">
        <w:r>
          <w:rPr>
            <w:rStyle w:val="Style"/>
            <w:rFonts w:eastAsia="Times New Roman" w:cs="Times New Roman" w:ascii="Times New Roman" w:hAnsi="Times New Roman"/>
            <w:i/>
            <w:sz w:val="20"/>
            <w:szCs w:val="20"/>
            <w:lang w:val="en-US" w:eastAsia="ru-RU"/>
          </w:rPr>
          <w:t>aiman.tt@mail.ru</w:t>
        </w:r>
      </w:hyperlink>
    </w:p>
    <w:p>
      <w:pPr>
        <w:pStyle w:val="Normal"/>
        <w:spacing w:lineRule="auto" w:line="240" w:before="0" w:after="0"/>
        <w:jc w:val="both"/>
        <w:rPr>
          <w:rFonts w:ascii="Times New Roman" w:hAnsi="Times New Roman" w:eastAsia="Calibri" w:cs="Times New Roman"/>
          <w:b/>
          <w:bCs/>
          <w:i/>
          <w:i/>
          <w:sz w:val="20"/>
          <w:szCs w:val="20"/>
          <w:lang w:val="en-US"/>
        </w:rPr>
      </w:pPr>
      <w:r>
        <w:rPr>
          <w:rFonts w:eastAsia="Calibri" w:cs="Times New Roman" w:ascii="Times New Roman" w:hAnsi="Times New Roman"/>
          <w:b/>
          <w:bCs/>
          <w:i/>
          <w:sz w:val="20"/>
          <w:szCs w:val="20"/>
          <w:lang w:val="en-US"/>
        </w:rPr>
      </w:r>
    </w:p>
    <w:p>
      <w:pPr>
        <w:pStyle w:val="Normal"/>
        <w:spacing w:lineRule="auto" w:line="240" w:before="0" w:after="0"/>
        <w:ind w:firstLine="709"/>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This article examines the geological and prospecting characteristics of the Ordabasy site with an emphasis on prospecting and evaluation work on copper ore and related components. The study area is 15 km2, and although the site shows promise, a final assessment has not been carried out due to a lack of prospecting and evaluation work to form industrial reserves of copper and related components, while the forecast resources are classified according to category P3. The initial geological studies of this area were carried out in 1938-1946 and were associated with the study of the Atasui iron ore deposits. In the course of these works, geological maps of the northern part of the Atasui ore field, as well as geomorphological maps and maps of the surroundings of the Small Altai were compiled. For the first time in the region, the horizons of the Lower Devonian are highlighted: Karazhirik, Balkhash and Sarjali. The Texturmas formation of the Cambrian was also faunistically characterized, and the Pre-Paleozoic deposits were divided into formations and bundles. Prospects for gold, copper and polymetals have been determined, and facies have been identified in the Famennian deposits that are potentially promising for the search for lead-zinc ores of the stratiform type. On the basis of extensive cartographic and prospecting work, maps of pre-Paleozoic formations were constructed, the deposits of the Fransk, Famensk tiers and Lower Turneian sediments were fractionally dissected with the allocation of shallow and deep-water facies. A geochemical study of the area was carried out, new manifestations of ore mineralization were revealed, which justified the need to assess the deep horizons of the Uspenskoye copper deposit. Prospecting was carried out both in the process of geological survey work and in the course of specialized searches, which led to the identification of rare metal and copper mineralization associated with a small linear intrusion of granites. A significant area of mineralized rocks has been identified, which became the basis for the continuation of prospecting work at the site of the Spacious. Mineralization was assessed using various methods, including magnetic exploration and electrical exploration. Geophysical anomalies associated with the endo-exocontact of the granitoids of the Spacious massif and sedimentary rocks of the Lower Silurian were also found on the area. Most of these anomalies have not been sufficiently studied or verified at all.</w:t>
      </w:r>
    </w:p>
    <w:p>
      <w:pPr>
        <w:pStyle w:val="Normal"/>
        <w:spacing w:lineRule="auto" w:line="240" w:before="0" w:after="0"/>
        <w:ind w:firstLine="709"/>
        <w:jc w:val="both"/>
        <w:rPr>
          <w:rFonts w:ascii="Times New Roman" w:hAnsi="Times New Roman" w:eastAsia="Calibri" w:cs="Times New Roman"/>
          <w:sz w:val="24"/>
          <w:szCs w:val="24"/>
          <w:lang w:val="en-US"/>
        </w:rPr>
      </w:pPr>
      <w:r>
        <w:rPr>
          <w:rFonts w:eastAsia="Calibri" w:cs="Times New Roman" w:ascii="Times New Roman" w:hAnsi="Times New Roman"/>
          <w:b/>
          <w:bCs/>
          <w:sz w:val="24"/>
          <w:szCs w:val="24"/>
          <w:lang w:val="en-US"/>
        </w:rPr>
        <w:t xml:space="preserve">Keywords: </w:t>
      </w:r>
      <w:r>
        <w:rPr>
          <w:rFonts w:eastAsia="Calibri" w:cs="Times New Roman" w:ascii="Times New Roman" w:hAnsi="Times New Roman"/>
          <w:sz w:val="24"/>
          <w:szCs w:val="24"/>
          <w:lang w:val="en-US"/>
        </w:rPr>
        <w:t>geological study, ore, tectonics, geological development, geophysics, anomaly, copper.</w:t>
      </w:r>
    </w:p>
    <w:p>
      <w:pPr>
        <w:pStyle w:val="Normal"/>
        <w:spacing w:lineRule="auto" w:line="240" w:before="0" w:after="0"/>
        <w:ind w:firstLine="709"/>
        <w:jc w:val="both"/>
        <w:rPr>
          <w:rFonts w:ascii="Times New Roman" w:hAnsi="Times New Roman" w:eastAsia="Calibri" w:cs="Times New Roman"/>
          <w:b/>
          <w:bCs/>
          <w:sz w:val="24"/>
          <w:szCs w:val="24"/>
          <w:lang w:val="en-US"/>
        </w:rPr>
      </w:pPr>
      <w:r>
        <w:rPr>
          <w:rFonts w:eastAsia="Calibri" w:cs="Times New Roman" w:ascii="Times New Roman" w:hAnsi="Times New Roman"/>
          <w:b/>
          <w:bCs/>
          <w:sz w:val="24"/>
          <w:szCs w:val="24"/>
          <w:lang w:val="en-US"/>
        </w:rPr>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b/>
          <w:bCs/>
          <w:sz w:val="24"/>
          <w:szCs w:val="24"/>
        </w:rPr>
        <w:t>Введение.</w:t>
      </w:r>
      <w:r>
        <w:rPr>
          <w:rFonts w:eastAsia="Calibri" w:cs="Times New Roman" w:ascii="Times New Roman" w:hAnsi="Times New Roman"/>
          <w:sz w:val="24"/>
          <w:szCs w:val="24"/>
        </w:rPr>
        <w:t xml:space="preserve"> Медная руда является важным сырьем для многих отраслей, включая электронику, строительство и энергетическую инфраструктуру. С увеличением потребления меди и других связанных компонентов растёт необходимость в их разведке и добыче. При этом исследование попутных компонентов, таких как золото или серебро, может повысить экономическую эффективность проектов по добыче медной руды. Таким образом, геологическая и поисковая изученность участка Ордабасы в Карагандинской области Республики Казахстан является актуальной, а также сочетает в себе научную новизну и практическую значимость в свете глобальных тенденций в области ресурсов и экологии. </w:t>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Исходя из этого, цель настоящей статьи заключается в исследовании геологической и поисковой характеристики участка Ордабасы, с акцентом на поисково-оценочные работы по медной руде и сопутствующим компонентам. минералогических ресурсов, включая медь, золото, полиметаллы и редкие металлы. </w:t>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Для достижения поставленной цели сформулированы следующие задачи.</w:t>
      </w:r>
    </w:p>
    <w:p>
      <w:pPr>
        <w:pStyle w:val="Normal"/>
        <w:numPr>
          <w:ilvl w:val="0"/>
          <w:numId w:val="4"/>
        </w:numPr>
        <w:tabs>
          <w:tab w:val="clear" w:pos="708"/>
          <w:tab w:val="left" w:pos="1134" w:leader="none"/>
        </w:tabs>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Оценка геологической изученности и характеристика геологического строения района Ордабасы.</w:t>
      </w:r>
    </w:p>
    <w:p>
      <w:pPr>
        <w:pStyle w:val="Normal"/>
        <w:numPr>
          <w:ilvl w:val="0"/>
          <w:numId w:val="4"/>
        </w:numPr>
        <w:tabs>
          <w:tab w:val="clear" w:pos="708"/>
          <w:tab w:val="left" w:pos="1134" w:leader="none"/>
        </w:tabs>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Анализ результатов поисково-оценочных работ, направленных на выявление медных руд и сопутствующих компонентов.</w:t>
      </w:r>
    </w:p>
    <w:p>
      <w:pPr>
        <w:pStyle w:val="Normal"/>
        <w:numPr>
          <w:ilvl w:val="0"/>
          <w:numId w:val="4"/>
        </w:numPr>
        <w:tabs>
          <w:tab w:val="clear" w:pos="708"/>
          <w:tab w:val="left" w:pos="1134" w:leader="none"/>
        </w:tabs>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Обзор исторических исследований и картографических материалов, связанных с изучением участка.</w:t>
      </w:r>
    </w:p>
    <w:p>
      <w:pPr>
        <w:pStyle w:val="Normal"/>
        <w:numPr>
          <w:ilvl w:val="0"/>
          <w:numId w:val="4"/>
        </w:numPr>
        <w:tabs>
          <w:tab w:val="clear" w:pos="708"/>
          <w:tab w:val="left" w:pos="1134" w:leader="none"/>
        </w:tabs>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Оценка перспективности продолжения поисковых работ на участке Ордабасы на основе полученных данных.</w:t>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В контексте выполнения этих задач, научная новизна данной работы заключается в том, что в статье впервые проводится комплексная оценка геологической структуры и минерализации участка Ордабасы с акцентом на медь и редкие металлы, а также впервые систематизированы данные о потенциальных перспективах региона для разработки меди, золота и полиметаллических месторождений.</w:t>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Пространственно-поисковая площадь расположена в Шетском районе Карагандинской области. Площадь работ составляет 15 км</w:t>
      </w:r>
      <w:r>
        <w:rPr>
          <w:rFonts w:eastAsia="Calibri" w:cs="Times New Roman" w:ascii="Times New Roman" w:hAnsi="Times New Roman"/>
          <w:sz w:val="24"/>
          <w:szCs w:val="24"/>
          <w:vertAlign w:val="superscript"/>
        </w:rPr>
        <w:t>2</w:t>
      </w:r>
      <w:r>
        <w:rPr>
          <w:rFonts w:eastAsia="Calibri" w:cs="Times New Roman" w:ascii="Times New Roman" w:hAnsi="Times New Roman"/>
          <w:sz w:val="24"/>
          <w:szCs w:val="24"/>
        </w:rPr>
        <w:t xml:space="preserve"> Рассматриваемая площадь перспективна, но не получила окончательной оценки из-за недостаточного количества поисково-оценочных работ для формирования промышленных запасов меди и попутных компонентов. Имеются прогнозные ресурсы по категории Р</w:t>
      </w:r>
      <w:r>
        <w:rPr>
          <w:rFonts w:eastAsia="Calibri" w:cs="Times New Roman" w:ascii="Times New Roman" w:hAnsi="Times New Roman"/>
          <w:sz w:val="24"/>
          <w:szCs w:val="24"/>
          <w:vertAlign w:val="subscript"/>
        </w:rPr>
        <w:t>3</w:t>
      </w:r>
      <w:r>
        <w:rPr>
          <w:rFonts w:eastAsia="Calibri" w:cs="Times New Roman" w:ascii="Times New Roman" w:hAnsi="Times New Roman"/>
          <w:sz w:val="24"/>
          <w:szCs w:val="24"/>
        </w:rPr>
        <w:t xml:space="preserve">. </w:t>
      </w:r>
    </w:p>
    <w:p>
      <w:pPr>
        <w:pStyle w:val="Normal"/>
        <w:spacing w:lineRule="auto" w:line="240" w:before="0" w:after="0"/>
        <w:ind w:firstLine="708"/>
        <w:jc w:val="both"/>
        <w:rPr>
          <w:rFonts w:ascii="Times New Roman" w:hAnsi="Times New Roman" w:eastAsia="Calibri" w:cs="Times New Roman"/>
          <w:sz w:val="24"/>
          <w:szCs w:val="24"/>
        </w:rPr>
      </w:pPr>
      <w:r>
        <w:rPr>
          <w:rFonts w:eastAsia="Calibri" w:cs="Times New Roman" w:ascii="Times New Roman" w:hAnsi="Times New Roman"/>
          <w:bCs/>
          <w:sz w:val="24"/>
          <w:szCs w:val="24"/>
        </w:rPr>
        <w:t xml:space="preserve">В своих работах В.Ф. </w:t>
      </w:r>
      <w:r>
        <w:rPr>
          <w:rFonts w:eastAsia="Calibri" w:cs="Times New Roman" w:ascii="Times New Roman" w:hAnsi="Times New Roman"/>
          <w:sz w:val="24"/>
          <w:szCs w:val="24"/>
        </w:rPr>
        <w:t>Долгань в 1973 году [1] описал участок следующим образом, у</w:t>
      </w:r>
      <w:r>
        <w:rPr>
          <w:rFonts w:eastAsia="Calibri" w:cs="Times New Roman" w:ascii="Times New Roman" w:hAnsi="Times New Roman"/>
          <w:bCs/>
          <w:sz w:val="24"/>
          <w:szCs w:val="24"/>
        </w:rPr>
        <w:t xml:space="preserve">часток Ордабасы </w:t>
      </w:r>
      <w:r>
        <w:rPr>
          <w:rFonts w:eastAsia="Calibri" w:cs="Times New Roman" w:ascii="Times New Roman" w:hAnsi="Times New Roman"/>
          <w:sz w:val="24"/>
          <w:szCs w:val="24"/>
        </w:rPr>
        <w:t>расположен на площади листа М-43-98-В. В 1973 году при ГС-50 листов М-43-98-А, Б, В, Г в пределах интрузивного массива Итольген выявлено 4 пункта меднорудной минерализации, отстоящих друг от друга на расстоянии 700-1500 метров. Оруденение локализовано в массиве позднедевонских гранодиоритов, рудная минерализация представлена зонами окварцевания и кварцевыми жилами с малахитом, борнитом, халькопиритом и молибденитом. По зонам минерализации были пройдены две канавы общей длиной 20 м и через весь интрузивный массив пройдено два профиля магнито-электроразведочных работ, в эндо- и экзоконтактах интрузии выявлены совмещенные магнито-электроразведочные аномалии. Аномалии ВП имеют интенсивность 3% на фоне 1%. В бороздовых пробах из канав содержание меди составляет 0,8-1,0%, молибдена - до 0,2-0,4 %, висмута - до 0,02 %, серебра - 0,02 %, золота - до 0,5 г/т.</w:t>
      </w:r>
    </w:p>
    <w:p>
      <w:pPr>
        <w:pStyle w:val="Normal"/>
        <w:spacing w:lineRule="auto" w:line="240" w:before="0" w:after="0"/>
        <w:ind w:firstLine="708"/>
        <w:jc w:val="both"/>
        <w:rPr>
          <w:rFonts w:ascii="Times New Roman" w:hAnsi="Times New Roman" w:eastAsia="Calibri" w:cs="Times New Roman"/>
          <w:sz w:val="24"/>
          <w:szCs w:val="24"/>
        </w:rPr>
      </w:pPr>
      <w:r>
        <w:rPr>
          <w:rFonts w:eastAsia="Calibri" w:cs="Times New Roman" w:ascii="Times New Roman" w:hAnsi="Times New Roman"/>
          <w:sz w:val="24"/>
          <w:szCs w:val="24"/>
        </w:rPr>
        <w:t>Так, Ф.В. Долганем сделаны выводы:</w:t>
      </w:r>
    </w:p>
    <w:p>
      <w:pPr>
        <w:pStyle w:val="Normal"/>
        <w:numPr>
          <w:ilvl w:val="0"/>
          <w:numId w:val="2"/>
        </w:numPr>
        <w:tabs>
          <w:tab w:val="clear" w:pos="708"/>
          <w:tab w:val="left" w:pos="1134" w:leader="none"/>
        </w:tabs>
        <w:spacing w:lineRule="auto" w:line="240" w:before="0" w:after="0"/>
        <w:ind w:firstLine="709"/>
        <w:contextualSpacing/>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рудная минерализация приурочена к неглубоко эродированной части интрузивного массива; </w:t>
      </w:r>
    </w:p>
    <w:p>
      <w:pPr>
        <w:pStyle w:val="Normal"/>
        <w:numPr>
          <w:ilvl w:val="0"/>
          <w:numId w:val="2"/>
        </w:numPr>
        <w:tabs>
          <w:tab w:val="clear" w:pos="708"/>
          <w:tab w:val="left" w:pos="1134" w:leader="none"/>
        </w:tabs>
        <w:spacing w:lineRule="auto" w:line="240" w:before="0" w:after="0"/>
        <w:ind w:firstLine="709"/>
        <w:contextualSpacing/>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зоны окварцевания в повышенных концентрациях содержат медь, молибден, висмут; </w:t>
      </w:r>
    </w:p>
    <w:p>
      <w:pPr>
        <w:pStyle w:val="Normal"/>
        <w:numPr>
          <w:ilvl w:val="0"/>
          <w:numId w:val="2"/>
        </w:numPr>
        <w:tabs>
          <w:tab w:val="clear" w:pos="708"/>
          <w:tab w:val="left" w:pos="1134" w:leader="none"/>
        </w:tabs>
        <w:spacing w:lineRule="auto" w:line="240" w:before="0" w:after="0"/>
        <w:ind w:firstLine="709"/>
        <w:contextualSpacing/>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 приконтактовых частях интрузивного массива выявлены магнитные и электроразведочные аномалии, природа которых не изучалась; </w:t>
      </w:r>
    </w:p>
    <w:p>
      <w:pPr>
        <w:pStyle w:val="Normal"/>
        <w:numPr>
          <w:ilvl w:val="0"/>
          <w:numId w:val="2"/>
        </w:numPr>
        <w:tabs>
          <w:tab w:val="clear" w:pos="708"/>
          <w:tab w:val="left" w:pos="1134" w:leader="none"/>
        </w:tabs>
        <w:spacing w:lineRule="auto" w:line="240" w:before="0" w:after="0"/>
        <w:ind w:firstLine="709"/>
        <w:contextualSpacing/>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 целом массив оценивается как перспективный на обнаружение месторождений меди, редких и благородных металлов; рекомендуется постановка поисковых геолого-геофизических работ. </w:t>
      </w:r>
      <w:bookmarkStart w:id="2" w:name="_Hlk180958050"/>
      <w:bookmarkEnd w:id="2"/>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b/>
          <w:sz w:val="24"/>
          <w:szCs w:val="24"/>
          <w:lang w:eastAsia="ru-RU"/>
        </w:rPr>
        <w:t xml:space="preserve">Материалы и методы. </w:t>
      </w:r>
      <w:r>
        <w:rPr>
          <w:rFonts w:eastAsia="Times New Roman" w:cs="Times New Roman" w:ascii="Times New Roman" w:hAnsi="Times New Roman"/>
          <w:i/>
          <w:sz w:val="24"/>
          <w:szCs w:val="24"/>
          <w:lang w:eastAsia="ru-RU"/>
        </w:rPr>
        <w:t>Геологическая изученность</w:t>
      </w:r>
      <w:r>
        <w:rPr>
          <w:rFonts w:eastAsia="Times New Roman" w:cs="Times New Roman" w:ascii="Times New Roman" w:hAnsi="Times New Roman"/>
          <w:b/>
          <w:sz w:val="24"/>
          <w:szCs w:val="24"/>
          <w:lang w:eastAsia="ru-RU"/>
        </w:rPr>
        <w:t xml:space="preserve">. </w:t>
      </w:r>
      <w:r>
        <w:rPr>
          <w:rFonts w:eastAsia="Times New Roman" w:cs="Times New Roman" w:ascii="Times New Roman" w:hAnsi="Times New Roman"/>
          <w:bCs/>
          <w:sz w:val="24"/>
          <w:szCs w:val="24"/>
          <w:lang w:eastAsia="ru-RU"/>
        </w:rPr>
        <w:t>Центральный Казахстан представляет собой регион с разнообразными залежами твердых полезных ископаемых. Здесь можно встретить залежи меди, марганца, полиметаллов, золота, угля и железной руды. Природные ресурсы способствую экономическому развитию не только региона, но и всего Казахстана в целом. Из-за этого данный регион является объектом пристального внимания ученых и геологов. Ученые активно изучают геодинамическую позицию и минералогические особенности месторождений данного региона Казахстана, что позволяет глубже понять процессы, происходившие в недрах Земли. Исследования показывают, что образование рудных тел связано с коллизией базальтовых островных дуг с континентальными плитами, что могло привести к утолщению литосферы и образованию богатых рудных тел. Так в статье Степанцева В.Г., Маката Д.К. и Савельева Н.А. (2015) представлена геодинамиечская позиция медно-порфирового меторождения Нурказган (Центральный Казахстан) [2]</w:t>
      </w:r>
      <w:r>
        <w:rPr>
          <w:rFonts w:eastAsia="Times New Roman" w:cs="Times New Roman" w:ascii="Times New Roman" w:hAnsi="Times New Roman"/>
          <w:sz w:val="24"/>
          <w:szCs w:val="24"/>
          <w:lang w:eastAsia="ru-RU"/>
        </w:rPr>
        <w:t xml:space="preserve">. В научных трудах Бекжанова Г.Р. (2012) даны предварительные предложения по соблюдению системности и стадийности при выборе направлений геологоразведочных работ на медь </w:t>
      </w:r>
      <w:r>
        <w:rPr>
          <w:rFonts w:eastAsia="Times New Roman" w:cs="Times New Roman" w:ascii="Times New Roman" w:hAnsi="Times New Roman"/>
          <w:bCs/>
          <w:sz w:val="24"/>
          <w:szCs w:val="24"/>
          <w:lang w:eastAsia="ru-RU"/>
        </w:rPr>
        <w:t>[3].</w:t>
      </w:r>
      <w:r>
        <w:rPr>
          <w:rFonts w:eastAsia="Times New Roman" w:cs="Times New Roman" w:ascii="Times New Roman" w:hAnsi="Times New Roman"/>
          <w:sz w:val="24"/>
          <w:szCs w:val="24"/>
          <w:lang w:eastAsia="ru-RU"/>
        </w:rPr>
        <w:t xml:space="preserve"> </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bCs/>
          <w:sz w:val="24"/>
          <w:szCs w:val="24"/>
          <w:lang w:eastAsia="ru-RU"/>
        </w:rPr>
        <w:t xml:space="preserve">Сафонова И.Ю., Антонюк Р.М., Гурова А.В., Калугин В.М., Савинский И.А., Внуковский А.П., Орынбек Т.Ж. в статье «Геологическое строение и медное оруденение Тектурмасского офиолитового пояса и смежных территорий Центрального Казахстана» (2022) </w:t>
      </w:r>
      <w:r>
        <w:rPr>
          <w:rFonts w:eastAsia="Times New Roman" w:cs="Times New Roman" w:ascii="Times New Roman" w:hAnsi="Times New Roman"/>
          <w:sz w:val="24"/>
          <w:szCs w:val="24"/>
          <w:lang w:eastAsia="ru-RU"/>
        </w:rPr>
        <w:t xml:space="preserve">представили анализ ключевых этапов магматической активности, связанных с формированием месторождений и проявлений меди и других металлов </w:t>
      </w:r>
      <w:r>
        <w:rPr>
          <w:rFonts w:eastAsia="Times New Roman" w:cs="Times New Roman" w:ascii="Times New Roman" w:hAnsi="Times New Roman"/>
          <w:bCs/>
          <w:sz w:val="24"/>
          <w:szCs w:val="24"/>
          <w:lang w:eastAsia="ru-RU"/>
        </w:rPr>
        <w:t>[4]</w:t>
      </w:r>
      <w:r>
        <w:rPr>
          <w:rFonts w:eastAsia="Times New Roman" w:cs="Times New Roman" w:ascii="Times New Roman" w:hAnsi="Times New Roman"/>
          <w:sz w:val="24"/>
          <w:szCs w:val="24"/>
          <w:lang w:eastAsia="ru-RU"/>
        </w:rPr>
        <w:t xml:space="preserve">. Перспективы обнаружения золото-медно-полиметаллического месторождения в Шешенкаринском рудном поле в Центральном Казахстане показаны в работах Султанова Г.Д., Вихлянцева А.А. Исмаилова Х.К. (2019) </w:t>
      </w:r>
      <w:r>
        <w:rPr>
          <w:rFonts w:eastAsia="Times New Roman" w:cs="Times New Roman" w:ascii="Times New Roman" w:hAnsi="Times New Roman"/>
          <w:bCs/>
          <w:sz w:val="24"/>
          <w:szCs w:val="24"/>
          <w:lang w:eastAsia="ru-RU"/>
        </w:rPr>
        <w:t>[5].</w:t>
      </w:r>
      <w:r>
        <w:rPr>
          <w:rFonts w:eastAsia="Times New Roman" w:cs="Times New Roman" w:ascii="Times New Roman" w:hAnsi="Times New Roman"/>
          <w:sz w:val="24"/>
          <w:szCs w:val="24"/>
          <w:lang w:eastAsia="ru-RU"/>
        </w:rPr>
        <w:t xml:space="preserve"> </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bCs/>
          <w:sz w:val="24"/>
          <w:szCs w:val="24"/>
          <w:lang w:eastAsia="ru-RU"/>
        </w:rPr>
        <w:t xml:space="preserve">Исследованиями в области </w:t>
      </w:r>
      <w:r>
        <w:rPr>
          <w:rFonts w:eastAsia="Times New Roman" w:cs="Times New Roman" w:ascii="Times New Roman" w:hAnsi="Times New Roman"/>
          <w:sz w:val="24"/>
          <w:szCs w:val="24"/>
          <w:lang w:eastAsia="ru-RU"/>
        </w:rPr>
        <w:t xml:space="preserve">оценки восполнения запасов основных полезных ископаемых занимались Гинатулин А.М., Дербас А.Н., Асанбаева У.Т. (2016). Авторами было установлено что адекватное восполнение запасов наблюдается лишь по железным рудам. В то же время, по нефти, газу, хрому, меди, цинку, свинцу, титану, алюминию, золоту, серебру, бариту и асбесту за последние десять лет не было достигнуто необходимого уровня восполнения. Добыча этих ресурсов значительно превышает приросты запасов и предполагает реализовывать ряд мероприятий, направленных на более активное привлечение капитала в разведку и добычу </w:t>
      </w:r>
      <w:r>
        <w:rPr>
          <w:rFonts w:eastAsia="Times New Roman" w:cs="Times New Roman" w:ascii="Times New Roman" w:hAnsi="Times New Roman"/>
          <w:bCs/>
          <w:sz w:val="24"/>
          <w:szCs w:val="24"/>
          <w:lang w:eastAsia="ru-RU"/>
        </w:rPr>
        <w:t>[6].</w:t>
      </w:r>
      <w:r>
        <w:rPr>
          <w:rFonts w:eastAsia="Times New Roman" w:cs="Times New Roman" w:ascii="Times New Roman" w:hAnsi="Times New Roman"/>
          <w:sz w:val="24"/>
          <w:szCs w:val="24"/>
          <w:lang w:eastAsia="ru-RU"/>
        </w:rPr>
        <w:t xml:space="preserve"> </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результате изученности полезных ископаемых Центрального Казахстана одним из перспективных участок является месторождение Ордабасы в Карагандинской области по подсчету запасов и прогнозных ресурсов медной руды и попутных компонентов.</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Первые геологические исследования площади работ 1938-1946 годах относятся к изучению Атасуйских железорудных месторождений (Салов Н.М., Керенский М.Е., Емельянов А.А., Борсук Б.М., Иванов В.Н., Кавун В.И. и др.). Составлены геологические карты северной части Атасуйского рудного поля, геоморфологические карты, геологическая карта окрестностей Малого Ктая. В 1934-1938 годах геологические исследования проведены вдоль трассы железной дороги Караганда-Балхаш (Комиссаров, Ларин). Наиболее значимыми работами м-ба 1:200000 в 1938-1952 годах были исследования Колотухиной С.Е. (1938), Бедрова Г.И. (1946), Беспалова В.Ф. (1947), Баширова Ф.С. (1951), Радченко И.И. (1952) и других (Рисунок 1)</w:t>
      </w:r>
      <w:bookmarkStart w:id="3" w:name="_Hlk181189049"/>
      <w:r>
        <w:rPr>
          <w:rFonts w:eastAsia="Times New Roman" w:cs="Times New Roman" w:ascii="Times New Roman" w:hAnsi="Times New Roman"/>
          <w:bCs/>
          <w:sz w:val="24"/>
          <w:szCs w:val="24"/>
          <w:lang w:eastAsia="ru-RU"/>
        </w:rPr>
        <w:t>.</w:t>
      </w:r>
      <w:r>
        <w:rPr>
          <w:rFonts w:eastAsia="Times New Roman" w:cs="Times New Roman" w:ascii="Times New Roman" w:hAnsi="Times New Roman"/>
          <w:sz w:val="24"/>
          <w:szCs w:val="24"/>
          <w:lang w:eastAsia="ru-RU"/>
        </w:rPr>
        <w:t xml:space="preserve"> </w:t>
      </w:r>
      <w:bookmarkEnd w:id="3"/>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 1953-1959 годах. в пределах Нуринского и Сарысуйского синклинориев и Тектурмасского антиклинория проведены геолого-съемочные и поисковые работы масштаба 1:200000: Канфель О.М. (1957), Гаек О.М. (1953), Керенский М.Е. (1953; 1958), Четверикова Н.П. (1953), Репкина А.Е. (1953) </w:t>
      </w:r>
      <w:r>
        <w:rPr>
          <w:rFonts w:eastAsia="Times New Roman" w:cs="Times New Roman" w:ascii="Times New Roman" w:hAnsi="Times New Roman"/>
          <w:bCs/>
          <w:sz w:val="24"/>
          <w:szCs w:val="24"/>
          <w:lang w:eastAsia="ru-RU"/>
        </w:rPr>
        <w:t>[7].</w:t>
      </w:r>
      <w:r>
        <w:rPr>
          <w:rFonts w:eastAsia="Times New Roman" w:cs="Times New Roman" w:ascii="Times New Roman" w:hAnsi="Times New Roman"/>
          <w:sz w:val="24"/>
          <w:szCs w:val="24"/>
          <w:lang w:eastAsia="ru-RU"/>
        </w:rPr>
        <w:t xml:space="preserve"> </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результате этих работ были уточнены стратиграфические схемы и охарактеризованы интрузивные образования, сделаны выводы о перспективности района на поиски железомарганцевых, редкометальных и других месторождений. Геологическое расчленение толщ дано до ярусов и подъярусов.</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Геолого-съемочные работы связаны с составлением и подготовкой к изданию Государственной геологической карты СССР масштаба 1:200000 листа М-43-</w:t>
      </w:r>
      <w:r>
        <w:rPr>
          <w:rFonts w:eastAsia="Times New Roman" w:cs="Times New Roman" w:ascii="Times New Roman" w:hAnsi="Times New Roman"/>
          <w:sz w:val="24"/>
          <w:szCs w:val="24"/>
          <w:lang w:val="en-US" w:eastAsia="ru-RU"/>
        </w:rPr>
        <w:t>XXV</w:t>
      </w:r>
      <w:r>
        <w:rPr>
          <w:rFonts w:eastAsia="Times New Roman" w:cs="Times New Roman" w:ascii="Times New Roman" w:hAnsi="Times New Roman"/>
          <w:sz w:val="24"/>
          <w:szCs w:val="24"/>
          <w:lang w:eastAsia="ru-RU"/>
        </w:rPr>
        <w:t xml:space="preserve"> Канфелем О.М. в 1958 году. Авторами проанализирован огромный материал. Стратиграфические схемы достаточно аргументированы, практически все стратиграфические подразделения охарактеризованы фауной. Интрузивные породы разделены на комплексы. </w:t>
      </w:r>
    </w:p>
    <w:p>
      <w:pPr>
        <w:pStyle w:val="Normal"/>
        <w:spacing w:lineRule="auto" w:line="240" w:before="0" w:after="0"/>
        <w:ind w:firstLine="567"/>
        <w:jc w:val="both"/>
        <w:rPr>
          <w:rFonts w:ascii="Times New Roman" w:hAnsi="Times New Roman" w:eastAsia="Times New Roman" w:cs="Times New Roman"/>
          <w:b/>
          <w:bCs/>
          <w:sz w:val="24"/>
          <w:szCs w:val="24"/>
          <w:lang w:eastAsia="ru-RU"/>
        </w:rPr>
      </w:pPr>
      <w:r>
        <w:rPr>
          <w:rFonts w:eastAsia="Times New Roman" w:cs="Times New Roman" w:ascii="Times New Roman" w:hAnsi="Times New Roman"/>
          <w:sz w:val="24"/>
          <w:szCs w:val="24"/>
          <w:lang w:eastAsia="ru-RU"/>
        </w:rPr>
        <w:t xml:space="preserve">Следующий этап исследований связан с именами Ильющенко С.Е. (1959), Джанаев М.М. (1960), Беркалиев Н.А. (1971), Долгань Ф.В. (1973; 1975); Малахов В.С. (1967), Катаев В.Н. </w:t>
      </w:r>
      <w:r>
        <w:rPr>
          <w:rFonts w:eastAsia="Times New Roman" w:cs="Times New Roman" w:ascii="Times New Roman" w:hAnsi="Times New Roman"/>
          <w:bCs/>
          <w:sz w:val="24"/>
          <w:szCs w:val="24"/>
          <w:lang w:eastAsia="ru-RU"/>
        </w:rPr>
        <w:t>[8]</w:t>
      </w:r>
      <w:r>
        <w:rPr>
          <w:rFonts w:eastAsia="Times New Roman" w:cs="Times New Roman" w:ascii="Times New Roman" w:hAnsi="Times New Roman"/>
          <w:sz w:val="24"/>
          <w:szCs w:val="24"/>
          <w:lang w:eastAsia="ru-RU"/>
        </w:rPr>
        <w:t>. В 60-х-70-х годах ХХ века были проведены детальные геологические съемки, проведенными и нашедшими свое отражение в геологических картах ряда листов масштаба 1:50000.</w:t>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drawing>
          <wp:anchor behindDoc="0" distT="0" distB="0" distL="114300" distR="114300" simplePos="0" locked="0" layoutInCell="0" allowOverlap="1" relativeHeight="36">
            <wp:simplePos x="0" y="0"/>
            <wp:positionH relativeFrom="margin">
              <wp:posOffset>939165</wp:posOffset>
            </wp:positionH>
            <wp:positionV relativeFrom="paragraph">
              <wp:posOffset>102870</wp:posOffset>
            </wp:positionV>
            <wp:extent cx="3836670" cy="4770120"/>
            <wp:effectExtent l="0" t="0" r="0" b="0"/>
            <wp:wrapSquare wrapText="bothSides"/>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63"/>
                    <a:srcRect l="15478" t="7811" r="17949" b="1330"/>
                    <a:stretch>
                      <a:fillRect/>
                    </a:stretch>
                  </pic:blipFill>
                  <pic:spPr bwMode="auto">
                    <a:xfrm>
                      <a:off x="0" y="0"/>
                      <a:ext cx="3836670" cy="4770120"/>
                    </a:xfrm>
                    <a:prstGeom prst="rect">
                      <a:avLst/>
                    </a:prstGeom>
                    <a:noFill/>
                  </pic:spPr>
                </pic:pic>
              </a:graphicData>
            </a:graphic>
          </wp:anchor>
        </w:drawing>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0"/>
          <w:szCs w:val="20"/>
          <w:lang w:eastAsia="ru-RU"/>
        </w:rPr>
      </w:pPr>
      <w:r>
        <w:rPr>
          <w:rFonts w:eastAsia="Times New Roman" w:cs="Times New Roman" w:ascii="Times New Roman" w:hAnsi="Times New Roman"/>
          <w:b/>
          <w:bCs/>
          <w:sz w:val="20"/>
          <w:szCs w:val="20"/>
          <w:lang w:eastAsia="ru-RU"/>
        </w:rPr>
        <w:t>Рис. 1 - Картограмма геологической изученности (лист М-42-</w:t>
      </w:r>
      <w:r>
        <w:rPr>
          <w:rFonts w:eastAsia="Times New Roman" w:cs="Times New Roman" w:ascii="Times New Roman" w:hAnsi="Times New Roman"/>
          <w:b/>
          <w:bCs/>
          <w:sz w:val="20"/>
          <w:szCs w:val="20"/>
          <w:lang w:val="en-US" w:eastAsia="ru-RU"/>
        </w:rPr>
        <w:t>XXV</w:t>
      </w:r>
      <w:r>
        <w:rPr>
          <w:rFonts w:eastAsia="Times New Roman" w:cs="Times New Roman" w:ascii="Times New Roman" w:hAnsi="Times New Roman"/>
          <w:b/>
          <w:bCs/>
          <w:sz w:val="20"/>
          <w:szCs w:val="20"/>
          <w:lang w:eastAsia="ru-RU"/>
        </w:rPr>
        <w:t>)</w:t>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Вышеназванными геологами были уточнены и значительно изменены представления о геологическом строении района и его перспективах в отношении   полезных ископаемых, детализированы стратиграфические схемы палеозоя, обнаружены органические остатки, собран и обобщен большой объем петрохимических исследований интрузивных и эффузивных пород. Впервые в районе выделены каражирикский, прибалхашский и сарджальский горизонты нижнего девона. Фаунистически охарактеризована тектурмасская свита кембрия. Допалеозойские отложения расчленены на свиты, толщи и пачки. Определены перспективы площади на золото, медь, полиметаллы. В фаменских отложениях установлены фации, перспективные на поиски свинцово-цинковых руд стратиформного типа, составлена геологическая карта Атасуйского рудного района.</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На основании больших объемов картировочного и поискового бурения построены карты допалеозойских образований, дробно расчленены отложения франского, фаменского ярусов и нижнетурнейских отложений с выделением мелководных и глубоководных фаций; проведено геохимическое исследование района, выявлены новые проявления рудной минерализации, обоснована необходимость оценки глубоких горизонтов (более 200 м) медного месторождения Успенское.</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Со второй половины 40-х годов ХХ века по настоящее время на площади работ ведутся многочисленные инженерно-геологические и гидрогеологические изыскания, многие из которых связаны с сельскохозяйственными нуждами (мелиорация земель, обводнение пастбищ). </w:t>
      </w:r>
    </w:p>
    <w:p>
      <w:pPr>
        <w:pStyle w:val="Normal"/>
        <w:spacing w:lineRule="auto" w:line="240" w:before="0" w:after="0"/>
        <w:ind w:firstLine="567"/>
        <w:jc w:val="both"/>
        <w:rPr>
          <w:rFonts w:ascii="Times New Roman" w:hAnsi="Times New Roman" w:eastAsia="Times New Roman" w:cs="Times New Roman"/>
          <w:bCs/>
          <w:sz w:val="24"/>
          <w:szCs w:val="24"/>
          <w:lang w:eastAsia="ru-RU"/>
        </w:rPr>
      </w:pPr>
      <w:r>
        <w:rPr>
          <w:rFonts w:eastAsia="Times New Roman" w:cs="Times New Roman" w:ascii="Times New Roman" w:hAnsi="Times New Roman"/>
          <w:sz w:val="24"/>
          <w:szCs w:val="24"/>
          <w:lang w:eastAsia="ru-RU"/>
        </w:rPr>
        <w:t xml:space="preserve">В период 2004-2007 года </w:t>
      </w:r>
      <w:r>
        <w:rPr>
          <w:rFonts w:eastAsia="Times New Roman" w:cs="Times New Roman" w:ascii="Times New Roman" w:hAnsi="Times New Roman"/>
          <w:bCs/>
          <w:sz w:val="24"/>
          <w:szCs w:val="24"/>
          <w:lang w:eastAsia="ru-RU"/>
        </w:rPr>
        <w:t xml:space="preserve">Магретовой Л.И. (МД «Центрказнедра») </w:t>
      </w:r>
      <w:r>
        <w:rPr>
          <w:rFonts w:eastAsia="Times New Roman" w:cs="Times New Roman" w:ascii="Times New Roman" w:hAnsi="Times New Roman"/>
          <w:sz w:val="24"/>
          <w:szCs w:val="24"/>
          <w:lang w:eastAsia="ru-RU"/>
        </w:rPr>
        <w:t>проведены р</w:t>
      </w:r>
      <w:r>
        <w:rPr>
          <w:rFonts w:eastAsia="Times New Roman" w:cs="Times New Roman" w:ascii="Times New Roman" w:hAnsi="Times New Roman"/>
          <w:bCs/>
          <w:sz w:val="24"/>
          <w:szCs w:val="24"/>
          <w:lang w:eastAsia="ru-RU"/>
        </w:rPr>
        <w:t>аботы по геологическому доизучению площадей м-ба 1:200000 (ГДП-200) на территории листов М-42-</w:t>
      </w:r>
      <w:r>
        <w:rPr>
          <w:rFonts w:eastAsia="Times New Roman" w:cs="Times New Roman" w:ascii="Times New Roman" w:hAnsi="Times New Roman"/>
          <w:bCs/>
          <w:sz w:val="24"/>
          <w:szCs w:val="24"/>
          <w:lang w:val="en-US" w:eastAsia="ru-RU"/>
        </w:rPr>
        <w:t>XXX</w:t>
      </w:r>
      <w:r>
        <w:rPr>
          <w:rFonts w:eastAsia="Times New Roman" w:cs="Times New Roman" w:ascii="Times New Roman" w:hAnsi="Times New Roman"/>
          <w:bCs/>
          <w:sz w:val="24"/>
          <w:szCs w:val="24"/>
          <w:lang w:eastAsia="ru-RU"/>
        </w:rPr>
        <w:t>, М42-</w:t>
      </w:r>
      <w:r>
        <w:rPr>
          <w:rFonts w:eastAsia="Times New Roman" w:cs="Times New Roman" w:ascii="Times New Roman" w:hAnsi="Times New Roman"/>
          <w:bCs/>
          <w:sz w:val="24"/>
          <w:szCs w:val="24"/>
          <w:lang w:val="en-US" w:eastAsia="ru-RU"/>
        </w:rPr>
        <w:t>XXXVI</w:t>
      </w:r>
      <w:r>
        <w:rPr>
          <w:rFonts w:eastAsia="Times New Roman" w:cs="Times New Roman" w:ascii="Times New Roman" w:hAnsi="Times New Roman"/>
          <w:bCs/>
          <w:sz w:val="24"/>
          <w:szCs w:val="24"/>
          <w:lang w:eastAsia="ru-RU"/>
        </w:rPr>
        <w:t xml:space="preserve">, </w:t>
      </w:r>
      <w:r>
        <w:rPr>
          <w:rFonts w:eastAsia="Times New Roman" w:cs="Times New Roman" w:ascii="Times New Roman" w:hAnsi="Times New Roman"/>
          <w:bCs/>
          <w:sz w:val="24"/>
          <w:szCs w:val="24"/>
          <w:lang w:val="en-US" w:eastAsia="ru-RU"/>
        </w:rPr>
        <w:t>M</w:t>
      </w:r>
      <w:r>
        <w:rPr>
          <w:rFonts w:eastAsia="Times New Roman" w:cs="Times New Roman" w:ascii="Times New Roman" w:hAnsi="Times New Roman"/>
          <w:bCs/>
          <w:sz w:val="24"/>
          <w:szCs w:val="24"/>
          <w:lang w:eastAsia="ru-RU"/>
        </w:rPr>
        <w:t>-43-</w:t>
      </w:r>
      <w:r>
        <w:rPr>
          <w:rFonts w:eastAsia="Times New Roman" w:cs="Times New Roman" w:ascii="Times New Roman" w:hAnsi="Times New Roman"/>
          <w:bCs/>
          <w:sz w:val="24"/>
          <w:szCs w:val="24"/>
          <w:lang w:val="en-US" w:eastAsia="ru-RU"/>
        </w:rPr>
        <w:t>XXV</w:t>
      </w:r>
      <w:r>
        <w:rPr>
          <w:rFonts w:eastAsia="Times New Roman" w:cs="Times New Roman" w:ascii="Times New Roman" w:hAnsi="Times New Roman"/>
          <w:bCs/>
          <w:sz w:val="24"/>
          <w:szCs w:val="24"/>
          <w:lang w:eastAsia="ru-RU"/>
        </w:rPr>
        <w:t>. В процессе полевых работ авторами пройдено  3664 п.км геологических и поисковых маршрутов, 684 п.км. геолого-геохимических при выполнении специализированных работ по минерагеническому картированию, 11000 м  маршрутов по составлению опорных стратиграфических разрезов (6 детальных разрезов с отбором флоры, фауны и проб на силикатный анализ), пробурено 4004 п.м поискового и 22450 п.м. картировочного бурения, пройдено  3577 м</w:t>
      </w:r>
      <w:r>
        <w:rPr>
          <w:rFonts w:eastAsia="Times New Roman" w:cs="Times New Roman" w:ascii="Times New Roman" w:hAnsi="Times New Roman"/>
          <w:bCs/>
          <w:sz w:val="24"/>
          <w:szCs w:val="24"/>
          <w:vertAlign w:val="superscript"/>
          <w:lang w:eastAsia="ru-RU"/>
        </w:rPr>
        <w:t>3</w:t>
      </w:r>
      <w:r>
        <w:rPr>
          <w:rFonts w:eastAsia="Times New Roman" w:cs="Times New Roman" w:ascii="Times New Roman" w:hAnsi="Times New Roman"/>
          <w:bCs/>
          <w:sz w:val="24"/>
          <w:szCs w:val="24"/>
          <w:lang w:eastAsia="ru-RU"/>
        </w:rPr>
        <w:t xml:space="preserve"> поисковых канав.</w:t>
      </w:r>
    </w:p>
    <w:p>
      <w:pPr>
        <w:pStyle w:val="Normal"/>
        <w:widowControl w:val="false"/>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западной части листа М-43-</w:t>
      </w:r>
      <w:r>
        <w:rPr>
          <w:rFonts w:eastAsia="Times New Roman" w:cs="Times New Roman" w:ascii="Times New Roman" w:hAnsi="Times New Roman"/>
          <w:sz w:val="24"/>
          <w:szCs w:val="24"/>
          <w:lang w:val="en-US" w:eastAsia="ru-RU"/>
        </w:rPr>
        <w:t>XXV</w:t>
      </w:r>
      <w:r>
        <w:rPr>
          <w:rFonts w:eastAsia="Times New Roman" w:cs="Times New Roman" w:ascii="Times New Roman" w:hAnsi="Times New Roman"/>
          <w:sz w:val="24"/>
          <w:szCs w:val="24"/>
          <w:lang w:eastAsia="ru-RU"/>
        </w:rPr>
        <w:t xml:space="preserve"> на участке Бурминский авторами выполнены специализированные геолого-минералогические исследования. Описание гидротермально-метасоматических ассоциаций по шлифам, согласно методике Беляева Г.М., Плющева Е.В., Ушакова О.П.В.В. Шатова </w:t>
      </w:r>
      <w:bookmarkStart w:id="4" w:name="_Hlk180958109"/>
      <w:r>
        <w:rPr>
          <w:rFonts w:eastAsia="Times New Roman" w:cs="Times New Roman" w:ascii="Times New Roman" w:hAnsi="Times New Roman"/>
          <w:sz w:val="24"/>
          <w:szCs w:val="24"/>
          <w:lang w:eastAsia="ru-RU"/>
        </w:rPr>
        <w:t>[9]</w:t>
      </w:r>
      <w:bookmarkEnd w:id="4"/>
      <w:r>
        <w:rPr>
          <w:rFonts w:eastAsia="Times New Roman" w:cs="Times New Roman" w:ascii="Times New Roman" w:hAnsi="Times New Roman"/>
          <w:sz w:val="24"/>
          <w:szCs w:val="24"/>
          <w:lang w:eastAsia="ru-RU"/>
        </w:rPr>
        <w:t xml:space="preserve">, было составлено сотрудницей Томского политехнического Университета М.И. Шаминовой. Вся последующая работа, включая составление карт и текста по участку Бурминскому, а также описание шлифов и составление карты метасоматических ассоциаций на площадь участка Ордабасы, выполнена ведущим геологом ТОО «Центргеолсъемка» И.Г. Масловой. Обоснование возраста выделенных стратиграфических подразделений базируются на результатах определений 435 точек сборов фауны и флоры, в том числе 109 выявленных при выполнении ГДП-200. Палеонтологические полевые работы выполнены авторами отчета, а также геологами З.А. Климахиной и Г.В. Филатовой по договору с АО «Азимут Энерджи Сервисез». </w:t>
      </w:r>
      <w:r>
        <w:rPr>
          <w:rFonts w:eastAsia="Times New Roman" w:cs="Times New Roman" w:ascii="Times New Roman" w:hAnsi="Times New Roman"/>
          <w:color w:val="000000"/>
          <w:sz w:val="24"/>
          <w:szCs w:val="24"/>
          <w:lang w:eastAsia="ru-RU"/>
        </w:rPr>
        <w:t xml:space="preserve">Датирование интрузивных образований основано на результатах 40 геохронологических определений, выполненных разными исследователями на площади работ в предыдущие годы. </w:t>
      </w:r>
      <w:r>
        <w:rPr>
          <w:rFonts w:eastAsia="Times New Roman" w:cs="Times New Roman" w:ascii="Times New Roman" w:hAnsi="Times New Roman"/>
          <w:sz w:val="24"/>
          <w:szCs w:val="24"/>
          <w:lang w:eastAsia="ru-RU"/>
        </w:rPr>
        <w:t>Площадь ГДП-200 располагается в зоне сопряжения 12 разновозрастных структурно-формационных зон Центрального Казахстана и характеризуется сложным геологическим строением с широким развитием надвиговых структур и олистостромовых комплексов. Присутствуют стратифицированные отложения от позднего протерозоя до мезо-кайнозоя и интрузивные образования (от ультраосновных до ультракислых) в диапазоне возрастов от позднего рифея до поздней перми.</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i/>
          <w:sz w:val="24"/>
          <w:szCs w:val="24"/>
          <w:lang w:eastAsia="ru-RU"/>
        </w:rPr>
        <w:t xml:space="preserve">Поисковая изученность. </w:t>
      </w:r>
      <w:r>
        <w:rPr>
          <w:rFonts w:eastAsia="Times New Roman" w:cs="Times New Roman" w:ascii="Times New Roman" w:hAnsi="Times New Roman"/>
          <w:sz w:val="24"/>
          <w:szCs w:val="24"/>
          <w:lang w:eastAsia="ru-RU"/>
        </w:rPr>
        <w:t>Поисковые и поисково-оценочные работы на изученной территории проводились как в процессе геолого-съемочных работ (Рисунок 2), так и в ходе различного рода специализированных поисков. До 50-х годов работы носили эпизодический характер. К этому времени в Атасуйском районе известны были в основном железомарганцевые проявления и месторождения, связанные с карбонатными отложениями верхнего девона – нижнего карбона. Поэтому основное внимание при детальных поисках уделялось изучению литологии, стратиграфии и структуре этих отложений. Так, в 1950 году В.Е. Куман проводил разведку проявления марганца Сулу-Медине и признал его непромышленным, но в отчете автор приводит дробную стратиграфическую схему осадочных девон-карбоновых отложений, которая несколько отличается от схемы А.А. Богданова. В 1951 году в южной части листа М-43-</w:t>
      </w:r>
      <w:r>
        <w:rPr>
          <w:rFonts w:eastAsia="Times New Roman" w:cs="Times New Roman" w:ascii="Times New Roman" w:hAnsi="Times New Roman"/>
          <w:sz w:val="24"/>
          <w:szCs w:val="24"/>
          <w:lang w:val="en-US" w:eastAsia="ru-RU"/>
        </w:rPr>
        <w:t>XXV</w:t>
      </w:r>
      <w:r>
        <w:rPr>
          <w:rFonts w:eastAsia="Times New Roman" w:cs="Times New Roman" w:ascii="Times New Roman" w:hAnsi="Times New Roman"/>
          <w:sz w:val="24"/>
          <w:szCs w:val="24"/>
          <w:lang w:eastAsia="ru-RU"/>
        </w:rPr>
        <w:t xml:space="preserve"> проводились поисковые работы на марганец В.Л. Саркисяном. Им были выявлены проявления Восточный и Западный Айгыржал и разведано месторождение Катпар. Железомарганцевое месторождение Большой Ктай и марганцевое месторождение Керегетас с 1939 года с перерывами разведывались рядом геологов и в 1955 году В.И. Кавуном разведка их была завершена. На месторождении Большой Ктай произведен подсчет запасов железных и марганцевых и железомарганцевых руд. В отношении полиметаллического оруденения район месторождения получил отрицательную оценку. На месторождении Керегетас подсчитаны запасы марганцевых и железомарганцевых руд по категории С</w:t>
      </w:r>
      <w:r>
        <w:rPr>
          <w:rFonts w:eastAsia="Times New Roman" w:cs="Times New Roman" w:ascii="Times New Roman" w:hAnsi="Times New Roman"/>
          <w:sz w:val="24"/>
          <w:szCs w:val="24"/>
          <w:vertAlign w:val="subscript"/>
          <w:lang w:eastAsia="ru-RU"/>
        </w:rPr>
        <w:t>2</w:t>
      </w:r>
      <w:r>
        <w:rPr>
          <w:rFonts w:eastAsia="Times New Roman" w:cs="Times New Roman" w:ascii="Times New Roman" w:hAnsi="Times New Roman"/>
          <w:sz w:val="24"/>
          <w:szCs w:val="24"/>
          <w:lang w:eastAsia="ru-RU"/>
        </w:rPr>
        <w:t xml:space="preserve"> и утверждены ВКЗ СССР </w:t>
      </w:r>
      <w:r>
        <w:rPr>
          <w:rFonts w:eastAsia="Times New Roman" w:cs="Times New Roman" w:ascii="Times New Roman" w:hAnsi="Times New Roman"/>
          <w:bCs/>
          <w:sz w:val="24"/>
          <w:szCs w:val="24"/>
          <w:lang w:eastAsia="ru-RU"/>
        </w:rPr>
        <w:t>[10]</w:t>
      </w:r>
      <w:r>
        <w:rPr>
          <w:rFonts w:eastAsia="Times New Roman" w:cs="Times New Roman" w:ascii="Times New Roman" w:hAnsi="Times New Roman"/>
          <w:sz w:val="24"/>
          <w:szCs w:val="24"/>
          <w:lang w:eastAsia="ru-RU"/>
        </w:rPr>
        <w:t>.</w:t>
      </w:r>
    </w:p>
    <w:p>
      <w:pPr>
        <w:pStyle w:val="Normal"/>
        <w:spacing w:lineRule="auto" w:line="240"/>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ind w:left="567"/>
        <w:rPr>
          <w:rFonts w:ascii="Times New Roman" w:hAnsi="Times New Roman" w:eastAsia="Calibri" w:cs="Times New Roman"/>
          <w:sz w:val="24"/>
          <w:szCs w:val="24"/>
          <w:lang w:val="en-US"/>
        </w:rPr>
      </w:pPr>
      <w:r>
        <w:rPr/>
        <mc:AlternateContent>
          <mc:Choice Requires="wps">
            <w:drawing>
              <wp:anchor behindDoc="0" distT="13970" distB="19050" distL="19050" distR="19050" simplePos="0" locked="0" layoutInCell="1" allowOverlap="1" relativeHeight="32" wp14:anchorId="07920323">
                <wp:simplePos x="0" y="0"/>
                <wp:positionH relativeFrom="column">
                  <wp:posOffset>2929890</wp:posOffset>
                </wp:positionH>
                <wp:positionV relativeFrom="paragraph">
                  <wp:posOffset>2218055</wp:posOffset>
                </wp:positionV>
                <wp:extent cx="219075" cy="147955"/>
                <wp:effectExtent l="13335" t="13335" r="12065" b="12065"/>
                <wp:wrapNone/>
                <wp:docPr id="27" name="Rectangle 11"/>
                <a:graphic xmlns:a="http://schemas.openxmlformats.org/drawingml/2006/main">
                  <a:graphicData uri="http://schemas.microsoft.com/office/word/2010/wordprocessingShape">
                    <wps:wsp>
                      <wps:cNvSpPr/>
                      <wps:spPr>
                        <a:xfrm>
                          <a:off x="0" y="0"/>
                          <a:ext cx="219240" cy="147960"/>
                        </a:xfrm>
                        <a:prstGeom prst="rect">
                          <a:avLst/>
                        </a:prstGeom>
                        <a:solidFill>
                          <a:srgbClr val="ffffff"/>
                        </a:solidFill>
                        <a:ln w="25400">
                          <a:solidFill>
                            <a:srgbClr val="ff0000"/>
                          </a:solidFill>
                          <a:miter/>
                        </a:ln>
                      </wps:spPr>
                      <wps:style>
                        <a:lnRef idx="0"/>
                        <a:fillRef idx="0"/>
                        <a:effectRef idx="0"/>
                        <a:fontRef idx="minor"/>
                      </wps:style>
                      <wps:bodyPr/>
                    </wps:wsp>
                  </a:graphicData>
                </a:graphic>
              </wp:anchor>
            </w:drawing>
          </mc:Choice>
          <mc:Fallback>
            <w:pict>
              <v:rect id="shape_0" ID="Rectangle 11" path="m0,0l-2147483645,0l-2147483645,-2147483646l0,-2147483646xe" fillcolor="white" stroked="t" o:allowincell="f" style="position:absolute;margin-left:230.7pt;margin-top:174.65pt;width:17.2pt;height:11.6pt;mso-wrap-style:none;v-text-anchor:middle" wp14:anchorId="07920323">
                <v:fill o:detectmouseclick="t" type="solid" color2="black"/>
                <v:stroke color="red" weight="25560" joinstyle="miter" endcap="flat"/>
                <w10:wrap type="none"/>
              </v:rect>
            </w:pict>
          </mc:Fallback>
        </mc:AlternateContent>
        <mc:AlternateContent>
          <mc:Choice Requires="wps">
            <w:drawing>
              <wp:anchor behindDoc="0" distT="19050" distB="13970" distL="19050" distR="19050" simplePos="0" locked="0" layoutInCell="1" allowOverlap="1" relativeHeight="33" wp14:anchorId="0AE14711">
                <wp:simplePos x="0" y="0"/>
                <wp:positionH relativeFrom="column">
                  <wp:posOffset>862965</wp:posOffset>
                </wp:positionH>
                <wp:positionV relativeFrom="paragraph">
                  <wp:posOffset>6052185</wp:posOffset>
                </wp:positionV>
                <wp:extent cx="219075" cy="147955"/>
                <wp:effectExtent l="13335" t="13335" r="12065" b="12065"/>
                <wp:wrapNone/>
                <wp:docPr id="28" name="Rectangle 16"/>
                <a:graphic xmlns:a="http://schemas.openxmlformats.org/drawingml/2006/main">
                  <a:graphicData uri="http://schemas.microsoft.com/office/word/2010/wordprocessingShape">
                    <wps:wsp>
                      <wps:cNvSpPr/>
                      <wps:spPr>
                        <a:xfrm>
                          <a:off x="0" y="0"/>
                          <a:ext cx="219240" cy="147960"/>
                        </a:xfrm>
                        <a:prstGeom prst="rect">
                          <a:avLst/>
                        </a:prstGeom>
                        <a:solidFill>
                          <a:srgbClr val="ffffff"/>
                        </a:solidFill>
                        <a:ln w="25400">
                          <a:solidFill>
                            <a:srgbClr val="ff0000"/>
                          </a:solidFill>
                          <a:miter/>
                        </a:ln>
                      </wps:spPr>
                      <wps:style>
                        <a:lnRef idx="0"/>
                        <a:fillRef idx="0"/>
                        <a:effectRef idx="0"/>
                        <a:fontRef idx="minor"/>
                      </wps:style>
                      <wps:bodyPr/>
                    </wps:wsp>
                  </a:graphicData>
                </a:graphic>
              </wp:anchor>
            </w:drawing>
          </mc:Choice>
          <mc:Fallback>
            <w:pict>
              <v:rect id="shape_0" ID="Rectangle 16" path="m0,0l-2147483645,0l-2147483645,-2147483646l0,-2147483646xe" fillcolor="white" stroked="t" o:allowincell="f" style="position:absolute;margin-left:67.95pt;margin-top:476.55pt;width:17.2pt;height:11.6pt;mso-wrap-style:none;v-text-anchor:middle" wp14:anchorId="0AE14711">
                <v:fill o:detectmouseclick="t" type="solid" color2="black"/>
                <v:stroke color="red" weight="25560" joinstyle="miter" endcap="flat"/>
                <w10:wrap type="none"/>
              </v:rect>
            </w:pict>
          </mc:Fallback>
        </mc:AlternateContent>
        <mc:AlternateContent>
          <mc:Choice Requires="wps">
            <w:drawing>
              <wp:anchor behindDoc="0" distT="9525" distB="9525" distL="9525" distR="6985" simplePos="0" locked="0" layoutInCell="1" allowOverlap="1" relativeHeight="34" wp14:anchorId="515D53DE">
                <wp:simplePos x="0" y="0"/>
                <wp:positionH relativeFrom="column">
                  <wp:posOffset>1205865</wp:posOffset>
                </wp:positionH>
                <wp:positionV relativeFrom="paragraph">
                  <wp:posOffset>5975985</wp:posOffset>
                </wp:positionV>
                <wp:extent cx="2155190" cy="276225"/>
                <wp:effectExtent l="5080" t="5715" r="5080" b="4445"/>
                <wp:wrapNone/>
                <wp:docPr id="29" name="Надпись 2"/>
                <a:graphic xmlns:a="http://schemas.openxmlformats.org/drawingml/2006/main">
                  <a:graphicData uri="http://schemas.microsoft.com/office/word/2010/wordprocessingShape">
                    <wps:wsp>
                      <wps:cNvSpPr/>
                      <wps:spPr>
                        <a:xfrm>
                          <a:off x="0" y="0"/>
                          <a:ext cx="2155320" cy="276120"/>
                        </a:xfrm>
                        <a:prstGeom prst="rect">
                          <a:avLst/>
                        </a:prstGeom>
                        <a:solidFill>
                          <a:srgbClr val="ffffff"/>
                        </a:solidFill>
                        <a:ln w="9525">
                          <a:solidFill>
                            <a:srgbClr val="ffffff"/>
                          </a:solidFill>
                          <a:miter/>
                        </a:ln>
                      </wps:spPr>
                      <wps:style>
                        <a:lnRef idx="0"/>
                        <a:fillRef idx="0"/>
                        <a:effectRef idx="0"/>
                        <a:fontRef idx="minor"/>
                      </wps:style>
                      <wps:txbx>
                        <w:txbxContent>
                          <w:p>
                            <w:pPr>
                              <w:pStyle w:val="FrameContents"/>
                              <w:spacing w:before="0" w:after="160"/>
                              <w:rPr>
                                <w:rFonts w:ascii="Times New Roman" w:hAnsi="Times New Roman" w:cs="Times New Roman"/>
                                <w:b/>
                                <w:sz w:val="20"/>
                                <w:szCs w:val="20"/>
                              </w:rPr>
                            </w:pPr>
                            <w:r>
                              <w:rPr>
                                <w:rFonts w:cs="Times New Roman" w:ascii="Times New Roman" w:hAnsi="Times New Roman"/>
                              </w:rPr>
                              <w:t xml:space="preserve"> </w:t>
                            </w:r>
                            <w:r>
                              <w:rPr>
                                <w:rFonts w:cs="Times New Roman" w:ascii="Times New Roman" w:hAnsi="Times New Roman"/>
                                <w:b/>
                                <w:sz w:val="20"/>
                                <w:szCs w:val="20"/>
                              </w:rPr>
                              <w:t>Участок Ордабасы</w:t>
                            </w:r>
                          </w:p>
                        </w:txbxContent>
                      </wps:txbx>
                      <wps:bodyPr anchor="t" upright="1">
                        <a:noAutofit/>
                      </wps:bodyPr>
                    </wps:wsp>
                  </a:graphicData>
                </a:graphic>
              </wp:anchor>
            </w:drawing>
          </mc:Choice>
          <mc:Fallback>
            <w:pict>
              <v:rect id="shape_0" ID="Надпись 2" path="m0,0l-2147483645,0l-2147483645,-2147483646l0,-2147483646xe" fillcolor="white" stroked="t" o:allowincell="f" style="position:absolute;margin-left:94.95pt;margin-top:470.55pt;width:169.65pt;height:21.7pt;mso-wrap-style:square;v-text-anchor:top" wp14:anchorId="515D53DE">
                <v:fill o:detectmouseclick="t" type="solid" color2="black"/>
                <v:stroke color="white" weight="9360" joinstyle="miter" endcap="flat"/>
                <v:textbox>
                  <w:txbxContent>
                    <w:p>
                      <w:pPr>
                        <w:pStyle w:val="FrameContents"/>
                        <w:spacing w:before="0" w:after="160"/>
                        <w:rPr>
                          <w:rFonts w:ascii="Times New Roman" w:hAnsi="Times New Roman" w:cs="Times New Roman"/>
                          <w:b/>
                          <w:sz w:val="20"/>
                          <w:szCs w:val="20"/>
                        </w:rPr>
                      </w:pPr>
                      <w:r>
                        <w:rPr>
                          <w:rFonts w:cs="Times New Roman" w:ascii="Times New Roman" w:hAnsi="Times New Roman"/>
                        </w:rPr>
                        <w:t xml:space="preserve"> </w:t>
                      </w:r>
                      <w:r>
                        <w:rPr>
                          <w:rFonts w:cs="Times New Roman" w:ascii="Times New Roman" w:hAnsi="Times New Roman"/>
                          <w:b/>
                          <w:sz w:val="20"/>
                          <w:szCs w:val="20"/>
                        </w:rPr>
                        <w:t>Участок Ордабасы</w:t>
                      </w:r>
                    </w:p>
                  </w:txbxContent>
                </v:textbox>
                <w10:wrap type="none"/>
              </v:rect>
            </w:pict>
          </mc:Fallback>
        </mc:AlternateContent>
        <w:drawing>
          <wp:inline distT="0" distB="0" distL="0" distR="0">
            <wp:extent cx="4838700" cy="6316980"/>
            <wp:effectExtent l="0" t="0" r="0" b="0"/>
            <wp:docPr id="30" name="Рисунок 57" descr="C:\Users\1\Desktop\поиск изу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57" descr="C:\Users\1\Desktop\поиск изуч.png"/>
                    <pic:cNvPicPr>
                      <a:picLocks noChangeAspect="1" noChangeArrowheads="1"/>
                    </pic:cNvPicPr>
                  </pic:nvPicPr>
                  <pic:blipFill>
                    <a:blip r:embed="rId64"/>
                    <a:stretch>
                      <a:fillRect/>
                    </a:stretch>
                  </pic:blipFill>
                  <pic:spPr bwMode="auto">
                    <a:xfrm>
                      <a:off x="0" y="0"/>
                      <a:ext cx="4838700" cy="6316980"/>
                    </a:xfrm>
                    <a:prstGeom prst="rect">
                      <a:avLst/>
                    </a:prstGeom>
                    <a:noFill/>
                  </pic:spPr>
                </pic:pic>
              </a:graphicData>
            </a:graphic>
          </wp:inline>
        </w:drawing>
      </w:r>
    </w:p>
    <w:p>
      <w:pPr>
        <w:pStyle w:val="Normal"/>
        <w:spacing w:lineRule="auto" w:line="240" w:before="0" w:after="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Рис. 2 - Картограмма поисковой изученности</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Новый этап поисковых работ начался с проведением площадных геофизических работ масштаба 1:50000, выполнявшихся Агадырской геофизическая экспедиция (ГФЭ) в 50-60 годах ХХ века.</w:t>
      </w:r>
    </w:p>
    <w:p>
      <w:pPr>
        <w:pStyle w:val="Normal"/>
        <w:widowControl w:val="false"/>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1968 году Агадырской ГФЭ выполнены поисковые работы масштаба 1:10000 на медь и молибден на участке Просторненском. Проявление было выявлено этой же экспедицией в 1967 году в процессе проведения поисково-съемочных работ масштаба 1:50000; на нем был выполнен небольшой объем горно-буровых работ. В результате была установлена прожилково-вкрапленная редкометалльная и медная минерализация, приуроченная к малой линейной интрузии гранитов, пронизанных густой сетью рудоносных кварцевых прожилков. Была выделена значительная (более 1,2 км</w:t>
      </w:r>
      <w:r>
        <w:rPr>
          <w:rFonts w:eastAsia="Times New Roman" w:cs="Times New Roman" w:ascii="Times New Roman" w:hAnsi="Times New Roman"/>
          <w:sz w:val="24"/>
          <w:szCs w:val="24"/>
          <w:vertAlign w:val="superscript"/>
          <w:lang w:eastAsia="ru-RU"/>
        </w:rPr>
        <w:t>2</w:t>
      </w:r>
      <w:r>
        <w:rPr>
          <w:rFonts w:eastAsia="Times New Roman" w:cs="Times New Roman" w:ascii="Times New Roman" w:hAnsi="Times New Roman"/>
          <w:sz w:val="24"/>
          <w:szCs w:val="24"/>
          <w:lang w:eastAsia="ru-RU"/>
        </w:rPr>
        <w:t xml:space="preserve">) площадь минерализованных пород, что послужило основанием для продолжения поисковых работ на участке Просторненский. Оценка оруденения осуществлялась комплексом методов, включающих магниторазведку, электроразведку, литохимические поиски, горно-буровые работы. В результате на исследованной площади выделено две рудных зоны: </w:t>
      </w:r>
    </w:p>
    <w:p>
      <w:pPr>
        <w:pStyle w:val="Normal"/>
        <w:widowControl w:val="false"/>
        <w:numPr>
          <w:ilvl w:val="0"/>
          <w:numId w:val="3"/>
        </w:numPr>
        <w:tabs>
          <w:tab w:val="clear" w:pos="708"/>
          <w:tab w:val="left" w:pos="1134" w:leader="none"/>
        </w:tabs>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рудная зона, приуроченная к линейной малой интрузии гранитов субширотного простирания; содержания меди, молибдена и вольфрама обычно низкие; </w:t>
      </w:r>
    </w:p>
    <w:p>
      <w:pPr>
        <w:pStyle w:val="Normal"/>
        <w:widowControl w:val="false"/>
        <w:numPr>
          <w:ilvl w:val="0"/>
          <w:numId w:val="3"/>
        </w:numPr>
        <w:tabs>
          <w:tab w:val="clear" w:pos="708"/>
          <w:tab w:val="left" w:pos="1134" w:leader="none"/>
        </w:tabs>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рудная зона, приуроченная к эндоконтакту Просторненского массива; породы не изменены, но содержат сеть кварцевых прожилков с пиритом, халькопиритом и молибденитом. </w:t>
      </w:r>
    </w:p>
    <w:p>
      <w:pPr>
        <w:pStyle w:val="Normal"/>
        <w:widowControl w:val="false"/>
        <w:tabs>
          <w:tab w:val="clear" w:pos="708"/>
          <w:tab w:val="left" w:pos="1134" w:leader="none"/>
        </w:tabs>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Кроме рудных зон на площади выявлен ряд геофизических аномалий, приуроченных к эндо-экзоконтактугранитоидов Просторненского массива и осадочных пород нижнего силура. Большая часть этих аномалий либо изучена недостаточно, либо совсем не проверена. НТС ЦКГУ постановило, что однозначный вывод о промышленной значимости проявления не представляется возможным, поисковые работы с целью оценки геофизических аномалий необходимо продолжить, рудные зоны необходимо проследить к западу и северо-западу от участка комплексом геохимических и геофизических методов масштаба 1:10000. В 1973-1976 годах В.И. Серегиным (таблица 1) были проведены поисковые работы на золото на площади проявления Каштал, выявленного при проведении геолого-съемочных и поисковых работ масштаба 1:50000 Долганевым в 1973 году. На площади 3,5 км</w:t>
      </w:r>
      <w:r>
        <w:rPr>
          <w:rFonts w:eastAsia="Times New Roman" w:cs="Times New Roman" w:ascii="Times New Roman" w:hAnsi="Times New Roman"/>
          <w:sz w:val="24"/>
          <w:szCs w:val="24"/>
          <w:vertAlign w:val="superscript"/>
          <w:lang w:eastAsia="ru-RU"/>
        </w:rPr>
        <w:t>2</w:t>
      </w:r>
      <w:r>
        <w:rPr>
          <w:rFonts w:eastAsia="Times New Roman" w:cs="Times New Roman" w:ascii="Times New Roman" w:hAnsi="Times New Roman"/>
          <w:sz w:val="24"/>
          <w:szCs w:val="24"/>
          <w:lang w:eastAsia="ru-RU"/>
        </w:rPr>
        <w:t xml:space="preserve"> выполнены магниторазведка, горно-буровые работы. В результате на участке установлено два типа золотого оруденения: кварцевые жилы с сульфидной минерализацией и золотом и зоны гидротермально измененных пород с сульфидами и невысокими содержаниями золота. Запасы золота в кварцевых жилах были признаны непромышленными, отработка их возможна лишь старательским способом. Оценку минерализованных зон рекомендовано продолжить. При проведении общих поисков на территории, прилегающей к проявлению Каштал, было выявлено новое проявление золота - Байгул.</w:t>
      </w:r>
    </w:p>
    <w:p>
      <w:pPr>
        <w:pStyle w:val="Normal"/>
        <w:widowControl w:val="false"/>
        <w:tabs>
          <w:tab w:val="clear" w:pos="708"/>
          <w:tab w:val="left" w:pos="1134" w:leader="none"/>
        </w:tabs>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center"/>
        <w:rPr>
          <w:rFonts w:ascii="Times New Roman" w:hAnsi="Times New Roman" w:eastAsia="Calibri" w:cs="Times New Roman"/>
          <w:b/>
        </w:rPr>
      </w:pPr>
      <w:r>
        <w:rPr>
          <w:rFonts w:eastAsia="Calibri" w:cs="Times New Roman" w:ascii="Times New Roman" w:hAnsi="Times New Roman"/>
          <w:b/>
        </w:rPr>
        <w:t xml:space="preserve">Таблица 1 - Каталог к картограммам поисковой изученности листов </w:t>
      </w:r>
      <w:r>
        <w:rPr>
          <w:rFonts w:eastAsia="Calibri" w:cs="Times New Roman" w:ascii="Times New Roman" w:hAnsi="Times New Roman"/>
          <w:b/>
          <w:lang w:val="en-US"/>
        </w:rPr>
        <w:t>M</w:t>
      </w:r>
      <w:r>
        <w:rPr>
          <w:rFonts w:eastAsia="Calibri" w:cs="Times New Roman" w:ascii="Times New Roman" w:hAnsi="Times New Roman"/>
          <w:b/>
        </w:rPr>
        <w:t>-43-</w:t>
      </w:r>
      <w:r>
        <w:rPr>
          <w:rFonts w:eastAsia="Calibri" w:cs="Times New Roman" w:ascii="Times New Roman" w:hAnsi="Times New Roman"/>
          <w:b/>
          <w:lang w:val="en-US"/>
        </w:rPr>
        <w:t>XXV</w:t>
      </w:r>
    </w:p>
    <w:p>
      <w:pPr>
        <w:pStyle w:val="Normal"/>
        <w:spacing w:lineRule="auto" w:line="240" w:before="0" w:after="0"/>
        <w:jc w:val="center"/>
        <w:rPr>
          <w:rFonts w:ascii="Times New Roman" w:hAnsi="Times New Roman" w:eastAsia="Calibri" w:cs="Times New Roman"/>
          <w:b/>
          <w:sz w:val="24"/>
          <w:szCs w:val="24"/>
        </w:rPr>
      </w:pPr>
      <w:r>
        <w:rPr>
          <w:rFonts w:eastAsia="Calibri" w:cs="Times New Roman" w:ascii="Times New Roman" w:hAnsi="Times New Roman"/>
          <w:b/>
          <w:sz w:val="24"/>
          <w:szCs w:val="24"/>
        </w:rPr>
      </w:r>
    </w:p>
    <w:tbl>
      <w:tblPr>
        <w:tblW w:w="9493"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412"/>
        <w:gridCol w:w="1803"/>
        <w:gridCol w:w="1316"/>
        <w:gridCol w:w="1842"/>
        <w:gridCol w:w="1418"/>
        <w:gridCol w:w="1701"/>
      </w:tblGrid>
      <w:tr>
        <w:trPr/>
        <w:tc>
          <w:tcPr>
            <w:tcW w:w="1412"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 xml:space="preserve">№ </w:t>
            </w:r>
            <w:r>
              <w:rPr>
                <w:rFonts w:eastAsia="Calibri" w:cs="Times New Roman" w:ascii="Times New Roman" w:hAnsi="Times New Roman"/>
                <w:b/>
                <w:bCs/>
                <w:sz w:val="20"/>
                <w:szCs w:val="20"/>
              </w:rPr>
              <w:t>контура на картограмме изученности</w:t>
            </w:r>
          </w:p>
        </w:tc>
        <w:tc>
          <w:tcPr>
            <w:tcW w:w="1803" w:type="dxa"/>
            <w:tcBorders/>
            <w:vAlign w:val="center"/>
          </w:tcPr>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 xml:space="preserve">Фамилия, </w:t>
            </w:r>
          </w:p>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и.,о.</w:t>
            </w:r>
          </w:p>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автора отчета</w:t>
            </w:r>
          </w:p>
        </w:tc>
        <w:tc>
          <w:tcPr>
            <w:tcW w:w="1316" w:type="dxa"/>
            <w:tcBorders/>
            <w:vAlign w:val="center"/>
          </w:tcPr>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 xml:space="preserve">Год завершение </w:t>
            </w:r>
          </w:p>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работ</w:t>
            </w:r>
          </w:p>
        </w:tc>
        <w:tc>
          <w:tcPr>
            <w:tcW w:w="1842" w:type="dxa"/>
            <w:tcBorders/>
            <w:vAlign w:val="center"/>
          </w:tcPr>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Организация,                                                проводившая</w:t>
            </w:r>
          </w:p>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работы</w:t>
            </w:r>
          </w:p>
          <w:p>
            <w:pPr>
              <w:pStyle w:val="Normal"/>
              <w:spacing w:before="0" w:after="160"/>
              <w:jc w:val="center"/>
              <w:rPr>
                <w:rFonts w:ascii="Times New Roman" w:hAnsi="Times New Roman" w:eastAsia="Calibri" w:cs="Times New Roman"/>
                <w:b/>
                <w:bCs/>
                <w:sz w:val="20"/>
                <w:szCs w:val="20"/>
                <w:lang w:val="en-US"/>
              </w:rPr>
            </w:pPr>
            <w:r>
              <w:rPr>
                <w:rFonts w:eastAsia="Calibri" w:cs="Times New Roman" w:ascii="Times New Roman" w:hAnsi="Times New Roman"/>
                <w:b/>
                <w:bCs/>
                <w:sz w:val="20"/>
                <w:szCs w:val="20"/>
                <w:lang w:val="en-US"/>
              </w:rPr>
            </w:r>
          </w:p>
        </w:tc>
        <w:tc>
          <w:tcPr>
            <w:tcW w:w="1418" w:type="dxa"/>
            <w:tcBorders/>
            <w:vAlign w:val="center"/>
          </w:tcPr>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 xml:space="preserve">Масштаб </w:t>
            </w:r>
          </w:p>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работ</w:t>
            </w:r>
          </w:p>
        </w:tc>
        <w:tc>
          <w:tcPr>
            <w:tcW w:w="1701" w:type="dxa"/>
            <w:tcBorders/>
            <w:vAlign w:val="center"/>
          </w:tcPr>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 xml:space="preserve">Название </w:t>
            </w:r>
          </w:p>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участка</w:t>
            </w:r>
          </w:p>
        </w:tc>
      </w:tr>
      <w:tr>
        <w:trPr/>
        <w:tc>
          <w:tcPr>
            <w:tcW w:w="1412"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1</w:t>
            </w:r>
          </w:p>
        </w:tc>
        <w:tc>
          <w:tcPr>
            <w:tcW w:w="1803"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2</w:t>
            </w:r>
          </w:p>
        </w:tc>
        <w:tc>
          <w:tcPr>
            <w:tcW w:w="1316"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3</w:t>
            </w:r>
          </w:p>
        </w:tc>
        <w:tc>
          <w:tcPr>
            <w:tcW w:w="1842"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4</w:t>
            </w:r>
          </w:p>
        </w:tc>
        <w:tc>
          <w:tcPr>
            <w:tcW w:w="1418"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5</w:t>
            </w:r>
          </w:p>
        </w:tc>
        <w:tc>
          <w:tcPr>
            <w:tcW w:w="1701"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6</w:t>
            </w:r>
          </w:p>
        </w:tc>
      </w:tr>
      <w:tr>
        <w:trPr/>
        <w:tc>
          <w:tcPr>
            <w:tcW w:w="9492" w:type="dxa"/>
            <w:gridSpan w:val="6"/>
            <w:tcBorders/>
            <w:vAlign w:val="center"/>
          </w:tcPr>
          <w:p>
            <w:pPr>
              <w:pStyle w:val="Normal"/>
              <w:spacing w:before="0" w:after="160"/>
              <w:jc w:val="center"/>
              <w:rPr>
                <w:rFonts w:ascii="Times New Roman" w:hAnsi="Times New Roman" w:eastAsia="Calibri" w:cs="Times New Roman"/>
                <w:bCs/>
                <w:sz w:val="20"/>
                <w:szCs w:val="20"/>
              </w:rPr>
            </w:pPr>
            <w:r>
              <w:rPr>
                <w:rFonts w:eastAsia="Calibri" w:cs="Times New Roman" w:ascii="Times New Roman" w:hAnsi="Times New Roman"/>
                <w:bCs/>
                <w:sz w:val="20"/>
                <w:szCs w:val="20"/>
              </w:rPr>
              <w:t>М-43-</w:t>
            </w:r>
            <w:r>
              <w:rPr>
                <w:rFonts w:eastAsia="Calibri" w:cs="Times New Roman" w:ascii="Times New Roman" w:hAnsi="Times New Roman"/>
                <w:bCs/>
                <w:sz w:val="20"/>
                <w:szCs w:val="20"/>
                <w:lang w:val="en-US"/>
              </w:rPr>
              <w:t>XXV</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735</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Гордиенко А.Я.</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1959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ЦКГУ</w:t>
            </w:r>
          </w:p>
        </w:tc>
        <w:tc>
          <w:tcPr>
            <w:tcW w:w="1418"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Разведочные работы</w:t>
            </w:r>
          </w:p>
        </w:tc>
        <w:tc>
          <w:tcPr>
            <w:tcW w:w="1701" w:type="dxa"/>
            <w:tcBorders/>
            <w:vAlign w:val="center"/>
          </w:tcPr>
          <w:p>
            <w:pPr>
              <w:pStyle w:val="Normal"/>
              <w:spacing w:before="0" w:after="160"/>
              <w:rPr>
                <w:rFonts w:ascii="Times New Roman" w:hAnsi="Times New Roman" w:eastAsia="Calibri" w:cs="Times New Roman"/>
                <w:sz w:val="20"/>
                <w:szCs w:val="20"/>
              </w:rPr>
            </w:pPr>
            <w:r>
              <w:rPr>
                <w:rFonts w:eastAsia="Calibri" w:cs="Times New Roman" w:ascii="Times New Roman" w:hAnsi="Times New Roman"/>
                <w:sz w:val="20"/>
                <w:szCs w:val="20"/>
              </w:rPr>
              <w:t>Успенское, Белла</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912-1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Кишко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1963</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ЦКГУ</w:t>
            </w:r>
          </w:p>
        </w:tc>
        <w:tc>
          <w:tcPr>
            <w:tcW w:w="1418"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Юго-Западная Кумола</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912-2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Кишко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1963</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ЦКГУ</w:t>
            </w:r>
          </w:p>
        </w:tc>
        <w:tc>
          <w:tcPr>
            <w:tcW w:w="1418"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jc w:val="center"/>
              <w:rPr>
                <w:rFonts w:ascii="Times New Roman" w:hAnsi="Times New Roman" w:eastAsia="Calibri" w:cs="Times New Roman"/>
                <w:sz w:val="20"/>
                <w:szCs w:val="20"/>
                <w:lang w:val="en-US"/>
              </w:rPr>
            </w:pPr>
            <w:r>
              <w:rPr>
                <w:rFonts w:eastAsia="Calibri" w:cs="Times New Roman" w:ascii="Times New Roman" w:hAnsi="Times New Roman"/>
                <w:sz w:val="20"/>
                <w:szCs w:val="20"/>
              </w:rPr>
              <w:t>Южный</w:t>
            </w:r>
          </w:p>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Жуманай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913-1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Кишко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1963</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Западный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913-2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Кишко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1963</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Промежуточный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914-1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Кишко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1963</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Северная Белла</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1229</w:t>
            </w:r>
          </w:p>
        </w:tc>
        <w:tc>
          <w:tcPr>
            <w:tcW w:w="1803" w:type="dxa"/>
            <w:tcBorders/>
            <w:vAlign w:val="center"/>
          </w:tcPr>
          <w:p>
            <w:pPr>
              <w:pStyle w:val="Normal"/>
              <w:spacing w:before="0" w:after="160"/>
              <w:jc w:val="center"/>
              <w:rPr>
                <w:rFonts w:ascii="Times New Roman" w:hAnsi="Times New Roman" w:eastAsia="Calibri" w:cs="Times New Roman"/>
                <w:sz w:val="20"/>
                <w:szCs w:val="20"/>
                <w:lang w:val="en-US"/>
              </w:rPr>
            </w:pPr>
            <w:r>
              <w:rPr>
                <w:rFonts w:eastAsia="Calibri" w:cs="Times New Roman" w:ascii="Times New Roman" w:hAnsi="Times New Roman"/>
                <w:sz w:val="20"/>
                <w:szCs w:val="20"/>
              </w:rPr>
              <w:t>Малахов В.С.</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1967</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Просторненский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М-1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Малахов В.С.</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Просторненский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1387</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Абеуов А.К.</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1972</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Акмая-Катпар-ский рудный узел</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1697-1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Байгул</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1697-2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Каштал</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1720</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Овечкин В.Г.</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Агад.КГГФЭ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Недьды</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1721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Овечкин В.Г.</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Агад.КГГФЭ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Кумола</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1852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Восточный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1853</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Южный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1854</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Северо-Восточный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1855</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Каштал-76</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1855-1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Каштал</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1855-2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Байгул</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1879</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Конопаткин А.Я.</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1980</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Западный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1880</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Конопаткин А.Я.</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1980</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Родниковский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1880-1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Конопаткин А.Я.</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1980</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 xml:space="preserve">Аномалии </w:t>
            </w:r>
            <w:r>
              <w:rPr>
                <w:rFonts w:eastAsia="Calibri" w:cs="Times New Roman" w:ascii="Times New Roman" w:hAnsi="Times New Roman"/>
                <w:sz w:val="20"/>
                <w:szCs w:val="20"/>
                <w:lang w:val="en-US"/>
              </w:rPr>
              <w:t>I,III,XIII</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1880-2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Конопаткин А.Я.</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1980</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 xml:space="preserve">Аномалии </w:t>
            </w:r>
            <w:r>
              <w:rPr>
                <w:rFonts w:eastAsia="Calibri" w:cs="Times New Roman" w:ascii="Times New Roman" w:hAnsi="Times New Roman"/>
                <w:sz w:val="20"/>
                <w:szCs w:val="20"/>
                <w:lang w:val="en-US"/>
              </w:rPr>
              <w:t>VIII</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1880-3</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Конопаткин А.Я.</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1980</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Сулу</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Д-1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Девятериков Н.Ф.</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1981</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Разведка</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Тектурмас</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2024-1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Зеленый В.А.</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Карашокы</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2024-2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Зеленый В.А.</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Карабас</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2024-3</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Зеленый В.А.</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Коктау</w:t>
            </w:r>
            <w:r>
              <w:rPr>
                <w:rFonts w:eastAsia="Calibri" w:cs="Times New Roman" w:ascii="Times New Roman" w:hAnsi="Times New Roman"/>
                <w:sz w:val="20"/>
                <w:szCs w:val="20"/>
                <w:lang w:val="en-US"/>
              </w:rPr>
              <w:t>I</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2024-5</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Зеленый В.А.</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Центральный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2024-6</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Зеленый В.А.</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Западный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2174</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Тевс А.А.</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1991</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Мухтар</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2227</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Мынбаев М.У.</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1994</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АО «Акбар»</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Нельды</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2246</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Авдеев С.Л.</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1994</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АО «Акбар»</w:t>
            </w:r>
          </w:p>
        </w:tc>
        <w:tc>
          <w:tcPr>
            <w:tcW w:w="1418" w:type="dxa"/>
            <w:tcBorders/>
            <w:vAlign w:val="center"/>
          </w:tcPr>
          <w:p>
            <w:pPr>
              <w:pStyle w:val="Normal"/>
              <w:jc w:val="center"/>
              <w:rPr>
                <w:rFonts w:ascii="Times New Roman" w:hAnsi="Times New Roman" w:eastAsia="Calibri" w:cs="Times New Roman"/>
                <w:sz w:val="20"/>
                <w:szCs w:val="20"/>
              </w:rPr>
            </w:pPr>
            <w:r>
              <w:rPr>
                <w:rFonts w:eastAsia="Calibri" w:cs="Times New Roman" w:ascii="Times New Roman" w:hAnsi="Times New Roman"/>
                <w:sz w:val="20"/>
                <w:szCs w:val="20"/>
              </w:rPr>
              <w:t>1:50 000,</w:t>
            </w:r>
          </w:p>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Северо-Восточная часть Акмая-Кат-парской рудной зоны</w:t>
            </w:r>
          </w:p>
        </w:tc>
      </w:tr>
    </w:tbl>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Оценка проявлений Байгул и Каштал горно-буровыми работами была проведена В.И. Серегиным в 1976-1979 годах. Кроме этого, магниторазведочные и литохимические поиски масштаба 1:10000 выполнены на участках Каштал-76, Северо-Восточный, Восточный и Южный, расположенных по периферии проявления Каштал.</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На проявлении Каштал изучались золоторудные зоны в гидротермально измененных роговиках, залегающих в экзоконтакте лакколитообразныхинтрузий диоритов. По двум зонам до глубины 200 м подсчитаны запасы золота категории С</w:t>
      </w:r>
      <w:r>
        <w:rPr>
          <w:rFonts w:eastAsia="Times New Roman" w:cs="Times New Roman" w:ascii="Times New Roman" w:hAnsi="Times New Roman"/>
          <w:sz w:val="24"/>
          <w:szCs w:val="24"/>
          <w:vertAlign w:val="subscript"/>
          <w:lang w:eastAsia="ru-RU"/>
        </w:rPr>
        <w:t>2</w:t>
      </w:r>
      <w:r>
        <w:rPr>
          <w:rFonts w:eastAsia="Times New Roman" w:cs="Times New Roman" w:ascii="Times New Roman" w:hAnsi="Times New Roman"/>
          <w:sz w:val="24"/>
          <w:szCs w:val="24"/>
          <w:lang w:eastAsia="ru-RU"/>
        </w:rPr>
        <w:t>.</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На проявлении Байгул изучалось золотое оруденение, связанное с непротяженными кварцевыми жилами сложной морфологии, залегающими внутри массива диоритов. Запасы золота подсчитывались по категории С</w:t>
      </w:r>
      <w:r>
        <w:rPr>
          <w:rFonts w:eastAsia="Times New Roman" w:cs="Times New Roman" w:ascii="Times New Roman" w:hAnsi="Times New Roman"/>
          <w:sz w:val="24"/>
          <w:szCs w:val="24"/>
          <w:vertAlign w:val="subscript"/>
          <w:lang w:eastAsia="ru-RU"/>
        </w:rPr>
        <w:t>2</w:t>
      </w:r>
      <w:r>
        <w:rPr>
          <w:rFonts w:eastAsia="Times New Roman" w:cs="Times New Roman" w:ascii="Times New Roman" w:hAnsi="Times New Roman"/>
          <w:sz w:val="24"/>
          <w:szCs w:val="24"/>
          <w:lang w:eastAsia="ru-RU"/>
        </w:rPr>
        <w:t>, объект может представлять интерес для старательской отработки.</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Перспективы увеличения запасов авторы связывают с метасоматитами, развитыми в южном и западном экзоконтакте интрузии диоритов; здесь получены положительные результаты по работам методом ВП-ВЭЗ. Изучение зоны авторы рекомендуют продолжить путем бурения скважин глубиной не менее 200 м.</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На участках Северо-Восточный, Восточный, Каштал-76 и Южный магниторазведкой выявлено до 15 компактных магнитных аномалий, вызванных, предположительно, малыми интрузиями диоритов, с которыми в районе связано золотое оруденения. Из этого количества выделено 3 аномалии - </w:t>
      </w:r>
      <w:r>
        <w:rPr>
          <w:rFonts w:eastAsia="Times New Roman" w:cs="Times New Roman" w:ascii="Times New Roman" w:hAnsi="Times New Roman"/>
          <w:sz w:val="24"/>
          <w:szCs w:val="24"/>
          <w:lang w:val="en-US" w:eastAsia="ru-RU"/>
        </w:rPr>
        <w:t>I</w:t>
      </w: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val="en-US" w:eastAsia="ru-RU"/>
        </w:rPr>
        <w:t>III</w:t>
      </w:r>
      <w:r>
        <w:rPr>
          <w:rFonts w:eastAsia="Times New Roman" w:cs="Times New Roman" w:ascii="Times New Roman" w:hAnsi="Times New Roman"/>
          <w:sz w:val="24"/>
          <w:szCs w:val="24"/>
          <w:lang w:eastAsia="ru-RU"/>
        </w:rPr>
        <w:t>,</w:t>
      </w:r>
      <w:r>
        <w:rPr>
          <w:rFonts w:eastAsia="Times New Roman" w:cs="Times New Roman" w:ascii="Times New Roman" w:hAnsi="Times New Roman"/>
          <w:sz w:val="24"/>
          <w:szCs w:val="24"/>
          <w:lang w:val="en-US" w:eastAsia="ru-RU"/>
        </w:rPr>
        <w:t>VIII</w:t>
      </w:r>
      <w:r>
        <w:rPr>
          <w:rFonts w:eastAsia="Times New Roman" w:cs="Times New Roman" w:ascii="Times New Roman" w:hAnsi="Times New Roman"/>
          <w:sz w:val="24"/>
          <w:szCs w:val="24"/>
          <w:lang w:eastAsia="ru-RU"/>
        </w:rPr>
        <w:t xml:space="preserve">, на площади которых рекомендуется проведение первоочередных поисково-оценочных работ на золото и аномалия </w:t>
      </w:r>
      <w:r>
        <w:rPr>
          <w:rFonts w:eastAsia="Times New Roman" w:cs="Times New Roman" w:ascii="Times New Roman" w:hAnsi="Times New Roman"/>
          <w:sz w:val="24"/>
          <w:szCs w:val="24"/>
          <w:lang w:val="en-US" w:eastAsia="ru-RU"/>
        </w:rPr>
        <w:t>XIII</w:t>
      </w:r>
      <w:r>
        <w:rPr>
          <w:rFonts w:eastAsia="Times New Roman" w:cs="Times New Roman" w:ascii="Times New Roman" w:hAnsi="Times New Roman"/>
          <w:sz w:val="24"/>
          <w:szCs w:val="24"/>
          <w:lang w:eastAsia="ru-RU"/>
        </w:rPr>
        <w:t xml:space="preserve"> (ореол рассеяния свинца, цинка, серебра и кадмия, совмещающийся с аномалией ВП), перспективная на поиски полиметаллического оруденения.</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период с 1976 года по 1980 годы проводилась детальная разведка Тектурмасского месторождения кварцитов и его флангов На двух участках – Северном и Южном оконтурено восемь линзообразных и пластообразных кварцитовых тел, по которым изучено качество сырья и его технологические характеристики. По мнению авторов в пределах самого месторождения нельзя рассчитывать на дальнейший прирост запасов; увеличение их возможно за счет продолжения геологоразведочных работ на участках, расположенных к юго-западу от Тектурмасского месторождения.</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 центральной части Нуринской СФЗ в 1978-1980 годах были проведены поиски золота. На площади проявления Сулу выполнены поисково-оценочные работы, опоискованы ранее выявленные, перспективные на золото магнитные аномалии </w:t>
      </w:r>
      <w:r>
        <w:rPr>
          <w:rFonts w:eastAsia="Times New Roman" w:cs="Times New Roman" w:ascii="Times New Roman" w:hAnsi="Times New Roman"/>
          <w:sz w:val="24"/>
          <w:szCs w:val="24"/>
          <w:lang w:val="en-US" w:eastAsia="ru-RU"/>
        </w:rPr>
        <w:t>I</w:t>
      </w: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val="en-US" w:eastAsia="ru-RU"/>
        </w:rPr>
        <w:t>III</w:t>
      </w: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val="en-US" w:eastAsia="ru-RU"/>
        </w:rPr>
        <w:t>VIII</w:t>
      </w:r>
      <w:r>
        <w:rPr>
          <w:rFonts w:eastAsia="Times New Roman" w:cs="Times New Roman" w:ascii="Times New Roman" w:hAnsi="Times New Roman"/>
          <w:sz w:val="24"/>
          <w:szCs w:val="24"/>
          <w:lang w:eastAsia="ru-RU"/>
        </w:rPr>
        <w:t xml:space="preserve">, на полиметаллы - аномалия </w:t>
      </w:r>
      <w:r>
        <w:rPr>
          <w:rFonts w:eastAsia="Times New Roman" w:cs="Times New Roman" w:ascii="Times New Roman" w:hAnsi="Times New Roman"/>
          <w:sz w:val="24"/>
          <w:szCs w:val="24"/>
          <w:lang w:val="en-US" w:eastAsia="ru-RU"/>
        </w:rPr>
        <w:t>XIII</w:t>
      </w:r>
      <w:r>
        <w:rPr>
          <w:rFonts w:eastAsia="Times New Roman" w:cs="Times New Roman" w:ascii="Times New Roman" w:hAnsi="Times New Roman"/>
          <w:sz w:val="24"/>
          <w:szCs w:val="24"/>
          <w:lang w:eastAsia="ru-RU"/>
        </w:rPr>
        <w:t>, проведены общие поиски золота на участках Родниковский и Западный (центральная часть Нуринской СФЗ) на площади около 400 кв.км.   По результатам поисково-оценочных работ на проявлении Сулу установлено, что жильная зона прослеживается до глубины 150 м и более без существенного изменения мощности отдельных кварцевых жил. Запасы до глубины 25 м могут быть объектом старательской отработки открытым способом. Перспективы увеличения запасов на глубину маловероятны.</w:t>
      </w:r>
    </w:p>
    <w:p>
      <w:pPr>
        <w:pStyle w:val="Normal"/>
        <w:spacing w:lineRule="auto" w:line="240" w:before="0" w:after="0"/>
        <w:ind w:firstLine="567"/>
        <w:jc w:val="both"/>
        <w:rPr>
          <w:rFonts w:ascii="Times New Roman" w:hAnsi="Times New Roman" w:eastAsia="Calibri" w:cs="Times New Roman"/>
          <w:bCs/>
          <w:sz w:val="24"/>
          <w:szCs w:val="24"/>
        </w:rPr>
      </w:pPr>
      <w:r>
        <w:rPr>
          <w:rFonts w:eastAsia="Calibri" w:cs="Times New Roman" w:ascii="Times New Roman" w:hAnsi="Times New Roman"/>
          <w:i/>
          <w:sz w:val="24"/>
          <w:szCs w:val="24"/>
        </w:rPr>
        <w:t>Тектоника и история геологического развития.</w:t>
      </w:r>
      <w:r>
        <w:rPr>
          <w:rFonts w:eastAsia="Calibri" w:cs="Times New Roman" w:ascii="Times New Roman" w:hAnsi="Times New Roman"/>
          <w:b/>
          <w:sz w:val="24"/>
          <w:szCs w:val="24"/>
        </w:rPr>
        <w:t xml:space="preserve"> </w:t>
      </w:r>
      <w:r>
        <w:rPr>
          <w:rFonts w:eastAsia="Calibri" w:cs="Times New Roman" w:ascii="Times New Roman" w:hAnsi="Times New Roman"/>
          <w:bCs/>
          <w:sz w:val="24"/>
          <w:szCs w:val="24"/>
        </w:rPr>
        <w:t>Участок Ордабасы находится в пределах Сарысуйской структурно-формационной зоны (СФЗ). Нуринская и Сарысуйская СФЗ – раннепалеозойские окраинные бассейны, разделенные Тектурмасским сутурным швом.</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bCs/>
          <w:sz w:val="24"/>
          <w:szCs w:val="24"/>
        </w:rPr>
        <w:t>Нуринская, Сарысуйская СФЗ – раннепалеозойские окраинноморские бассейны, заложенные на энсиматическом основании и разделенные Тектурмасскимсутурным швом. В период их развития, породы офиолитового комплекса, слагающие   Тектурмасскую СФЗ, слагали вулканическую островную дугу. Позднее на этом фундаменте была сформирована среднеордовикская островная дуга, сложенная раннее островодужными</w:t>
      </w:r>
      <w:r>
        <w:rPr>
          <w:rFonts w:eastAsia="Calibri" w:cs="Times New Roman" w:ascii="Times New Roman" w:hAnsi="Times New Roman"/>
          <w:sz w:val="24"/>
          <w:szCs w:val="24"/>
        </w:rPr>
        <w:t xml:space="preserve"> толеитовыми низкокалиевыми и низкотитанистыми базальтами. Ее развитие завершилось формированием туфогенно-кремнистого базарбайского, сатыбайского и аирского комплексов [11].</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Существующая Тектурмасская островная дуга разделила единый бассейн терригенного осадконакопления на более мелководный Нуринский, прилегающий к континенту (задуговой) и Сарысуйский, связанный океаническим бассейном (преддуговой), расположенный южнее (в современных координатах). </w:t>
      </w:r>
    </w:p>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ab/>
        <w:t xml:space="preserve">Таким образом, геологические данные, имеющиеся по Казахстанскому региону, свидетельствуют о том, что в позднем рифее, на уровне 900-800 млн. лет произошел раскол континентов, вслед за которым последовало их разделение и образование океанического ложа. Очевидно, большая часть этого ложа формировалась в конце рифея – венде – начале кембрия, т.е. 800-550 млн. лет. Параллельно с развитием океана шло формирование комплексов пассивных окраин, континентального подножия. Существование океанического бассейна подтверждается наличием глубоководных кремнистых осадков, накапливающихся, очевидно, ниже уровня карбонатной компенсации </w:t>
      </w:r>
      <w:r>
        <w:rPr>
          <w:rFonts w:eastAsia="Calibri" w:cs="Times New Roman" w:ascii="Times New Roman" w:hAnsi="Times New Roman"/>
          <w:bCs/>
          <w:sz w:val="24"/>
          <w:szCs w:val="24"/>
        </w:rPr>
        <w:t>[12]</w:t>
      </w:r>
      <w:r>
        <w:rPr>
          <w:rFonts w:eastAsia="Calibri" w:cs="Times New Roman" w:ascii="Times New Roman" w:hAnsi="Times New Roman"/>
          <w:sz w:val="24"/>
          <w:szCs w:val="24"/>
        </w:rPr>
        <w:t>.</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Данный океанический бассейн был частью позднедокембрийско- раннепалеозойского Палео-Азиатского океана. Начиная с кембрия на океаническом ложе развиваются островные дуги.</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В раннем кембрии возникла Бозшаколь-Чингизская островная дуга, которая располагалась к западу (в прошлых координатах) от Казахстанско-Северо-Тяньшанского докембрийского массива. Островная дуга отгородила от Палео-Азиатского океана часть ложа шириной не менее 1000 км. Океанический бассейн между Бозшаколь-Чингизской островной дугой и докембрийским массивом можно рассматривать как обширное окраинное море – Акдымский бассейн. Его осадочное выполнение осталось в виде глубоководных кремнисто-фтанитовых и турбидитных толщ (каратасская свита Атасуйской и акдымская серия Ерментауской СФЗ).</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В конце ордовика раннем силуре происходит реорганизация геодинамических обстановок в Казахстанско-Тяньшанском регионе – начинается поглощение ложа Акдымского бассейна в зонах Беньофа Бозшаколь-Чингизской и возникшей Степняк-Бетпак-Далинской островных дуг. В целом эпоха растяжения сменяется эпохой сжатия. С позднего ордовика - раннего силура начинается скучивание, деформации и к концу силура основная масса Акдымского бассейна уже поглощена. На протяжении всего силура происходит массовое образование олистостромовых комплексов, зон серпентинитового меланжа, тектонических покровов и т.д. Столкновение дуг закончилось к концу силура, и зона Беньофа была «перещелкнута» в новое положение на край вновь образованной континентальной массы.</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Таким образом, каледонский массив Центрального Казахстана представляет собой аккреционную структуру, возникшую за счет столкновения докембрийских массивовс Бозшаколь-Чингизской и Степняк-Бетпак-Далинской островными дугами.</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В среднем и позднем палеозое Казахстанско-Северо–Тяньшанский массив имел размеры не более 1000х1500 км, что сопоставимо с современным о. Калимантан. Как и этот остров в кайнозое, каледонский массив в герцинскую эпоху был почти со всех сторон окаймлен зонами субдукции, которые сопровождались вулканическими поясами. Формирование разновременных вулкано-плутонических поясов, сменяющих друг друга во времени и пространстве, является характерной особенностью Казахстанско-Северо-Тяньшанского массива в среднем и позднем палеозое </w:t>
      </w:r>
      <w:r>
        <w:rPr>
          <w:rFonts w:eastAsia="Calibri" w:cs="Times New Roman" w:ascii="Times New Roman" w:hAnsi="Times New Roman"/>
          <w:bCs/>
          <w:sz w:val="24"/>
          <w:szCs w:val="24"/>
        </w:rPr>
        <w:t>[13].</w:t>
      </w:r>
      <w:r>
        <w:rPr>
          <w:rFonts w:eastAsia="Calibri" w:cs="Times New Roman" w:ascii="Times New Roman" w:hAnsi="Times New Roman"/>
          <w:sz w:val="24"/>
          <w:szCs w:val="24"/>
        </w:rPr>
        <w:t xml:space="preserve">   </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Формирование каледонид завершилось деформациями, которые происходили с конца ордовика до конца силура, после чего вдоль границы вновь созданного каледонского континента возник окраинно-континентальный вулкано-плутонический пояс, который считается разделом между казахстанскими каледонидами и герцинидами. К югу, на большей части Джунгаро-Балхашской области, континентальное основание отсутствовало.</w:t>
      </w:r>
    </w:p>
    <w:p>
      <w:pPr>
        <w:pStyle w:val="Normal"/>
        <w:spacing w:lineRule="auto" w:line="240" w:before="0" w:after="0"/>
        <w:ind w:firstLine="567"/>
        <w:jc w:val="both"/>
        <w:rPr>
          <w:rFonts w:ascii="Times New Roman" w:hAnsi="Times New Roman" w:eastAsia="Calibri" w:cs="Times New Roman"/>
          <w:b/>
          <w:sz w:val="24"/>
          <w:szCs w:val="24"/>
        </w:rPr>
      </w:pPr>
      <w:r>
        <w:rPr>
          <w:rFonts w:eastAsia="Calibri" w:cs="Times New Roman" w:ascii="Times New Roman" w:hAnsi="Times New Roman"/>
          <w:bCs/>
          <w:i/>
          <w:iCs/>
          <w:sz w:val="24"/>
          <w:szCs w:val="24"/>
        </w:rPr>
        <w:t>Разрывные нарушения</w:t>
      </w:r>
      <w:r>
        <w:rPr>
          <w:rFonts w:eastAsia="Calibri" w:cs="Times New Roman" w:ascii="Times New Roman" w:hAnsi="Times New Roman"/>
          <w:b/>
          <w:sz w:val="24"/>
          <w:szCs w:val="24"/>
        </w:rPr>
        <w:t xml:space="preserve">. </w:t>
      </w:r>
      <w:r>
        <w:rPr>
          <w:rFonts w:eastAsia="Calibri" w:cs="Times New Roman" w:ascii="Times New Roman" w:hAnsi="Times New Roman"/>
          <w:bCs/>
          <w:sz w:val="24"/>
          <w:szCs w:val="24"/>
        </w:rPr>
        <w:t>Тектурмасская зона разломов — это</w:t>
      </w:r>
      <w:r>
        <w:rPr>
          <w:rFonts w:eastAsia="Calibri" w:cs="Times New Roman" w:ascii="Times New Roman" w:hAnsi="Times New Roman"/>
          <w:sz w:val="24"/>
          <w:szCs w:val="24"/>
        </w:rPr>
        <w:t xml:space="preserve"> целая серия разломов северо-восточного простирания, куда входят Северо- и Южно-Тектурмасский надвиги, а также Кужал-Жартасская зона разломов, где первый надвиг является северным ограничением зоны, а последние – южным.</w:t>
      </w:r>
    </w:p>
    <w:p>
      <w:pPr>
        <w:pStyle w:val="Normal"/>
        <w:widowControl w:val="false"/>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магнитном поле Северо-Тектурмасский и Южно-Тектурмасский разломы окаймляют полосу локальных положительных аномалий (∆Т)</w:t>
      </w:r>
      <w:r>
        <w:rPr>
          <w:rFonts w:eastAsia="Times New Roman" w:cs="Times New Roman" w:ascii="Times New Roman" w:hAnsi="Times New Roman"/>
          <w:sz w:val="24"/>
          <w:szCs w:val="24"/>
          <w:vertAlign w:val="subscript"/>
          <w:lang w:eastAsia="ru-RU"/>
        </w:rPr>
        <w:t>а</w:t>
      </w:r>
      <w:r>
        <w:rPr>
          <w:rFonts w:eastAsia="Times New Roman" w:cs="Times New Roman" w:ascii="Times New Roman" w:hAnsi="Times New Roman"/>
          <w:sz w:val="24"/>
          <w:szCs w:val="24"/>
          <w:lang w:eastAsia="ru-RU"/>
        </w:rPr>
        <w:t xml:space="preserve"> различной интенсивности до 1500 нТл над породами альпинотипного комплекса нижнего ордовика (χ</w:t>
      </w:r>
      <w:r>
        <w:rPr>
          <w:rFonts w:eastAsia="Times New Roman" w:cs="Times New Roman" w:ascii="Times New Roman" w:hAnsi="Times New Roman"/>
          <w:sz w:val="24"/>
          <w:szCs w:val="24"/>
          <w:vertAlign w:val="subscript"/>
          <w:lang w:eastAsia="ru-RU"/>
        </w:rPr>
        <w:t>ср.</w:t>
      </w:r>
      <w:r>
        <w:rPr>
          <w:rFonts w:eastAsia="Times New Roman" w:cs="Times New Roman" w:ascii="Times New Roman" w:hAnsi="Times New Roman"/>
          <w:sz w:val="24"/>
          <w:szCs w:val="24"/>
          <w:lang w:eastAsia="ru-RU"/>
        </w:rPr>
        <w:t>=23-2500∙10</w:t>
      </w:r>
      <w:r>
        <w:rPr>
          <w:rFonts w:eastAsia="Times New Roman" w:cs="Times New Roman" w:ascii="Times New Roman" w:hAnsi="Times New Roman"/>
          <w:sz w:val="24"/>
          <w:szCs w:val="24"/>
          <w:vertAlign w:val="superscript"/>
          <w:lang w:eastAsia="ru-RU"/>
        </w:rPr>
        <w:t>-5</w:t>
      </w:r>
      <w:r>
        <w:rPr>
          <w:rFonts w:eastAsia="Times New Roman" w:cs="Times New Roman" w:ascii="Times New Roman" w:hAnsi="Times New Roman"/>
          <w:sz w:val="24"/>
          <w:szCs w:val="24"/>
          <w:lang w:eastAsia="ru-RU"/>
        </w:rPr>
        <w:t>СИ) и трассируются   зонами градиента (∆Т)</w:t>
      </w:r>
      <w:r>
        <w:rPr>
          <w:rFonts w:eastAsia="Times New Roman" w:cs="Times New Roman" w:ascii="Times New Roman" w:hAnsi="Times New Roman"/>
          <w:sz w:val="24"/>
          <w:szCs w:val="24"/>
          <w:vertAlign w:val="subscript"/>
          <w:lang w:eastAsia="ru-RU"/>
        </w:rPr>
        <w:t>а</w:t>
      </w:r>
      <w:r>
        <w:rPr>
          <w:rFonts w:eastAsia="Times New Roman" w:cs="Times New Roman" w:ascii="Times New Roman" w:hAnsi="Times New Roman"/>
          <w:sz w:val="24"/>
          <w:szCs w:val="24"/>
          <w:lang w:eastAsia="ru-RU"/>
        </w:rPr>
        <w:t>. А Кужал-Жартасская зона разломов фиксируется фрагментарно зоной градиента (∆Т)</w:t>
      </w:r>
      <w:r>
        <w:rPr>
          <w:rFonts w:eastAsia="Times New Roman" w:cs="Times New Roman" w:ascii="Times New Roman" w:hAnsi="Times New Roman"/>
          <w:sz w:val="24"/>
          <w:szCs w:val="24"/>
          <w:vertAlign w:val="subscript"/>
          <w:lang w:eastAsia="ru-RU"/>
        </w:rPr>
        <w:t>а</w:t>
      </w:r>
      <w:r>
        <w:rPr>
          <w:rFonts w:eastAsia="Times New Roman" w:cs="Times New Roman" w:ascii="Times New Roman" w:hAnsi="Times New Roman"/>
          <w:sz w:val="24"/>
          <w:szCs w:val="24"/>
          <w:lang w:eastAsia="ru-RU"/>
        </w:rPr>
        <w:t xml:space="preserve"> в северном контакте Просторненского и Итольгенского массивов гранит-гранодиоритов верхнего девона. </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В районе очень четко проявлены надвиговые структуры. В направлении с юго-востока на северо-запад (перпендикулярно северо-восточным разломом) происходили надвиговые движения (шарьирование), формирующие серию (пакет) пластин, отражающих сложное покровно-чешуйчатое строение района работ. </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Надвигание происходило неоднократно, сопровождалось формированием меланжевых и олистостромовых комплексов. Вероятно, перед формированием флишевых бассейнов, происходило «захлопывание» океанического бассейна с формированием мономиктового (из ультраосновных пород) и полимиктового (из всех пород офиолитовой ассоциации) меланжа. В период накопления флишоидных толщ в краевых частях бассейна шло образование олистостромовых комплексов, обусловленное неспокойной тектонической обстановкой в формирующихся бассейнах, а также происходящим в это время шарьированием пород офиолитового комплекса. При последующих этапах надвигообразования в этот процесс были вовлечены и олистостромовые толщи вместе с меланжевыми образованиями. За счет этого в современной структуре Тектурмасский офиолитовый пояс имеет покровно-складчатое строение, в котором практически все первоначальные взаимоотношения нарушены и он представляет собой: сочетание мономиктового меланжа, развитого ограниченно и слагающего, видимо, подошвенные части тектонических пластин; полимиктового меланжа, представляющего собой скорее тектоническую смесь, состоящую из олистолитов полимиктового меланжа и олистостромового комплекса, матрикс в котором представлен, как правило, тонкорассланцованными голубовато-зелеными алевролитами, реже песчаниками силурийского возраста. В этой смеси характерно присутствие крупных блоков яшм, базальтов, габброидов, являющихся фрагментами разновозрастных тектонических пластин.</w:t>
      </w:r>
    </w:p>
    <w:p>
      <w:pPr>
        <w:pStyle w:val="Normal"/>
        <w:tabs>
          <w:tab w:val="clear" w:pos="708"/>
          <w:tab w:val="left" w:pos="1134" w:leader="none"/>
        </w:tabs>
        <w:spacing w:lineRule="auto" w:line="240" w:before="0" w:after="0"/>
        <w:ind w:firstLine="708"/>
        <w:jc w:val="both"/>
        <w:rPr>
          <w:rFonts w:ascii="Times New Roman" w:hAnsi="Times New Roman" w:eastAsia="Calibri" w:cs="Times New Roman"/>
          <w:sz w:val="24"/>
          <w:szCs w:val="24"/>
        </w:rPr>
      </w:pPr>
      <w:r>
        <w:rPr>
          <w:rFonts w:eastAsia="Calibri" w:cs="Times New Roman" w:ascii="Times New Roman" w:hAnsi="Times New Roman"/>
          <w:b/>
          <w:bCs/>
          <w:sz w:val="24"/>
          <w:szCs w:val="24"/>
        </w:rPr>
        <w:t>Результаты и обсуждение.</w:t>
      </w:r>
      <w:r>
        <w:rPr>
          <w:rFonts w:eastAsia="Calibri" w:cs="Times New Roman" w:ascii="Times New Roman" w:hAnsi="Times New Roman"/>
          <w:sz w:val="24"/>
          <w:szCs w:val="24"/>
        </w:rPr>
        <w:t xml:space="preserve"> Все известные на площади работ месторождения, проявления и пункты минерализации классифицированы по генетическим типам. Проведен их комплексный анализ, выявлены минерагенические критерии, поисковые признаки и геологические предпосылки. Выделены потенциально перспективные площади первой и второй очереди с указанием категории ожидаемых ресурсов:</w:t>
      </w:r>
    </w:p>
    <w:p>
      <w:pPr>
        <w:pStyle w:val="Normal"/>
        <w:tabs>
          <w:tab w:val="clear" w:pos="708"/>
          <w:tab w:val="left" w:pos="0" w:leader="none"/>
          <w:tab w:val="left" w:pos="1134"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           </w:t>
      </w:r>
      <w:r>
        <w:rPr>
          <w:rFonts w:eastAsia="Times New Roman" w:cs="Times New Roman" w:ascii="Times New Roman" w:hAnsi="Times New Roman"/>
          <w:sz w:val="24"/>
          <w:szCs w:val="24"/>
          <w:lang w:eastAsia="ko-KR"/>
        </w:rPr>
        <w:t>- на площади листа М-42-</w:t>
      </w:r>
      <w:r>
        <w:rPr>
          <w:rFonts w:eastAsia="Times New Roman" w:cs="Times New Roman" w:ascii="Times New Roman" w:hAnsi="Times New Roman"/>
          <w:sz w:val="24"/>
          <w:szCs w:val="24"/>
          <w:lang w:val="en-US" w:eastAsia="ko-KR"/>
        </w:rPr>
        <w:t>XXX</w:t>
      </w:r>
      <w:r>
        <w:rPr>
          <w:rFonts w:eastAsia="Times New Roman" w:cs="Times New Roman" w:ascii="Times New Roman" w:hAnsi="Times New Roman"/>
          <w:sz w:val="24"/>
          <w:szCs w:val="24"/>
          <w:lang w:eastAsia="ko-KR"/>
        </w:rPr>
        <w:t>: Айгыржальская железомарганцевая в кремнистых отложениях каратасской свиты верхнего кембрия–среднего ордовика и Шоимбайская золото-кварцево-жильная в терригенных отложениях верхнего силура (</w:t>
      </w:r>
      <w:r>
        <w:rPr>
          <w:rFonts w:eastAsia="Times New Roman" w:cs="Times New Roman" w:ascii="Times New Roman" w:hAnsi="Times New Roman"/>
          <w:sz w:val="24"/>
          <w:szCs w:val="24"/>
          <w:lang w:val="en-US" w:eastAsia="ko-KR"/>
        </w:rPr>
        <w:t>I</w:t>
      </w:r>
      <w:r>
        <w:rPr>
          <w:rFonts w:eastAsia="Times New Roman" w:cs="Times New Roman" w:ascii="Times New Roman" w:hAnsi="Times New Roman"/>
          <w:sz w:val="24"/>
          <w:szCs w:val="24"/>
          <w:lang w:eastAsia="ko-KR"/>
        </w:rPr>
        <w:t xml:space="preserve"> очереди) и Алтынказганская золото-кварцево-жильная в терригенных образованиях нижнего силура (</w:t>
      </w:r>
      <w:r>
        <w:rPr>
          <w:rFonts w:eastAsia="Times New Roman" w:cs="Times New Roman" w:ascii="Times New Roman" w:hAnsi="Times New Roman"/>
          <w:sz w:val="24"/>
          <w:szCs w:val="24"/>
          <w:lang w:val="en-US" w:eastAsia="ko-KR"/>
        </w:rPr>
        <w:t>II</w:t>
      </w:r>
      <w:r>
        <w:rPr>
          <w:rFonts w:eastAsia="Times New Roman" w:cs="Times New Roman" w:ascii="Times New Roman" w:hAnsi="Times New Roman"/>
          <w:sz w:val="24"/>
          <w:szCs w:val="24"/>
          <w:lang w:eastAsia="ko-KR"/>
        </w:rPr>
        <w:t xml:space="preserve"> очереди); </w:t>
      </w:r>
    </w:p>
    <w:p>
      <w:pPr>
        <w:pStyle w:val="Normal"/>
        <w:tabs>
          <w:tab w:val="clear" w:pos="708"/>
          <w:tab w:val="left" w:pos="0" w:leader="none"/>
          <w:tab w:val="left" w:pos="1134"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           </w:t>
      </w:r>
      <w:r>
        <w:rPr>
          <w:rFonts w:eastAsia="Times New Roman" w:cs="Times New Roman" w:ascii="Times New Roman" w:hAnsi="Times New Roman"/>
          <w:sz w:val="24"/>
          <w:szCs w:val="24"/>
          <w:lang w:eastAsia="ko-KR"/>
        </w:rPr>
        <w:t xml:space="preserve">-на площади листа </w:t>
      </w:r>
      <w:r>
        <w:rPr>
          <w:rFonts w:eastAsia="Times New Roman" w:cs="Times New Roman" w:ascii="Times New Roman" w:hAnsi="Times New Roman"/>
          <w:sz w:val="24"/>
          <w:szCs w:val="24"/>
          <w:lang w:val="en-US" w:eastAsia="ko-KR"/>
        </w:rPr>
        <w:t>M</w:t>
      </w:r>
      <w:r>
        <w:rPr>
          <w:rFonts w:eastAsia="Times New Roman" w:cs="Times New Roman" w:ascii="Times New Roman" w:hAnsi="Times New Roman"/>
          <w:sz w:val="24"/>
          <w:szCs w:val="24"/>
          <w:lang w:eastAsia="ko-KR"/>
        </w:rPr>
        <w:t>-42-</w:t>
      </w:r>
      <w:r>
        <w:rPr>
          <w:rFonts w:eastAsia="Times New Roman" w:cs="Times New Roman" w:ascii="Times New Roman" w:hAnsi="Times New Roman"/>
          <w:sz w:val="24"/>
          <w:szCs w:val="24"/>
          <w:lang w:val="en-US" w:eastAsia="ko-KR"/>
        </w:rPr>
        <w:t>XXXVI</w:t>
      </w:r>
      <w:r>
        <w:rPr>
          <w:rFonts w:eastAsia="Times New Roman" w:cs="Times New Roman" w:ascii="Times New Roman" w:hAnsi="Times New Roman"/>
          <w:sz w:val="24"/>
          <w:szCs w:val="24"/>
          <w:lang w:eastAsia="ko-KR"/>
        </w:rPr>
        <w:t>: в Жаильминской минерагенической зоне – Кентобе-Бестюбинская барит-полиметаллическая (</w:t>
      </w:r>
      <w:r>
        <w:rPr>
          <w:rFonts w:eastAsia="Times New Roman" w:cs="Times New Roman" w:ascii="Times New Roman" w:hAnsi="Times New Roman"/>
          <w:sz w:val="24"/>
          <w:szCs w:val="24"/>
          <w:lang w:val="en-US" w:eastAsia="ko-KR"/>
        </w:rPr>
        <w:t>I</w:t>
      </w:r>
      <w:r>
        <w:rPr>
          <w:rFonts w:eastAsia="Times New Roman" w:cs="Times New Roman" w:ascii="Times New Roman" w:hAnsi="Times New Roman"/>
          <w:sz w:val="24"/>
          <w:szCs w:val="24"/>
          <w:lang w:eastAsia="ko-KR"/>
        </w:rPr>
        <w:t xml:space="preserve"> очереди); Керегетасская железо-марганцевая и Ушкагыльская свинцово-цинковая (</w:t>
      </w:r>
      <w:r>
        <w:rPr>
          <w:rFonts w:eastAsia="Times New Roman" w:cs="Times New Roman" w:ascii="Times New Roman" w:hAnsi="Times New Roman"/>
          <w:sz w:val="24"/>
          <w:szCs w:val="24"/>
          <w:lang w:val="en-US" w:eastAsia="ko-KR"/>
        </w:rPr>
        <w:t>II</w:t>
      </w:r>
      <w:r>
        <w:rPr>
          <w:rFonts w:eastAsia="Times New Roman" w:cs="Times New Roman" w:ascii="Times New Roman" w:hAnsi="Times New Roman"/>
          <w:sz w:val="24"/>
          <w:szCs w:val="24"/>
          <w:lang w:eastAsia="ko-KR"/>
        </w:rPr>
        <w:t xml:space="preserve"> очереди) в карбонатно-кремнисто-терригенных отложениях фаменского возраста;</w:t>
      </w:r>
    </w:p>
    <w:p>
      <w:pPr>
        <w:pStyle w:val="Normal"/>
        <w:tabs>
          <w:tab w:val="clear" w:pos="708"/>
          <w:tab w:val="left" w:pos="0" w:leader="none"/>
          <w:tab w:val="left" w:pos="1134"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            </w:t>
      </w:r>
      <w:r>
        <w:rPr>
          <w:rFonts w:eastAsia="Times New Roman" w:cs="Times New Roman" w:ascii="Times New Roman" w:hAnsi="Times New Roman"/>
          <w:sz w:val="24"/>
          <w:szCs w:val="24"/>
          <w:lang w:eastAsia="ko-KR"/>
        </w:rPr>
        <w:t>- на площади листа М-43-</w:t>
      </w:r>
      <w:r>
        <w:rPr>
          <w:rFonts w:eastAsia="Times New Roman" w:cs="Times New Roman" w:ascii="Times New Roman" w:hAnsi="Times New Roman"/>
          <w:sz w:val="24"/>
          <w:szCs w:val="24"/>
          <w:lang w:val="en-US" w:eastAsia="ko-KR"/>
        </w:rPr>
        <w:t>XXV</w:t>
      </w:r>
      <w:r>
        <w:rPr>
          <w:rFonts w:eastAsia="Times New Roman" w:cs="Times New Roman" w:ascii="Times New Roman" w:hAnsi="Times New Roman"/>
          <w:sz w:val="24"/>
          <w:szCs w:val="24"/>
          <w:lang w:eastAsia="ko-KR"/>
        </w:rPr>
        <w:t>: Сулумединская железомарганцевая (</w:t>
      </w:r>
      <w:r>
        <w:rPr>
          <w:rFonts w:eastAsia="Times New Roman" w:cs="Times New Roman" w:ascii="Times New Roman" w:hAnsi="Times New Roman"/>
          <w:sz w:val="24"/>
          <w:szCs w:val="24"/>
          <w:lang w:val="en-US" w:eastAsia="ko-KR"/>
        </w:rPr>
        <w:t>I</w:t>
      </w:r>
      <w:r>
        <w:rPr>
          <w:rFonts w:eastAsia="Times New Roman" w:cs="Times New Roman" w:ascii="Times New Roman" w:hAnsi="Times New Roman"/>
          <w:sz w:val="24"/>
          <w:szCs w:val="24"/>
          <w:lang w:eastAsia="ko-KR"/>
        </w:rPr>
        <w:t xml:space="preserve"> очереди) в карбонатно-глинистых отложениях турнейского возраста; Просторненская медно-молибденовая и Ордабасская молибденово-медная (</w:t>
      </w:r>
      <w:r>
        <w:rPr>
          <w:rFonts w:eastAsia="Times New Roman" w:cs="Times New Roman" w:ascii="Times New Roman" w:hAnsi="Times New Roman"/>
          <w:sz w:val="24"/>
          <w:szCs w:val="24"/>
          <w:lang w:val="en-US" w:eastAsia="ko-KR"/>
        </w:rPr>
        <w:t>II</w:t>
      </w:r>
      <w:r>
        <w:rPr>
          <w:rFonts w:eastAsia="Times New Roman" w:cs="Times New Roman" w:ascii="Times New Roman" w:hAnsi="Times New Roman"/>
          <w:sz w:val="24"/>
          <w:szCs w:val="24"/>
          <w:lang w:eastAsia="ko-KR"/>
        </w:rPr>
        <w:t xml:space="preserve"> очереди), приуроченные к гранитоидам позднедевонского просторненского интрузивного комплекса.</w:t>
      </w:r>
    </w:p>
    <w:p>
      <w:pPr>
        <w:pStyle w:val="Normal"/>
        <w:widowControl w:val="false"/>
        <w:spacing w:lineRule="auto" w:line="240" w:before="0" w:after="0"/>
        <w:ind w:firstLine="720"/>
        <w:jc w:val="both"/>
        <w:rPr>
          <w:rFonts w:ascii="Times New Roman" w:hAnsi="Times New Roman" w:eastAsia="Calibri" w:cs="Times New Roman"/>
          <w:sz w:val="24"/>
          <w:szCs w:val="24"/>
        </w:rPr>
      </w:pPr>
      <w:r>
        <w:rPr>
          <w:rFonts w:eastAsia="Calibri" w:cs="Times New Roman" w:ascii="Times New Roman" w:hAnsi="Times New Roman"/>
          <w:sz w:val="24"/>
          <w:szCs w:val="24"/>
        </w:rPr>
        <w:t>В свою очередь магнитные аномалии в 1980 годах были оценены бурением поисково-картировочных скважин глубиной до 50 м, в которых выполнены исследования методом заряда ВП. В результате работ было установлено, что магнитные аномалии связаны с мелкими не вскрытыми эрозией интрузивами диоритов, прорывающих терригенные отложения силура – нижнего девона. Вмещающие породы ороговикованы, отмечается тонкопрожилковое окварцевание, пиритизация. Эта аномалия рекомендуется для проведения дальнейших поисково-оценочных работ, остальные магнитные аномалии оцениваются как бесперспективные.</w:t>
      </w:r>
    </w:p>
    <w:p>
      <w:pPr>
        <w:pStyle w:val="Normal"/>
        <w:widowControl w:val="false"/>
        <w:tabs>
          <w:tab w:val="clear" w:pos="708"/>
          <w:tab w:val="left" w:pos="709" w:leader="none"/>
        </w:tabs>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b/>
          <w:bCs/>
          <w:sz w:val="24"/>
          <w:szCs w:val="24"/>
        </w:rPr>
        <w:tab/>
        <w:t xml:space="preserve">Выводы. </w:t>
      </w:r>
      <w:r>
        <w:rPr>
          <w:rFonts w:eastAsia="Calibri" w:cs="Times New Roman" w:ascii="Times New Roman" w:hAnsi="Times New Roman"/>
          <w:sz w:val="24"/>
          <w:szCs w:val="24"/>
        </w:rPr>
        <w:t>Таким образом, учитывая предварительную оценку ученых и геологов прошлых лет, и изучив накопленный материал, можно сделать вывод о перспективности участка</w:t>
      </w:r>
      <w:r>
        <w:rPr>
          <w:rFonts w:eastAsia="Times New Roman" w:cs="Times New Roman" w:ascii="Times New Roman" w:hAnsi="Times New Roman"/>
          <w:sz w:val="24"/>
          <w:szCs w:val="24"/>
          <w:lang w:eastAsia="ru-RU"/>
        </w:rPr>
        <w:t xml:space="preserve"> Ордабасы. Для дальнейшей оценки перспективности участка будут проведены поисково-оценочные работы. Данные работы включают </w:t>
      </w:r>
      <w:r>
        <w:rPr>
          <w:rFonts w:eastAsia="Calibri" w:cs="Times New Roman" w:ascii="Times New Roman" w:hAnsi="Times New Roman"/>
          <w:sz w:val="24"/>
          <w:szCs w:val="24"/>
        </w:rPr>
        <w:t xml:space="preserve">анализ и обобщение геологических данных по изучаемой территории.  Следующим этапом рассматривается геологическое картирование путем проведения поисковых и рекогносцировочных маршрутов, а также проведение площадных геофизических исследований – электроразведка методом ВП-СГ по сети 100х20 м, электроразведка ЗСБ по сети 100×50 м с шагом 100 м. Предусматривается обязательное проведение горных и буровых работ по сети 400х400 м со сгущением разведочной сети до 200 м, и оценка распространения медного оруденения на глубину до 500 м. Отбор технологических проб и проведение анализов. Данные этапы изучения участка даст возможность подсчета запасов и прогнозных ресурсов по категории С2+P1+P2 медной руды и сопутствующих компонентов. </w:t>
      </w:r>
    </w:p>
    <w:p>
      <w:pPr>
        <w:pStyle w:val="Normal"/>
        <w:widowControl w:val="false"/>
        <w:spacing w:lineRule="auto" w:line="240" w:before="0" w:after="0"/>
        <w:ind w:firstLine="720"/>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tabs>
          <w:tab w:val="clear" w:pos="708"/>
          <w:tab w:val="left" w:pos="0" w:leader="none"/>
          <w:tab w:val="left" w:pos="1134" w:leader="none"/>
        </w:tabs>
        <w:spacing w:lineRule="auto" w:line="240" w:before="0" w:after="0"/>
        <w:jc w:val="center"/>
        <w:rPr>
          <w:rFonts w:ascii="Times New Roman" w:hAnsi="Times New Roman" w:eastAsia="Times New Roman" w:cs="Times New Roman"/>
          <w:b/>
          <w:bCs/>
          <w:sz w:val="24"/>
          <w:szCs w:val="24"/>
          <w:lang w:eastAsia="ko-KR"/>
        </w:rPr>
      </w:pPr>
      <w:bookmarkStart w:id="5" w:name="_Hlk180958076"/>
      <w:r>
        <w:rPr>
          <w:rFonts w:eastAsia="Times New Roman" w:cs="Times New Roman" w:ascii="Times New Roman" w:hAnsi="Times New Roman"/>
          <w:b/>
          <w:bCs/>
          <w:sz w:val="24"/>
          <w:szCs w:val="24"/>
          <w:lang w:eastAsia="ko-KR"/>
        </w:rPr>
        <w:t>Литература</w:t>
      </w:r>
    </w:p>
    <w:p>
      <w:pPr>
        <w:pStyle w:val="Normal"/>
        <w:tabs>
          <w:tab w:val="clear" w:pos="708"/>
          <w:tab w:val="left" w:pos="0" w:leader="none"/>
          <w:tab w:val="left" w:pos="1134" w:leader="none"/>
        </w:tabs>
        <w:spacing w:lineRule="auto" w:line="240" w:before="0" w:after="0"/>
        <w:ind w:left="709"/>
        <w:jc w:val="center"/>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1.Самыгин С.Г., Хераскова Т.Н. Геологическое строение и этапы тектонической эволюции палеозоид Казахстана //Литосфера.-2019.-Т.19.(3).- С. 347-371.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hyperlink r:id="rId65" w:tgtFrame="_blank">
        <w:r>
          <w:rPr>
            <w:rStyle w:val="Style"/>
            <w:rFonts w:eastAsia="Times New Roman" w:cs="Times New Roman" w:ascii="Times New Roman" w:hAnsi="Times New Roman"/>
            <w:sz w:val="24"/>
            <w:szCs w:val="20"/>
            <w:shd w:fill="FFFFFF" w:val="clear"/>
            <w:lang w:val="en-US" w:eastAsia="ko-KR"/>
          </w:rPr>
          <w:t>DOI</w:t>
        </w:r>
        <w:r>
          <w:rPr>
            <w:rStyle w:val="Style"/>
            <w:rFonts w:eastAsia="Times New Roman" w:cs="Times New Roman" w:ascii="Times New Roman" w:hAnsi="Times New Roman"/>
            <w:sz w:val="24"/>
            <w:szCs w:val="20"/>
            <w:shd w:fill="FFFFFF" w:val="clear"/>
            <w:lang w:eastAsia="ko-KR"/>
          </w:rPr>
          <w:t xml:space="preserve"> 10.24930/1681-9004-2019-19-3-347-371</w:t>
        </w:r>
      </w:hyperlink>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2.Степанец В. Г., Макат Д. К., Савельева Н. А. Геодинамическая позиция медно-порфирового месторождения Нурказган (Центральный Казахстан) //Металлогения древних и современных океанов.- 2015. - №. 1.- С. 120-124.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3.Бекжанов Г. Р. О направлениях геологоразведочных работ на медь в Казахстане //Геология и охрана недр. - 2012. - № 4. - С. 52-54.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4.Сафонова И. Ю. и др. Геологическое строение и медное оруденение Тектурмасского офиолитового пояса и смежных территорий Центрального Казахстана //Литосфера. - 2022. -Т. 22 (4) - С. 472-496.</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5.Султанов Г. Д., Вихлянцев А. А., Исмаилов Х. К. Шешенкаринское рудное поле в Центральном Казахстане: перспективы обнаружения золото-медно-полиметаллического месторождения //Новое в познании процессов рудообразования: Девятая Российская молодёжная научно-практическая Школа с международным участием. - 2019. - С. 413-416. ISBN  978-5-88918-055-5</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color w:val="29ABE2"/>
          <w:sz w:val="24"/>
          <w:szCs w:val="20"/>
          <w:u w:val="single"/>
          <w:shd w:fill="FFFFFF" w:val="clear"/>
          <w:lang w:eastAsia="ko-KR"/>
        </w:rPr>
      </w:pPr>
      <w:r>
        <w:rPr>
          <w:rFonts w:eastAsia="Times New Roman" w:cs="Times New Roman" w:ascii="Times New Roman" w:hAnsi="Times New Roman"/>
          <w:sz w:val="24"/>
          <w:szCs w:val="24"/>
          <w:lang w:eastAsia="ko-KR"/>
        </w:rPr>
        <w:t xml:space="preserve">6.Гинатулин А. М., Дербас А. Н., Асанбаева У. Т. Состояние восполнения запасов ведущих полезных ископаемых Республики Казахстан: проблемы и некоторые пути их решения //Геология и охрана недр. - 2016. -№ 1.- С. 86-91.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7.Канфель О. М., Мазарович О. А., Турсина В. В. Геологическое строение северного обрамления Карагандинского бассейна. //Вестн. Моск. ун-та. Сер. 4. Геология. - 1962. - № 6. - С. 19-35.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color w:val="29ABE2"/>
          <w:sz w:val="24"/>
          <w:szCs w:val="20"/>
          <w:u w:val="single"/>
          <w:shd w:fill="FFFFFF" w:val="clear"/>
          <w:lang w:eastAsia="ko-KR"/>
        </w:rPr>
      </w:pPr>
      <w:r>
        <w:rPr>
          <w:rFonts w:eastAsia="Times New Roman" w:cs="Times New Roman" w:ascii="Times New Roman" w:hAnsi="Times New Roman"/>
          <w:sz w:val="24"/>
          <w:szCs w:val="24"/>
          <w:lang w:eastAsia="ko-KR"/>
        </w:rPr>
        <w:t xml:space="preserve">8.Портнов В.С., Юров В.М., Турсунбаева А.К., Умбетова А.Т. Оценка прогнозных ресурсов месторождений полезных ископаемых геофизическими методами //Фундаментальные исследования. - 2012. - № 3(2). - С. 403-408.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color w:val="29ABE2"/>
          <w:sz w:val="24"/>
          <w:szCs w:val="20"/>
          <w:u w:val="single"/>
          <w:shd w:fill="FFFFFF" w:val="clear"/>
          <w:lang w:eastAsia="ko-KR"/>
        </w:rPr>
      </w:pPr>
      <w:r>
        <w:rPr>
          <w:rFonts w:eastAsia="Times New Roman" w:cs="Times New Roman" w:ascii="Times New Roman" w:hAnsi="Times New Roman"/>
          <w:sz w:val="24"/>
          <w:szCs w:val="24"/>
          <w:lang w:eastAsia="ko-KR"/>
        </w:rPr>
        <w:t xml:space="preserve">9.Плющев Е.В., Ушаков О.П., Шатов В.В. Беляев Г.М. Методика изучения гидротермально-метасоматических образований. -Ленинград: Недра, 1981. -262 с.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color w:val="29ABE2"/>
          <w:sz w:val="24"/>
          <w:szCs w:val="20"/>
          <w:u w:val="single"/>
          <w:shd w:fill="FFFFFF" w:val="clear"/>
          <w:lang w:eastAsia="ko-KR"/>
        </w:rPr>
      </w:pPr>
      <w:r>
        <w:rPr>
          <w:rFonts w:eastAsia="Times New Roman" w:cs="Times New Roman" w:ascii="Times New Roman" w:hAnsi="Times New Roman"/>
          <w:sz w:val="24"/>
          <w:szCs w:val="24"/>
          <w:lang w:eastAsia="ko-KR"/>
        </w:rPr>
        <w:t>10.Рахманов В. П., Григорьев В. М., Чайковский В. К. Марганценосные провинции и марганценосные формации на территории СССР //Геология и геохимия марганца.-Наука.  1982. - С. 5-14.</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color w:val="29ABE2"/>
          <w:sz w:val="24"/>
          <w:szCs w:val="20"/>
          <w:u w:val="single"/>
          <w:shd w:fill="FFFFFF" w:val="clear"/>
          <w:lang w:eastAsia="ko-KR"/>
        </w:rPr>
      </w:pPr>
      <w:r>
        <w:rPr>
          <w:rFonts w:eastAsia="Times New Roman" w:cs="Times New Roman" w:ascii="Times New Roman" w:hAnsi="Times New Roman"/>
          <w:sz w:val="24"/>
          <w:szCs w:val="24"/>
          <w:lang w:eastAsia="ko-KR"/>
        </w:rPr>
        <w:t xml:space="preserve">11.Сейтмуратова </w:t>
      </w:r>
      <w:r>
        <w:rPr>
          <w:rFonts w:eastAsia="Times New Roman" w:cs="Times New Roman" w:ascii="Times New Roman" w:hAnsi="Times New Roman"/>
          <w:sz w:val="24"/>
          <w:szCs w:val="24"/>
          <w:lang w:val="kk-KZ" w:eastAsia="ko-KR"/>
        </w:rPr>
        <w:t>Э.</w:t>
      </w:r>
      <w:r>
        <w:rPr>
          <w:rFonts w:eastAsia="Times New Roman" w:cs="Times New Roman" w:ascii="Times New Roman" w:hAnsi="Times New Roman"/>
          <w:sz w:val="24"/>
          <w:szCs w:val="24"/>
          <w:lang w:eastAsia="ko-KR"/>
        </w:rPr>
        <w:t xml:space="preserve">Ю., Сайдашева Ф.Ф. Стратиграфия и условия формирования продуктивных рудоносных формаций позднего палеозоя Казахстана //Известия НАН РК. Серия геологическая. -2006. - № 4. - С. 11-19.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color w:val="29ABE2"/>
          <w:sz w:val="24"/>
          <w:szCs w:val="20"/>
          <w:u w:val="single"/>
          <w:shd w:fill="FFFFFF" w:val="clear"/>
          <w:lang w:eastAsia="ko-KR"/>
        </w:rPr>
      </w:pPr>
      <w:r>
        <w:rPr>
          <w:rFonts w:eastAsia="Times New Roman" w:cs="Times New Roman" w:ascii="Times New Roman" w:hAnsi="Times New Roman"/>
          <w:sz w:val="24"/>
          <w:szCs w:val="24"/>
          <w:lang w:eastAsia="ko-KR"/>
        </w:rPr>
        <w:t xml:space="preserve">12.Зоненшайн Л. П., Савостин Л. А. Введение в геодинамику. -М.: Недра, 1979.- 311 с. </w:t>
      </w:r>
      <w:r>
        <w:rPr>
          <w:rFonts w:eastAsia="Times New Roman" w:cs="Times New Roman" w:ascii="Times New Roman" w:hAnsi="Times New Roman"/>
          <w:color w:val="29ABE2"/>
          <w:sz w:val="24"/>
          <w:szCs w:val="20"/>
          <w:u w:val="single"/>
          <w:shd w:fill="FFFFFF" w:val="clear"/>
          <w:lang w:eastAsia="ko-KR"/>
        </w:rPr>
        <w:t xml:space="preserve">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bookmarkStart w:id="6" w:name="_Hlk180958076"/>
      <w:r>
        <w:rPr>
          <w:rFonts w:eastAsia="Times New Roman" w:cs="Times New Roman" w:ascii="Times New Roman" w:hAnsi="Times New Roman"/>
          <w:sz w:val="24"/>
          <w:szCs w:val="24"/>
          <w:lang w:eastAsia="ko-KR"/>
        </w:rPr>
        <w:t xml:space="preserve">13.Зоненшайн Л.П., Кузьмин М.И., Натапов Л.М. Тектоника литосферных плит территории СССР. Том I. -М.: Недра, 1990.- 328 с. </w:t>
      </w:r>
      <w:bookmarkEnd w:id="6"/>
      <w:r>
        <w:rPr>
          <w:rFonts w:eastAsia="Times New Roman" w:cs="Times New Roman" w:ascii="Times New Roman" w:hAnsi="Times New Roman"/>
          <w:sz w:val="24"/>
          <w:szCs w:val="24"/>
          <w:lang w:eastAsia="ko-KR"/>
        </w:rPr>
        <w:t>ISBN 5-247-01859-1</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r>
    </w:p>
    <w:p>
      <w:pPr>
        <w:pStyle w:val="Normal"/>
        <w:tabs>
          <w:tab w:val="clear" w:pos="708"/>
          <w:tab w:val="left" w:pos="0" w:leader="none"/>
          <w:tab w:val="left" w:pos="426" w:leader="none"/>
        </w:tabs>
        <w:spacing w:lineRule="auto" w:line="240" w:before="0" w:after="0"/>
        <w:jc w:val="center"/>
        <w:rPr>
          <w:rFonts w:ascii="Times New Roman" w:hAnsi="Times New Roman" w:eastAsia="Times New Roman" w:cs="Times New Roman"/>
          <w:b/>
          <w:bCs/>
          <w:sz w:val="24"/>
          <w:szCs w:val="24"/>
          <w:lang w:eastAsia="ko-KR"/>
        </w:rPr>
      </w:pPr>
      <w:r>
        <w:rPr>
          <w:rFonts w:eastAsia="Times New Roman" w:cs="Times New Roman" w:ascii="Times New Roman" w:hAnsi="Times New Roman"/>
          <w:b/>
          <w:bCs/>
          <w:sz w:val="24"/>
          <w:szCs w:val="24"/>
          <w:lang w:val="en-US" w:eastAsia="ko-KR"/>
        </w:rPr>
        <w:t>References</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eastAsia="ko-KR"/>
        </w:rPr>
      </w:pPr>
      <w:r>
        <w:rPr>
          <w:rFonts w:eastAsia="Times New Roman" w:cs="Times New Roman" w:ascii="Times New Roman" w:hAnsi="Times New Roman"/>
          <w:bCs/>
          <w:sz w:val="24"/>
          <w:szCs w:val="24"/>
          <w:lang w:eastAsia="ko-KR"/>
        </w:rPr>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eastAsia="ko-KR"/>
        </w:rPr>
        <w:t>1.</w:t>
        <w:tab/>
      </w:r>
      <w:r>
        <w:rPr>
          <w:rFonts w:eastAsia="Times New Roman" w:cs="Times New Roman" w:ascii="Times New Roman" w:hAnsi="Times New Roman"/>
          <w:bCs/>
          <w:sz w:val="24"/>
          <w:szCs w:val="24"/>
          <w:lang w:val="en-US" w:eastAsia="ko-KR"/>
        </w:rPr>
        <w:t>Samygin</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S</w:t>
      </w:r>
      <w:r>
        <w:rPr>
          <w:rFonts w:eastAsia="Times New Roman" w:cs="Times New Roman" w:ascii="Times New Roman" w:hAnsi="Times New Roman"/>
          <w:bCs/>
          <w:sz w:val="24"/>
          <w:szCs w:val="24"/>
          <w:lang w:eastAsia="ko-KR"/>
        </w:rPr>
        <w:t>.</w:t>
      </w:r>
      <w:r>
        <w:rPr>
          <w:rFonts w:eastAsia="Times New Roman" w:cs="Times New Roman" w:ascii="Times New Roman" w:hAnsi="Times New Roman"/>
          <w:bCs/>
          <w:sz w:val="24"/>
          <w:szCs w:val="24"/>
          <w:lang w:val="en-US" w:eastAsia="ko-KR"/>
        </w:rPr>
        <w:t>G</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Heraskova</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T</w:t>
      </w:r>
      <w:r>
        <w:rPr>
          <w:rFonts w:eastAsia="Times New Roman" w:cs="Times New Roman" w:ascii="Times New Roman" w:hAnsi="Times New Roman"/>
          <w:bCs/>
          <w:sz w:val="24"/>
          <w:szCs w:val="24"/>
          <w:lang w:eastAsia="ko-KR"/>
        </w:rPr>
        <w:t>.</w:t>
      </w:r>
      <w:r>
        <w:rPr>
          <w:rFonts w:eastAsia="Times New Roman" w:cs="Times New Roman" w:ascii="Times New Roman" w:hAnsi="Times New Roman"/>
          <w:bCs/>
          <w:sz w:val="24"/>
          <w:szCs w:val="24"/>
          <w:lang w:val="en-US" w:eastAsia="ko-KR"/>
        </w:rPr>
        <w:t>N</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Geologicheskoe</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stroenie</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i</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jetapy</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tektonicheskoj</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jevoljucii</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paleozoid</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Kazahstana</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Litosfera</w:t>
      </w:r>
      <w:r>
        <w:rPr>
          <w:rFonts w:eastAsia="Times New Roman" w:cs="Times New Roman" w:ascii="Times New Roman" w:hAnsi="Times New Roman"/>
          <w:bCs/>
          <w:sz w:val="24"/>
          <w:szCs w:val="24"/>
          <w:lang w:eastAsia="ko-KR"/>
        </w:rPr>
        <w:t>.-2019.-</w:t>
      </w:r>
      <w:r>
        <w:rPr>
          <w:rFonts w:eastAsia="Times New Roman" w:cs="Times New Roman" w:ascii="Times New Roman" w:hAnsi="Times New Roman"/>
          <w:bCs/>
          <w:sz w:val="24"/>
          <w:szCs w:val="24"/>
          <w:lang w:val="en-US" w:eastAsia="ko-KR"/>
        </w:rPr>
        <w:t>T</w:t>
      </w:r>
      <w:r>
        <w:rPr>
          <w:rFonts w:eastAsia="Times New Roman" w:cs="Times New Roman" w:ascii="Times New Roman" w:hAnsi="Times New Roman"/>
          <w:bCs/>
          <w:sz w:val="24"/>
          <w:szCs w:val="24"/>
          <w:lang w:eastAsia="ko-KR"/>
        </w:rPr>
        <w:t xml:space="preserve">.19.(3).- </w:t>
      </w:r>
      <w:r>
        <w:rPr>
          <w:rFonts w:eastAsia="Times New Roman" w:cs="Times New Roman" w:ascii="Times New Roman" w:hAnsi="Times New Roman"/>
          <w:bCs/>
          <w:sz w:val="24"/>
          <w:szCs w:val="24"/>
          <w:lang w:val="en-US" w:eastAsia="ko-KR"/>
        </w:rPr>
        <w:t xml:space="preserve">S. 347-371.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DOI 10.24930/1681-9004-2019-19-3-347-371.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2.</w:t>
        <w:tab/>
        <w:t>Stepanec V. G., Makat D. K., Savel'eva N. A. Geodinamicheskaja pozicija medno-porfirovogo mestorozhdenija Nurkazgan (Central'nyj Kazahstan) //Metallogenija drevnih i sovremennyh okeanov.- 2015. - №. 1.- S. 120-124.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3.</w:t>
        <w:tab/>
        <w:t>Bekzhanov G. R. O napravlenijah geologorazvedochnyh rabot na med' v Kazahstane //Geologija i ohrana nedr. - 2012. - № 4. - S. 52-54.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4.</w:t>
        <w:tab/>
        <w:t>Safonova I. Ju. i dr. Geologicheskoe stroenie i mednoe orudenenie Tekturmasskogo ofiolitovogo pojasa i smezhnyh territorij Central'nogo Kazahstana //Litosfera. - 2022. -T. 22 (4)– S. 472-496. DOI 10.24930/1681-9004-2022-22-4-472-496.[in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5.</w:t>
        <w:tab/>
        <w:t>Sultanov G. D., Vihljancev A. A., Ismailov H. K. Sheshenkarinskoe rudnoe pole v Central'nom Kazahstane: perspektivy obnaruzhenija zoloto-medno-polimetallicheskogo mestorozhdenija //Novoe v poznanii processov rudoobrazovanija: Devjataja Rossijskaja molodjozhnaja nauchno-prakticheskaja Shkola s mezhdunarodnym uchastiem. - 2019. - S. 413-416. ISBN  978-5-88918-055-5.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6.</w:t>
        <w:tab/>
        <w:t>Ginatulin A. M., Derbas A. N., Asanbaeva U. T. Sostojanie vospolnenija zapasov vedushhih poleznyh iskopaemyh Respubliki Kazahstan: problemy i nekotorye puti ih reshenija //Geologija i ohrana nedr. - 2016. -№ 1.- S. 86-91.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7.</w:t>
        <w:tab/>
        <w:t>Kanfel' O. M., Mazarovich O. A., Tursina V. V. Geologicheskoe stroenie severnogo obramlenija Karagandinskogo bassejna. //Vestn. Mosk. un-ta. Ser. 4. Geologija. - 1962. - № 6. - S. 19-35.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8.</w:t>
        <w:tab/>
        <w:t>Portnov V.S., Jurov V.M., Tursunbaeva A.K., Umbetova A.T. Ocenka prognoznyh resursov mestorozhdenij poleznyh iskopaemyh geofizicheskimi metodami //Fundamental'nye issledovanija. - 2012. - № 3(2). - S. 403-408.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9.</w:t>
        <w:tab/>
        <w:t>Pljushhev E.V., Ushakov O.P., Shatov V.V. Beljaev G.M. Metodika izuchenija gidrotermal'no-metasomaticheskih obrazovanij. -Leningrad: Nedra, 1981. -262 s.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10.</w:t>
        <w:tab/>
        <w:t>Rahmanov V. P., Grigor'ev V. M., Chajkovskij V. K. Margancenosnye provincii i margancenosnye formacii na territorii SSSR //Geologija i geohimija marganca.-Nauka.  1982. - S. 5-14.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11.</w:t>
        <w:tab/>
        <w:t>Sejtmuratova Je.Ju., Sajdasheva F.F. Stratigrafija i uslovija formirovanija produktivnyh rudonosnyh formacij pozdnego paleozoja Kazahstana //Izvestija NAN RK. Serija geologicheskaja. -2006. - № 4. - S. 11-19.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12.</w:t>
        <w:tab/>
        <w:t xml:space="preserve">Zonenshajn L. P., Savostin L. A. Vvedenie v geodinamiku. -M.: Nedra, 1979.- 311 s. [in Russian]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eastAsia="ko-KR"/>
        </w:rPr>
      </w:pPr>
      <w:r>
        <w:rPr>
          <w:rFonts w:eastAsia="Times New Roman" w:cs="Times New Roman" w:ascii="Times New Roman" w:hAnsi="Times New Roman"/>
          <w:bCs/>
          <w:sz w:val="24"/>
          <w:szCs w:val="24"/>
          <w:lang w:val="en-US" w:eastAsia="ko-KR"/>
        </w:rPr>
        <w:t>13.</w:t>
        <w:tab/>
        <w:t>Zonenshajn L.P., Kuz'min M.I., Natapov L.M. Tektonika litosfernyh plit territorii SSSR. Tom</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I</w:t>
      </w:r>
      <w:r>
        <w:rPr>
          <w:rFonts w:eastAsia="Times New Roman" w:cs="Times New Roman" w:ascii="Times New Roman" w:hAnsi="Times New Roman"/>
          <w:bCs/>
          <w:sz w:val="24"/>
          <w:szCs w:val="24"/>
          <w:lang w:eastAsia="ko-KR"/>
        </w:rPr>
        <w:t>. -</w:t>
      </w:r>
      <w:r>
        <w:rPr>
          <w:rFonts w:eastAsia="Times New Roman" w:cs="Times New Roman" w:ascii="Times New Roman" w:hAnsi="Times New Roman"/>
          <w:bCs/>
          <w:sz w:val="24"/>
          <w:szCs w:val="24"/>
          <w:lang w:val="en-US" w:eastAsia="ko-KR"/>
        </w:rPr>
        <w:t>M</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Nedra</w:t>
      </w:r>
      <w:r>
        <w:rPr>
          <w:rFonts w:eastAsia="Times New Roman" w:cs="Times New Roman" w:ascii="Times New Roman" w:hAnsi="Times New Roman"/>
          <w:bCs/>
          <w:sz w:val="24"/>
          <w:szCs w:val="24"/>
          <w:lang w:eastAsia="ko-KR"/>
        </w:rPr>
        <w:t xml:space="preserve">, 1990.- 328 </w:t>
      </w:r>
      <w:r>
        <w:rPr>
          <w:rFonts w:eastAsia="Times New Roman" w:cs="Times New Roman" w:ascii="Times New Roman" w:hAnsi="Times New Roman"/>
          <w:bCs/>
          <w:sz w:val="24"/>
          <w:szCs w:val="24"/>
          <w:lang w:val="en-US" w:eastAsia="ko-KR"/>
        </w:rPr>
        <w:t>s</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ISBN</w:t>
      </w:r>
      <w:r>
        <w:rPr>
          <w:rFonts w:eastAsia="Times New Roman" w:cs="Times New Roman" w:ascii="Times New Roman" w:hAnsi="Times New Roman"/>
          <w:bCs/>
          <w:sz w:val="24"/>
          <w:szCs w:val="24"/>
          <w:lang w:eastAsia="ko-KR"/>
        </w:rPr>
        <w:t xml:space="preserve"> 5-247-01859-1. [</w:t>
      </w:r>
      <w:r>
        <w:rPr>
          <w:rFonts w:eastAsia="Times New Roman" w:cs="Times New Roman" w:ascii="Times New Roman" w:hAnsi="Times New Roman"/>
          <w:bCs/>
          <w:sz w:val="24"/>
          <w:szCs w:val="24"/>
          <w:lang w:val="en-US" w:eastAsia="ko-KR"/>
        </w:rPr>
        <w:t>in</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Russian</w:t>
      </w:r>
      <w:r>
        <w:rPr>
          <w:rFonts w:eastAsia="Times New Roman" w:cs="Times New Roman" w:ascii="Times New Roman" w:hAnsi="Times New Roman"/>
          <w:bCs/>
          <w:sz w:val="24"/>
          <w:szCs w:val="24"/>
          <w:lang w:eastAsia="ko-KR"/>
        </w:rPr>
        <w:t>]</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
          <w:bCs/>
          <w:i/>
          <w:i/>
          <w:iCs/>
          <w:sz w:val="20"/>
          <w:szCs w:val="20"/>
          <w:lang w:eastAsia="ko-KR"/>
        </w:rPr>
      </w:pPr>
      <w:r>
        <w:rPr>
          <w:rFonts w:eastAsia="Times New Roman" w:cs="Times New Roman" w:ascii="Times New Roman" w:hAnsi="Times New Roman"/>
          <w:b/>
          <w:bCs/>
          <w:i/>
          <w:iCs/>
          <w:sz w:val="24"/>
          <w:szCs w:val="24"/>
          <w:lang w:eastAsia="ko-KR"/>
        </w:rPr>
        <w:tab/>
      </w:r>
      <w:r>
        <w:rPr>
          <w:rFonts w:eastAsia="Times New Roman" w:cs="Times New Roman" w:ascii="Times New Roman" w:hAnsi="Times New Roman"/>
          <w:b/>
          <w:bCs/>
          <w:i/>
          <w:iCs/>
          <w:sz w:val="20"/>
          <w:szCs w:val="20"/>
          <w:lang w:eastAsia="ko-KR"/>
        </w:rPr>
        <w:t>Сведения об авторах</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
          <w:bCs/>
          <w:i/>
          <w:i/>
          <w:iCs/>
          <w:sz w:val="20"/>
          <w:szCs w:val="20"/>
          <w:lang w:eastAsia="ko-KR"/>
        </w:rPr>
      </w:pPr>
      <w:r>
        <w:rPr>
          <w:rFonts w:eastAsia="Times New Roman" w:cs="Times New Roman" w:ascii="Times New Roman" w:hAnsi="Times New Roman"/>
          <w:b/>
          <w:bCs/>
          <w:i/>
          <w:iCs/>
          <w:sz w:val="20"/>
          <w:szCs w:val="20"/>
          <w:lang w:eastAsia="ko-KR"/>
        </w:rPr>
      </w:r>
    </w:p>
    <w:p>
      <w:pPr>
        <w:pStyle w:val="Normal"/>
        <w:spacing w:lineRule="auto" w:line="240" w:before="0" w:after="0"/>
        <w:rPr>
          <w:rFonts w:ascii="Times New Roman" w:hAnsi="Times New Roman" w:eastAsia="Calibri" w:cs="Times New Roman"/>
          <w:color w:val="0563C1"/>
          <w:sz w:val="20"/>
          <w:szCs w:val="20"/>
          <w:u w:val="single"/>
        </w:rPr>
      </w:pPr>
      <w:r>
        <w:rPr>
          <w:rFonts w:eastAsia="Calibri" w:cs="Times New Roman" w:ascii="Times New Roman" w:hAnsi="Times New Roman"/>
          <w:sz w:val="20"/>
          <w:szCs w:val="20"/>
          <w:lang w:val="kk-KZ"/>
        </w:rPr>
        <w:t>Тұрғали А</w:t>
      </w:r>
      <w:r>
        <w:rPr>
          <w:rFonts w:eastAsia="Calibri" w:cs="Times New Roman" w:ascii="Times New Roman" w:hAnsi="Times New Roman"/>
          <w:sz w:val="20"/>
          <w:szCs w:val="20"/>
        </w:rPr>
        <w:t>.Т. - докторант,</w:t>
      </w:r>
      <w:r>
        <w:rPr>
          <w:rFonts w:eastAsia="Calibri" w:cs="Times New Roman" w:ascii="Times New Roman" w:hAnsi="Times New Roman"/>
          <w:sz w:val="20"/>
          <w:szCs w:val="20"/>
          <w:lang w:val="kk-KZ"/>
        </w:rPr>
        <w:t xml:space="preserve"> </w:t>
      </w:r>
      <w:r>
        <w:rPr>
          <w:rFonts w:eastAsia="Calibri" w:cs="Times New Roman" w:ascii="Times New Roman" w:hAnsi="Times New Roman"/>
          <w:sz w:val="20"/>
          <w:szCs w:val="20"/>
        </w:rPr>
        <w:t xml:space="preserve">Каспийский университет технологии и инжиниринга им. Ш. Есенова, Актау, Казахстан, </w:t>
      </w:r>
      <w:r>
        <w:rPr>
          <w:rFonts w:eastAsia="Calibri" w:cs="Times New Roman" w:ascii="Times New Roman" w:hAnsi="Times New Roman"/>
          <w:sz w:val="20"/>
          <w:szCs w:val="20"/>
          <w:lang w:val="en-US"/>
        </w:rPr>
        <w:t>e</w:t>
      </w:r>
      <w:r>
        <w:rPr>
          <w:rFonts w:eastAsia="Calibri" w:cs="Times New Roman" w:ascii="Times New Roman" w:hAnsi="Times New Roman"/>
          <w:sz w:val="20"/>
          <w:szCs w:val="20"/>
        </w:rPr>
        <w:t>-</w:t>
      </w:r>
      <w:r>
        <w:rPr>
          <w:rFonts w:eastAsia="Calibri" w:cs="Times New Roman" w:ascii="Times New Roman" w:hAnsi="Times New Roman"/>
          <w:sz w:val="20"/>
          <w:szCs w:val="20"/>
          <w:lang w:val="en-US"/>
        </w:rPr>
        <w:t>mail</w:t>
      </w:r>
      <w:r>
        <w:rPr>
          <w:rFonts w:eastAsia="Calibri" w:cs="Times New Roman" w:ascii="Times New Roman" w:hAnsi="Times New Roman"/>
          <w:sz w:val="20"/>
          <w:szCs w:val="20"/>
        </w:rPr>
        <w:t xml:space="preserve">: </w:t>
      </w:r>
      <w:hyperlink r:id="rId66">
        <w:r>
          <w:rPr>
            <w:rStyle w:val="Style"/>
            <w:rFonts w:eastAsia="Calibri" w:cs="Times New Roman" w:ascii="Times New Roman" w:hAnsi="Times New Roman"/>
            <w:color w:val="0563C1"/>
            <w:sz w:val="20"/>
            <w:szCs w:val="20"/>
            <w:u w:val="single"/>
            <w:lang w:val="en-US"/>
          </w:rPr>
          <w:t>aiman</w:t>
        </w:r>
        <w:r>
          <w:rPr>
            <w:rStyle w:val="Style"/>
            <w:rFonts w:eastAsia="Calibri" w:cs="Times New Roman" w:ascii="Times New Roman" w:hAnsi="Times New Roman"/>
            <w:color w:val="0563C1"/>
            <w:sz w:val="20"/>
            <w:szCs w:val="20"/>
            <w:u w:val="single"/>
          </w:rPr>
          <w:t>.</w:t>
        </w:r>
        <w:r>
          <w:rPr>
            <w:rStyle w:val="Style"/>
            <w:rFonts w:eastAsia="Calibri" w:cs="Times New Roman" w:ascii="Times New Roman" w:hAnsi="Times New Roman"/>
            <w:color w:val="0563C1"/>
            <w:sz w:val="20"/>
            <w:szCs w:val="20"/>
            <w:u w:val="single"/>
            <w:lang w:val="en-US"/>
          </w:rPr>
          <w:t>tt</w:t>
        </w:r>
        <w:r>
          <w:rPr>
            <w:rStyle w:val="Style"/>
            <w:rFonts w:eastAsia="Calibri" w:cs="Times New Roman" w:ascii="Times New Roman" w:hAnsi="Times New Roman"/>
            <w:color w:val="0563C1"/>
            <w:sz w:val="20"/>
            <w:szCs w:val="20"/>
            <w:u w:val="single"/>
          </w:rPr>
          <w:t>@</w:t>
        </w:r>
        <w:r>
          <w:rPr>
            <w:rStyle w:val="Style"/>
            <w:rFonts w:eastAsia="Calibri" w:cs="Times New Roman" w:ascii="Times New Roman" w:hAnsi="Times New Roman"/>
            <w:color w:val="0563C1"/>
            <w:sz w:val="20"/>
            <w:szCs w:val="20"/>
            <w:u w:val="single"/>
            <w:lang w:val="en-US"/>
          </w:rPr>
          <w:t>mail</w:t>
        </w:r>
        <w:r>
          <w:rPr>
            <w:rStyle w:val="Style"/>
            <w:rFonts w:eastAsia="Calibri" w:cs="Times New Roman" w:ascii="Times New Roman" w:hAnsi="Times New Roman"/>
            <w:color w:val="0563C1"/>
            <w:sz w:val="20"/>
            <w:szCs w:val="20"/>
            <w:u w:val="single"/>
          </w:rPr>
          <w:t>.</w:t>
        </w:r>
        <w:r>
          <w:rPr>
            <w:rStyle w:val="Style"/>
            <w:rFonts w:eastAsia="Calibri" w:cs="Times New Roman" w:ascii="Times New Roman" w:hAnsi="Times New Roman"/>
            <w:color w:val="0563C1"/>
            <w:sz w:val="20"/>
            <w:szCs w:val="20"/>
            <w:u w:val="single"/>
            <w:lang w:val="en-US"/>
          </w:rPr>
          <w:t>ru</w:t>
        </w:r>
      </w:hyperlink>
      <w:r>
        <w:rPr>
          <w:rFonts w:eastAsia="Calibri" w:cs="Times New Roman" w:ascii="Times New Roman" w:hAnsi="Times New Roman"/>
          <w:sz w:val="20"/>
          <w:szCs w:val="20"/>
          <w:u w:val="single"/>
        </w:rPr>
        <w:t xml:space="preserve">; </w:t>
      </w:r>
    </w:p>
    <w:p>
      <w:pPr>
        <w:pStyle w:val="Normal"/>
        <w:spacing w:lineRule="auto" w:line="240" w:before="0" w:after="0"/>
        <w:jc w:val="both"/>
        <w:rPr>
          <w:rFonts w:ascii="Times New Roman" w:hAnsi="Times New Roman" w:eastAsia="Calibri" w:cs="Times New Roman"/>
          <w:color w:val="0563C1"/>
          <w:sz w:val="20"/>
          <w:szCs w:val="20"/>
        </w:rPr>
      </w:pPr>
      <w:r>
        <w:rPr>
          <w:rFonts w:eastAsia="Calibri" w:cs="Times New Roman" w:ascii="Times New Roman" w:hAnsi="Times New Roman"/>
          <w:sz w:val="20"/>
          <w:szCs w:val="20"/>
          <w:lang w:val="kk-KZ"/>
        </w:rPr>
        <w:t xml:space="preserve">Қожахмет Қ.Ә. - к.г-м.н., асоциированный профессор, </w:t>
      </w:r>
      <w:r>
        <w:rPr>
          <w:rFonts w:eastAsia="Calibri" w:cs="Times New Roman" w:ascii="Times New Roman" w:hAnsi="Times New Roman"/>
          <w:sz w:val="20"/>
          <w:szCs w:val="20"/>
        </w:rPr>
        <w:t xml:space="preserve">Каспийский университет технологии и инжиниринга им. Ш. Есенова, Актау, Казахстан, </w:t>
      </w:r>
      <w:r>
        <w:rPr>
          <w:rFonts w:eastAsia="Calibri" w:cs="Times New Roman" w:ascii="Times New Roman" w:hAnsi="Times New Roman"/>
          <w:sz w:val="20"/>
          <w:szCs w:val="20"/>
          <w:lang w:val="en-US"/>
        </w:rPr>
        <w:t>e</w:t>
      </w:r>
      <w:r>
        <w:rPr>
          <w:rFonts w:eastAsia="Calibri" w:cs="Times New Roman" w:ascii="Times New Roman" w:hAnsi="Times New Roman"/>
          <w:sz w:val="20"/>
          <w:szCs w:val="20"/>
        </w:rPr>
        <w:t>-</w:t>
      </w:r>
      <w:r>
        <w:rPr>
          <w:rFonts w:eastAsia="Calibri" w:cs="Times New Roman" w:ascii="Times New Roman" w:hAnsi="Times New Roman"/>
          <w:sz w:val="20"/>
          <w:szCs w:val="20"/>
          <w:lang w:val="en-US"/>
        </w:rPr>
        <w:t>mail</w:t>
      </w:r>
      <w:r>
        <w:rPr>
          <w:rFonts w:eastAsia="Calibri" w:cs="Times New Roman" w:ascii="Times New Roman" w:hAnsi="Times New Roman"/>
          <w:sz w:val="20"/>
          <w:szCs w:val="20"/>
        </w:rPr>
        <w:t xml:space="preserve">: </w:t>
      </w:r>
      <w:hyperlink r:id="rId67">
        <w:r>
          <w:rPr>
            <w:rStyle w:val="Style"/>
            <w:rFonts w:eastAsia="Calibri" w:cs="Times New Roman" w:ascii="Times New Roman" w:hAnsi="Times New Roman"/>
            <w:color w:val="0563C1"/>
            <w:sz w:val="20"/>
            <w:szCs w:val="20"/>
            <w:lang w:val="en-US"/>
          </w:rPr>
          <w:t>kossarbay</w:t>
        </w:r>
        <w:r>
          <w:rPr>
            <w:rStyle w:val="Style"/>
            <w:rFonts w:eastAsia="Calibri" w:cs="Times New Roman" w:ascii="Times New Roman" w:hAnsi="Times New Roman"/>
            <w:color w:val="0563C1"/>
            <w:sz w:val="20"/>
            <w:szCs w:val="20"/>
          </w:rPr>
          <w:t>.</w:t>
        </w:r>
        <w:r>
          <w:rPr>
            <w:rStyle w:val="Style"/>
            <w:rFonts w:eastAsia="Calibri" w:cs="Times New Roman" w:ascii="Times New Roman" w:hAnsi="Times New Roman"/>
            <w:color w:val="0563C1"/>
            <w:sz w:val="20"/>
            <w:szCs w:val="20"/>
            <w:lang w:val="en-US"/>
          </w:rPr>
          <w:t>kozhakhmet</w:t>
        </w:r>
        <w:r>
          <w:rPr>
            <w:rStyle w:val="Style"/>
            <w:rFonts w:eastAsia="Calibri" w:cs="Times New Roman" w:ascii="Times New Roman" w:hAnsi="Times New Roman"/>
            <w:color w:val="0563C1"/>
            <w:sz w:val="20"/>
            <w:szCs w:val="20"/>
          </w:rPr>
          <w:t>@</w:t>
        </w:r>
        <w:r>
          <w:rPr>
            <w:rStyle w:val="Style"/>
            <w:rFonts w:eastAsia="Calibri" w:cs="Times New Roman" w:ascii="Times New Roman" w:hAnsi="Times New Roman"/>
            <w:color w:val="0563C1"/>
            <w:sz w:val="20"/>
            <w:szCs w:val="20"/>
            <w:lang w:val="en-US"/>
          </w:rPr>
          <w:t>yu</w:t>
        </w:r>
        <w:r>
          <w:rPr>
            <w:rStyle w:val="Style"/>
            <w:rFonts w:eastAsia="Calibri" w:cs="Times New Roman" w:ascii="Times New Roman" w:hAnsi="Times New Roman"/>
            <w:color w:val="0563C1"/>
            <w:sz w:val="20"/>
            <w:szCs w:val="20"/>
          </w:rPr>
          <w:t>.</w:t>
        </w:r>
        <w:r>
          <w:rPr>
            <w:rStyle w:val="Style"/>
            <w:rFonts w:eastAsia="Calibri" w:cs="Times New Roman" w:ascii="Times New Roman" w:hAnsi="Times New Roman"/>
            <w:color w:val="0563C1"/>
            <w:sz w:val="20"/>
            <w:szCs w:val="20"/>
            <w:lang w:val="en-US"/>
          </w:rPr>
          <w:t>edu</w:t>
        </w:r>
        <w:r>
          <w:rPr>
            <w:rStyle w:val="Style"/>
            <w:rFonts w:eastAsia="Calibri" w:cs="Times New Roman" w:ascii="Times New Roman" w:hAnsi="Times New Roman"/>
            <w:color w:val="0563C1"/>
            <w:sz w:val="20"/>
            <w:szCs w:val="20"/>
          </w:rPr>
          <w:t>.</w:t>
        </w:r>
        <w:r>
          <w:rPr>
            <w:rStyle w:val="Style"/>
            <w:rFonts w:eastAsia="Calibri" w:cs="Times New Roman" w:ascii="Times New Roman" w:hAnsi="Times New Roman"/>
            <w:color w:val="0563C1"/>
            <w:sz w:val="20"/>
            <w:szCs w:val="20"/>
            <w:lang w:val="en-US"/>
          </w:rPr>
          <w:t>kz</w:t>
        </w:r>
      </w:hyperlink>
      <w:r>
        <w:rPr>
          <w:rFonts w:eastAsia="Calibri" w:cs="Times New Roman" w:ascii="Times New Roman" w:hAnsi="Times New Roman"/>
          <w:color w:val="0563C1"/>
          <w:sz w:val="20"/>
          <w:szCs w:val="20"/>
        </w:rPr>
        <w:t xml:space="preserve">; </w:t>
      </w:r>
    </w:p>
    <w:p>
      <w:pPr>
        <w:pStyle w:val="Normal"/>
        <w:spacing w:lineRule="auto" w:line="240" w:before="0" w:after="0"/>
        <w:rPr>
          <w:rFonts w:ascii="Times New Roman" w:hAnsi="Times New Roman" w:eastAsia="Calibri" w:cs="Times New Roman"/>
          <w:b/>
          <w:bCs/>
          <w:sz w:val="20"/>
          <w:szCs w:val="20"/>
        </w:rPr>
      </w:pPr>
      <w:r>
        <w:rPr>
          <w:rFonts w:eastAsia="Calibri" w:cs="Times New Roman" w:ascii="Times New Roman" w:hAnsi="Times New Roman"/>
          <w:sz w:val="20"/>
          <w:szCs w:val="20"/>
        </w:rPr>
        <w:t xml:space="preserve">Гусманова А.Г. - к.т.н., декан факультета, Каспийский университет технологии и инжиниринга им. Ш. Есенова, Актау, Казахстан, </w:t>
      </w:r>
      <w:r>
        <w:rPr>
          <w:rFonts w:eastAsia="Calibri" w:cs="Times New Roman" w:ascii="Times New Roman" w:hAnsi="Times New Roman"/>
          <w:sz w:val="20"/>
          <w:szCs w:val="20"/>
          <w:lang w:val="en-US"/>
        </w:rPr>
        <w:t>e</w:t>
      </w:r>
      <w:r>
        <w:rPr>
          <w:rFonts w:eastAsia="Calibri" w:cs="Times New Roman" w:ascii="Times New Roman" w:hAnsi="Times New Roman"/>
          <w:sz w:val="20"/>
          <w:szCs w:val="20"/>
        </w:rPr>
        <w:t>-</w:t>
      </w:r>
      <w:r>
        <w:rPr>
          <w:rFonts w:eastAsia="Calibri" w:cs="Times New Roman" w:ascii="Times New Roman" w:hAnsi="Times New Roman"/>
          <w:sz w:val="20"/>
          <w:szCs w:val="20"/>
          <w:lang w:val="en-US"/>
        </w:rPr>
        <w:t>mail</w:t>
      </w:r>
      <w:r>
        <w:rPr>
          <w:rFonts w:eastAsia="Calibri" w:cs="Times New Roman" w:ascii="Times New Roman" w:hAnsi="Times New Roman"/>
          <w:sz w:val="20"/>
          <w:szCs w:val="20"/>
        </w:rPr>
        <w:t>:</w:t>
      </w:r>
      <w:r>
        <w:rPr>
          <w:rFonts w:eastAsia="Calibri" w:cs="Times New Roman" w:ascii="Times New Roman" w:hAnsi="Times New Roman"/>
          <w:color w:val="6B6B6B"/>
          <w:sz w:val="20"/>
          <w:szCs w:val="20"/>
          <w:shd w:fill="FFFFFF" w:val="clear"/>
        </w:rPr>
        <w:t xml:space="preserve"> </w:t>
      </w:r>
      <w:hyperlink r:id="rId68">
        <w:r>
          <w:rPr>
            <w:rStyle w:val="Style"/>
            <w:rFonts w:eastAsia="Calibri" w:cs="Times New Roman" w:ascii="Times New Roman" w:hAnsi="Times New Roman"/>
            <w:color w:val="0563C1"/>
            <w:sz w:val="20"/>
            <w:szCs w:val="20"/>
            <w:u w:val="single"/>
            <w:shd w:fill="FFFFFF" w:val="clear"/>
          </w:rPr>
          <w:t>aigul.gusmanova@yu.edu.kz</w:t>
        </w:r>
      </w:hyperlink>
      <w:r>
        <w:rPr>
          <w:rFonts w:eastAsia="Calibri" w:cs="Times New Roman" w:ascii="Times New Roman" w:hAnsi="Times New Roman"/>
          <w:sz w:val="20"/>
          <w:szCs w:val="20"/>
          <w:u w:val="single"/>
          <w:shd w:fill="FFFFFF" w:val="clear"/>
        </w:rPr>
        <w:t xml:space="preserve">; </w:t>
      </w:r>
    </w:p>
    <w:p>
      <w:pPr>
        <w:pStyle w:val="Normal"/>
        <w:spacing w:lineRule="auto" w:line="240" w:before="0" w:after="0"/>
        <w:rPr>
          <w:rFonts w:ascii="Times New Roman" w:hAnsi="Times New Roman" w:eastAsia="Calibri" w:cs="Times New Roman"/>
          <w:sz w:val="20"/>
          <w:szCs w:val="20"/>
        </w:rPr>
      </w:pPr>
      <w:r>
        <w:rPr>
          <w:rFonts w:eastAsia="Calibri" w:cs="Times New Roman" w:ascii="Times New Roman" w:hAnsi="Times New Roman"/>
          <w:sz w:val="20"/>
          <w:szCs w:val="20"/>
        </w:rPr>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
          <w:bCs/>
          <w:i/>
          <w:i/>
          <w:iCs/>
          <w:sz w:val="20"/>
          <w:szCs w:val="20"/>
          <w:lang w:val="en-US" w:eastAsia="ko-KR"/>
        </w:rPr>
      </w:pPr>
      <w:r>
        <w:rPr>
          <w:rFonts w:eastAsia="Times New Roman" w:cs="Times New Roman" w:ascii="Times New Roman" w:hAnsi="Times New Roman"/>
          <w:b/>
          <w:bCs/>
          <w:i/>
          <w:iCs/>
          <w:sz w:val="20"/>
          <w:szCs w:val="20"/>
          <w:lang w:eastAsia="ko-KR"/>
        </w:rPr>
        <w:tab/>
      </w:r>
      <w:r>
        <w:rPr>
          <w:rFonts w:eastAsia="Times New Roman" w:cs="Times New Roman" w:ascii="Times New Roman" w:hAnsi="Times New Roman"/>
          <w:b/>
          <w:bCs/>
          <w:i/>
          <w:iCs/>
          <w:sz w:val="20"/>
          <w:szCs w:val="20"/>
          <w:lang w:val="en-US" w:eastAsia="ko-KR"/>
        </w:rPr>
        <w:t>Information about the authors</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
          <w:bCs/>
          <w:i/>
          <w:i/>
          <w:iCs/>
          <w:sz w:val="20"/>
          <w:szCs w:val="20"/>
          <w:lang w:val="en-US" w:eastAsia="ko-KR"/>
        </w:rPr>
      </w:pPr>
      <w:r>
        <w:rPr>
          <w:rFonts w:eastAsia="Times New Roman" w:cs="Times New Roman" w:ascii="Times New Roman" w:hAnsi="Times New Roman"/>
          <w:b/>
          <w:bCs/>
          <w:i/>
          <w:iCs/>
          <w:sz w:val="20"/>
          <w:szCs w:val="20"/>
          <w:lang w:val="en-US" w:eastAsia="ko-KR"/>
        </w:rPr>
      </w:r>
    </w:p>
    <w:p>
      <w:pPr>
        <w:pStyle w:val="Normal"/>
        <w:spacing w:lineRule="auto" w:line="240" w:before="0" w:after="0"/>
        <w:jc w:val="both"/>
        <w:rPr>
          <w:rFonts w:ascii="Times New Roman" w:hAnsi="Times New Roman" w:eastAsia="Calibri" w:cs="Times New Roman"/>
          <w:sz w:val="20"/>
          <w:szCs w:val="20"/>
          <w:lang w:val="en-US"/>
        </w:rPr>
      </w:pPr>
      <w:r>
        <w:rPr>
          <w:rFonts w:eastAsia="Calibri" w:cs="Times New Roman" w:ascii="Times New Roman" w:hAnsi="Times New Roman"/>
          <w:sz w:val="20"/>
          <w:szCs w:val="20"/>
          <w:lang w:val="en-US"/>
        </w:rPr>
        <w:t xml:space="preserve">Turgali A.T. - Doctoral student, Caspian University of Technology and Engineering named after Sh. Yesenov, Aktau, Kazakhstan, e-mail: </w:t>
      </w:r>
      <w:hyperlink r:id="rId69">
        <w:r>
          <w:rPr>
            <w:rStyle w:val="Style"/>
            <w:rFonts w:eastAsia="Calibri" w:cs="Times New Roman" w:ascii="Times New Roman" w:hAnsi="Times New Roman"/>
            <w:color w:val="0563C1"/>
            <w:sz w:val="20"/>
            <w:szCs w:val="20"/>
            <w:u w:val="single"/>
            <w:lang w:val="en-US"/>
          </w:rPr>
          <w:t>aiman.tt@mail.ru</w:t>
        </w:r>
      </w:hyperlink>
      <w:r>
        <w:rPr>
          <w:rFonts w:eastAsia="Calibri" w:cs="Times New Roman" w:ascii="Times New Roman" w:hAnsi="Times New Roman"/>
          <w:sz w:val="20"/>
          <w:szCs w:val="20"/>
          <w:lang w:val="en-US"/>
        </w:rPr>
        <w:t>;</w:t>
      </w:r>
      <w:r>
        <w:rPr>
          <w:rFonts w:eastAsia="Calibri" w:cs="Times New Roman" w:ascii="Times New Roman" w:hAnsi="Times New Roman"/>
          <w:color w:val="0563C1"/>
          <w:sz w:val="20"/>
          <w:szCs w:val="20"/>
          <w:lang w:val="en-US"/>
        </w:rPr>
        <w:t xml:space="preserve"> </w:t>
      </w:r>
      <w:r>
        <w:rPr>
          <w:rFonts w:eastAsia="Calibri" w:cs="Times New Roman" w:ascii="Times New Roman" w:hAnsi="Times New Roman"/>
          <w:sz w:val="20"/>
          <w:szCs w:val="20"/>
          <w:lang w:val="en-US"/>
        </w:rPr>
        <w:t xml:space="preserve"> </w:t>
      </w:r>
    </w:p>
    <w:p>
      <w:pPr>
        <w:pStyle w:val="Normal"/>
        <w:spacing w:lineRule="auto" w:line="240" w:before="0" w:after="0"/>
        <w:jc w:val="both"/>
        <w:rPr>
          <w:rFonts w:ascii="Times New Roman" w:hAnsi="Times New Roman" w:eastAsia="Calibri" w:cs="Times New Roman"/>
          <w:sz w:val="20"/>
          <w:szCs w:val="20"/>
          <w:lang w:val="en-US"/>
        </w:rPr>
      </w:pPr>
      <w:r>
        <w:rPr>
          <w:rFonts w:eastAsia="Calibri" w:cs="Times New Roman" w:ascii="Times New Roman" w:hAnsi="Times New Roman"/>
          <w:sz w:val="20"/>
          <w:szCs w:val="20"/>
          <w:lang w:val="en-US"/>
        </w:rPr>
        <w:t xml:space="preserve">Kozhakhmet K.A. - Candidate of Geological and Mineralogical Sciences, Associate Professor, Caspian University of Technology and Engineering named after Sh. Yesenov, Aktau, Kazakhstan, e-mail: </w:t>
      </w:r>
      <w:hyperlink r:id="rId70">
        <w:r>
          <w:rPr>
            <w:rStyle w:val="Style"/>
            <w:rFonts w:eastAsia="Calibri" w:cs="Times New Roman" w:ascii="Times New Roman" w:hAnsi="Times New Roman"/>
            <w:color w:val="0563C1"/>
            <w:sz w:val="20"/>
            <w:szCs w:val="20"/>
            <w:u w:val="single"/>
            <w:lang w:val="en-US"/>
          </w:rPr>
          <w:t>kossarbay.kozhakhmet@yu.edu.kz</w:t>
        </w:r>
      </w:hyperlink>
      <w:r>
        <w:rPr>
          <w:rFonts w:eastAsia="Calibri" w:cs="Times New Roman" w:ascii="Times New Roman" w:hAnsi="Times New Roman"/>
          <w:sz w:val="20"/>
          <w:szCs w:val="20"/>
          <w:lang w:val="en-US"/>
        </w:rPr>
        <w:t xml:space="preserve">; </w:t>
      </w:r>
    </w:p>
    <w:p>
      <w:pPr>
        <w:pStyle w:val="Normal"/>
        <w:spacing w:lineRule="auto" w:line="240" w:before="0" w:after="0"/>
        <w:rPr>
          <w:rFonts w:ascii="Times New Roman" w:hAnsi="Times New Roman" w:eastAsia="Calibri" w:cs="Times New Roman"/>
          <w:b/>
          <w:bCs/>
          <w:sz w:val="20"/>
          <w:szCs w:val="20"/>
          <w:lang w:val="en-US"/>
        </w:rPr>
      </w:pPr>
      <w:r>
        <w:rPr>
          <w:rFonts w:eastAsia="Calibri" w:cs="Times New Roman" w:ascii="Times New Roman" w:hAnsi="Times New Roman"/>
          <w:sz w:val="20"/>
          <w:szCs w:val="20"/>
          <w:lang w:val="en-US"/>
        </w:rPr>
        <w:t xml:space="preserve">Gusmanova A.G. - candidate of Technical Sciences, Dean, Caspian University of Technology and Engineering named after Sh. Yesenov, Aktau, Kazakhstan, </w:t>
      </w:r>
      <w:hyperlink r:id="rId71">
        <w:r>
          <w:rPr>
            <w:rStyle w:val="Style"/>
            <w:rFonts w:eastAsia="Calibri" w:cs="Times New Roman" w:ascii="Times New Roman" w:hAnsi="Times New Roman"/>
            <w:sz w:val="20"/>
            <w:szCs w:val="20"/>
            <w:lang w:val="en-US"/>
          </w:rPr>
          <w:t>aigul.gusmanova@yu.edu.kz</w:t>
        </w:r>
      </w:hyperlink>
      <w:r>
        <w:rPr>
          <w:rFonts w:eastAsia="Calibri" w:cs="Times New Roman" w:ascii="Times New Roman" w:hAnsi="Times New Roman"/>
          <w:sz w:val="20"/>
          <w:szCs w:val="20"/>
          <w:lang w:val="en-US"/>
        </w:rPr>
        <w:t xml:space="preserve">; </w:t>
      </w:r>
    </w:p>
    <w:p>
      <w:pPr>
        <w:pStyle w:val="Normal"/>
        <w:spacing w:lineRule="auto" w:line="240" w:before="0" w:after="0"/>
        <w:jc w:val="both"/>
        <w:rPr>
          <w:rFonts w:ascii="Calibri" w:hAnsi="Calibri" w:eastAsia="Calibri" w:cs="Times New Roman"/>
          <w:szCs w:val="24"/>
          <w:lang w:val="en-US"/>
        </w:rPr>
      </w:pPr>
      <w:r>
        <w:rPr>
          <w:rFonts w:eastAsia="Calibri" w:cs="Times New Roman" w:ascii="Calibri" w:hAnsi="Calibri"/>
          <w:szCs w:val="24"/>
          <w:lang w:val="en-US"/>
        </w:rPr>
      </w:r>
    </w:p>
    <w:p>
      <w:pPr>
        <w:pStyle w:val="Normal"/>
        <w:spacing w:lineRule="auto" w:line="240" w:before="0" w:after="0"/>
        <w:jc w:val="both"/>
        <w:rPr>
          <w:rFonts w:ascii="Calibri" w:hAnsi="Calibri" w:eastAsia="Calibri" w:cs="Times New Roman"/>
          <w:szCs w:val="24"/>
          <w:lang w:val="en-US"/>
        </w:rPr>
      </w:pPr>
      <w:r>
        <w:rPr>
          <w:rFonts w:eastAsia="Calibri" w:cs="Times New Roman" w:ascii="Calibri" w:hAnsi="Calibri"/>
          <w:szCs w:val="24"/>
          <w:lang w:val="en-US"/>
        </w:rPr>
      </w:r>
    </w:p>
    <w:p>
      <w:pPr>
        <w:pStyle w:val="Normal"/>
        <w:spacing w:lineRule="auto" w:line="240" w:before="0" w:after="0"/>
        <w:ind w:firstLine="567"/>
        <w:jc w:val="both"/>
        <w:rPr>
          <w:rFonts w:ascii="Times New Roman" w:hAnsi="Times New Roman" w:cs="Times New Roman"/>
          <w:sz w:val="28"/>
          <w:lang w:val="en-US"/>
        </w:rPr>
      </w:pPr>
      <w:r>
        <w:rPr>
          <w:rFonts w:cs="Times New Roman" w:ascii="Times New Roman" w:hAnsi="Times New Roman"/>
          <w:sz w:val="28"/>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bookmarkStart w:id="7" w:name="_GoBack"/>
      <w:bookmarkStart w:id="8" w:name="_GoBack"/>
      <w:bookmarkEnd w:id="8"/>
    </w:p>
    <w:p>
      <w:pPr>
        <w:pStyle w:val="Normal"/>
        <w:rPr>
          <w:lang w:val="en-US"/>
        </w:rPr>
      </w:pPr>
      <w:r>
        <w:rPr>
          <w:lang w:val="en-US"/>
        </w:rPr>
      </w:r>
    </w:p>
    <w:p>
      <w:pPr>
        <w:pStyle w:val="Normal"/>
        <w:rPr>
          <w:lang w:val="en-US"/>
        </w:rPr>
      </w:pPr>
      <w:r>
        <w:rPr>
          <w:lang w:val="en-US"/>
        </w:rPr>
      </w:r>
    </w:p>
    <w:p>
      <w:pPr>
        <w:pStyle w:val="Normal"/>
        <w:spacing w:lineRule="auto" w:line="240" w:before="0" w:after="0"/>
        <w:jc w:val="both"/>
        <w:rPr>
          <w:rFonts w:ascii="Times New Roman" w:hAnsi="Times New Roman" w:eastAsia="Calibri" w:cs="Times New Roman"/>
          <w:lang w:val="kk-KZ"/>
        </w:rPr>
      </w:pPr>
      <w:r>
        <w:rPr>
          <w:rFonts w:eastAsia="Calibri" w:cs="Times New Roman" w:ascii="Times New Roman" w:hAnsi="Times New Roman"/>
          <w:lang w:val="kk-KZ"/>
        </w:rPr>
        <w:t>IRSTI 52.13.17</w:t>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MODERNIZATION OF GOLD-BEARING ORE EXTRACTION TECHNOLOGY DEPENDING ON GEOLOGICAL AND MINING CONDITIONS</w:t>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r>
    </w:p>
    <w:p>
      <w:pPr>
        <w:pStyle w:val="Normal"/>
        <w:spacing w:lineRule="auto" w:line="240" w:before="0" w:after="0"/>
        <w:jc w:val="center"/>
        <w:rPr>
          <w:rFonts w:ascii="Times New Roman" w:hAnsi="Times New Roman" w:eastAsia="Times New Roman" w:cs="Times New Roman"/>
          <w:lang w:val="en-US" w:eastAsia="ru-RU"/>
        </w:rPr>
      </w:pPr>
      <w:r>
        <w:rPr>
          <w:rFonts w:eastAsia="Times New Roman" w:cs="Times New Roman" w:ascii="Times New Roman" w:hAnsi="Times New Roman"/>
          <w:b/>
          <w:vertAlign w:val="superscript"/>
          <w:lang w:val="kk-KZ" w:eastAsia="ru-RU"/>
        </w:rPr>
        <w:t>1</w:t>
      </w:r>
      <w:r>
        <w:rPr>
          <w:rFonts w:eastAsia="Times New Roman" w:cs="Times New Roman" w:ascii="Times New Roman" w:hAnsi="Times New Roman"/>
          <w:b/>
          <w:lang w:val="kk-KZ" w:eastAsia="ru-RU"/>
        </w:rPr>
        <w:t>Zh.T.Dauletzhanova</w:t>
      </w:r>
      <w:r>
        <w:rPr/>
        <w:drawing>
          <wp:inline distT="0" distB="0" distL="0" distR="0">
            <wp:extent cx="136525" cy="136525"/>
            <wp:effectExtent l="0" t="0" r="0" b="0"/>
            <wp:docPr id="31" name="Рисунок 58" descr="D:\Desktop\иконка.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58" descr="D:\Desktop\иконка.png">
                      <a:hlinkClick r:id="rId73"/>
                    </pic:cNvPr>
                    <pic:cNvPicPr>
                      <a:picLocks noChangeAspect="1" noChangeArrowheads="1"/>
                    </pic:cNvPicPr>
                  </pic:nvPicPr>
                  <pic:blipFill>
                    <a:blip r:embed="rId72"/>
                    <a:stretch>
                      <a:fillRect/>
                    </a:stretch>
                  </pic:blipFill>
                  <pic:spPr bwMode="auto">
                    <a:xfrm>
                      <a:off x="0" y="0"/>
                      <a:ext cx="136525" cy="136525"/>
                    </a:xfrm>
                    <a:prstGeom prst="rect">
                      <a:avLst/>
                    </a:prstGeom>
                    <a:noFill/>
                  </pic:spPr>
                </pic:pic>
              </a:graphicData>
            </a:graphic>
          </wp:inline>
        </w:drawing>
      </w:r>
      <w:r>
        <w:rPr>
          <w:rFonts w:eastAsia="Times New Roman" w:cs="Times New Roman" w:ascii="Times New Roman" w:hAnsi="Times New Roman"/>
          <w:b/>
          <w:lang w:val="kk-KZ" w:eastAsia="ru-RU"/>
        </w:rPr>
        <w:t xml:space="preserve">, </w:t>
      </w:r>
      <w:r>
        <w:rPr>
          <w:rFonts w:eastAsia="Times New Roman" w:cs="Times New Roman" w:ascii="Times New Roman" w:hAnsi="Times New Roman"/>
          <w:b/>
          <w:vertAlign w:val="superscript"/>
          <w:lang w:val="kk-KZ" w:eastAsia="ru-RU"/>
        </w:rPr>
        <w:t>2</w:t>
      </w:r>
      <w:r>
        <w:rPr>
          <w:rFonts w:eastAsia="Times New Roman" w:cs="Times New Roman" w:ascii="Times New Roman" w:hAnsi="Times New Roman"/>
          <w:b/>
          <w:lang w:val="kk-KZ" w:eastAsia="ru-RU"/>
        </w:rPr>
        <w:t>A.M. Zakharov</w:t>
      </w:r>
      <w:r>
        <w:rPr/>
        <w:drawing>
          <wp:inline distT="0" distB="0" distL="0" distR="0">
            <wp:extent cx="136525" cy="136525"/>
            <wp:effectExtent l="0" t="0" r="0" b="0"/>
            <wp:docPr id="32" name="Рисунок 59" descr="D:\Desktop\иконка.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59" descr="D:\Desktop\иконка.png">
                      <a:hlinkClick r:id="rId75"/>
                    </pic:cNvPr>
                    <pic:cNvPicPr>
                      <a:picLocks noChangeAspect="1" noChangeArrowheads="1"/>
                    </pic:cNvPicPr>
                  </pic:nvPicPr>
                  <pic:blipFill>
                    <a:blip r:embed="rId74"/>
                    <a:stretch>
                      <a:fillRect/>
                    </a:stretch>
                  </pic:blipFill>
                  <pic:spPr bwMode="auto">
                    <a:xfrm>
                      <a:off x="0" y="0"/>
                      <a:ext cx="136525" cy="136525"/>
                    </a:xfrm>
                    <a:prstGeom prst="rect">
                      <a:avLst/>
                    </a:prstGeom>
                    <a:noFill/>
                  </pic:spPr>
                </pic:pic>
              </a:graphicData>
            </a:graphic>
          </wp:inline>
        </w:drawing>
      </w:r>
      <w:r>
        <w:rPr>
          <w:rFonts w:eastAsia="Wingdings" w:cs="Wingdings" w:ascii="Wingdings" w:hAnsi="Wingdings"/>
          <w:b/>
          <w:color w:val="2E74B5"/>
          <w:vertAlign w:val="superscript"/>
          <w:lang w:val="en-US" w:eastAsia="ru-RU"/>
        </w:rPr>
        <w:sym w:font="Wingdings" w:char="f02a"/>
      </w:r>
      <w:r>
        <w:rPr>
          <w:rFonts w:eastAsia="Times New Roman" w:cs="Times New Roman" w:ascii="Times New Roman" w:hAnsi="Times New Roman"/>
          <w:b/>
          <w:lang w:val="kk-KZ" w:eastAsia="ru-RU"/>
        </w:rPr>
        <w:t>,</w:t>
      </w:r>
      <w:r>
        <w:rPr>
          <w:rFonts w:eastAsia="Times New Roman" w:cs="Times New Roman" w:ascii="Times New Roman" w:hAnsi="Times New Roman"/>
          <w:b/>
          <w:vertAlign w:val="superscript"/>
          <w:lang w:val="kk-KZ" w:eastAsia="ru-RU"/>
        </w:rPr>
        <w:t>2</w:t>
      </w:r>
      <w:r>
        <w:rPr>
          <w:rFonts w:eastAsia="Times New Roman" w:cs="Times New Roman" w:ascii="Times New Roman" w:hAnsi="Times New Roman"/>
          <w:b/>
          <w:lang w:val="en-US" w:eastAsia="ru-RU"/>
        </w:rPr>
        <w:t>I.M.Shmidt-Fedotova</w:t>
      </w:r>
      <w:r>
        <w:rPr/>
        <w:drawing>
          <wp:inline distT="0" distB="0" distL="0" distR="0">
            <wp:extent cx="136525" cy="136525"/>
            <wp:effectExtent l="0" t="0" r="0" b="0"/>
            <wp:docPr id="33" name="Рисунок 60" descr="D:\Desktop\иконка.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60" descr="D:\Desktop\иконка.png">
                      <a:hlinkClick r:id="rId77"/>
                    </pic:cNvPr>
                    <pic:cNvPicPr>
                      <a:picLocks noChangeAspect="1" noChangeArrowheads="1"/>
                    </pic:cNvPicPr>
                  </pic:nvPicPr>
                  <pic:blipFill>
                    <a:blip r:embed="rId76"/>
                    <a:stretch>
                      <a:fillRect/>
                    </a:stretch>
                  </pic:blipFill>
                  <pic:spPr bwMode="auto">
                    <a:xfrm>
                      <a:off x="0" y="0"/>
                      <a:ext cx="136525" cy="136525"/>
                    </a:xfrm>
                    <a:prstGeom prst="rect">
                      <a:avLst/>
                    </a:prstGeom>
                    <a:noFill/>
                  </pic:spPr>
                </pic:pic>
              </a:graphicData>
            </a:graphic>
          </wp:inline>
        </w:drawing>
      </w:r>
    </w:p>
    <w:p>
      <w:pPr>
        <w:pStyle w:val="Normal"/>
        <w:spacing w:lineRule="auto" w:line="240" w:before="0" w:after="0"/>
        <w:ind w:firstLine="567"/>
        <w:jc w:val="center"/>
        <w:rPr>
          <w:rFonts w:ascii="Times New Roman" w:hAnsi="Times New Roman" w:eastAsia="Calibri" w:cs="Times New Roman"/>
          <w:i/>
          <w:i/>
          <w:sz w:val="20"/>
          <w:szCs w:val="20"/>
          <w:lang w:val="en-US"/>
        </w:rPr>
      </w:pPr>
      <w:r>
        <w:rPr>
          <w:rFonts w:eastAsia="Calibri" w:cs="Times New Roman" w:ascii="Times New Roman" w:hAnsi="Times New Roman"/>
          <w:i/>
          <w:sz w:val="20"/>
          <w:szCs w:val="20"/>
          <w:vertAlign w:val="superscript"/>
          <w:lang w:val="kk-KZ"/>
        </w:rPr>
        <w:t>1</w:t>
      </w:r>
      <w:r>
        <w:rPr>
          <w:rFonts w:eastAsia="Times New Roman" w:cs="Times New Roman" w:ascii="Times New Roman" w:hAnsi="Times New Roman"/>
          <w:i/>
          <w:sz w:val="20"/>
          <w:szCs w:val="20"/>
          <w:lang w:val="en-US" w:eastAsia="ru-RU"/>
        </w:rPr>
        <w:t xml:space="preserve"> K.Kulazhanov named Kazakh University of Technology and Business</w:t>
      </w:r>
      <w:r>
        <w:rPr>
          <w:rFonts w:eastAsia="Calibri" w:cs="Times New Roman" w:ascii="Times New Roman" w:hAnsi="Times New Roman"/>
          <w:i/>
          <w:sz w:val="20"/>
          <w:szCs w:val="20"/>
          <w:lang w:val="kk-KZ"/>
        </w:rPr>
        <w:t xml:space="preserve">, </w:t>
      </w:r>
      <w:r>
        <w:rPr>
          <w:rFonts w:eastAsia="Calibri" w:cs="Times New Roman" w:ascii="Times New Roman" w:hAnsi="Times New Roman"/>
          <w:i/>
          <w:sz w:val="20"/>
          <w:szCs w:val="20"/>
          <w:lang w:val="en-US"/>
        </w:rPr>
        <w:t>Astana</w:t>
      </w:r>
      <w:r>
        <w:rPr>
          <w:rFonts w:eastAsia="Calibri" w:cs="Times New Roman" w:ascii="Times New Roman" w:hAnsi="Times New Roman"/>
          <w:i/>
          <w:sz w:val="20"/>
          <w:szCs w:val="20"/>
          <w:lang w:val="kk-KZ"/>
        </w:rPr>
        <w:t>, Kazakhstan,</w:t>
      </w:r>
    </w:p>
    <w:p>
      <w:pPr>
        <w:pStyle w:val="Normal"/>
        <w:spacing w:lineRule="auto" w:line="240" w:before="0" w:after="0"/>
        <w:ind w:firstLine="567"/>
        <w:jc w:val="center"/>
        <w:rPr>
          <w:rFonts w:ascii="Times New Roman" w:hAnsi="Times New Roman" w:eastAsia="Calibri" w:cs="Times New Roman"/>
          <w:i/>
          <w:i/>
          <w:sz w:val="20"/>
          <w:szCs w:val="20"/>
          <w:lang w:val="kk-KZ"/>
        </w:rPr>
      </w:pPr>
      <w:r>
        <w:rPr>
          <w:rFonts w:eastAsia="Calibri" w:cs="Times New Roman" w:ascii="Times New Roman" w:hAnsi="Times New Roman"/>
          <w:i/>
          <w:sz w:val="20"/>
          <w:szCs w:val="20"/>
          <w:vertAlign w:val="superscript"/>
          <w:lang w:val="kk-KZ"/>
        </w:rPr>
        <w:t>2</w:t>
      </w:r>
      <w:r>
        <w:rPr>
          <w:rFonts w:eastAsia="Calibri" w:cs="Times New Roman" w:ascii="Times New Roman" w:hAnsi="Times New Roman"/>
          <w:i/>
          <w:sz w:val="20"/>
          <w:szCs w:val="20"/>
          <w:lang w:val="kk-KZ"/>
        </w:rPr>
        <w:t>Abylkas Saginov Karaganda Technical University, Karaganda, Kazakhstan</w:t>
      </w:r>
    </w:p>
    <w:p>
      <w:pPr>
        <w:pStyle w:val="Normal"/>
        <w:spacing w:lineRule="auto" w:line="240" w:before="0" w:after="0"/>
        <w:rPr>
          <w:rFonts w:ascii="Times New Roman" w:hAnsi="Times New Roman" w:eastAsia="Calibri" w:cs="Times New Roman"/>
          <w:b/>
          <w:sz w:val="20"/>
          <w:szCs w:val="20"/>
          <w:lang w:val="kk-KZ"/>
        </w:rPr>
      </w:pPr>
      <w:r>
        <w:rPr>
          <w:rFonts w:eastAsia="Calibri" w:cs="Times New Roman" w:ascii="Times New Roman" w:hAnsi="Times New Roman"/>
          <w:b/>
          <w:sz w:val="20"/>
          <w:szCs w:val="20"/>
          <w:lang w:val="kk-KZ"/>
        </w:rPr>
      </w:r>
    </w:p>
    <w:p>
      <w:pPr>
        <w:pStyle w:val="Normal"/>
        <w:spacing w:lineRule="auto" w:line="240" w:before="0" w:after="0"/>
        <w:rPr>
          <w:rFonts w:ascii="Times New Roman" w:hAnsi="Times New Roman" w:eastAsia="Calibri" w:cs="Times New Roman"/>
          <w:i/>
          <w:i/>
          <w:sz w:val="20"/>
          <w:szCs w:val="20"/>
          <w:lang w:val="kk-KZ"/>
        </w:rPr>
      </w:pPr>
      <w:r>
        <w:rPr>
          <w:rFonts w:eastAsia="Wingdings" w:cs="Wingdings" w:ascii="Wingdings" w:hAnsi="Wingdings"/>
          <w:b/>
          <w:color w:val="2E74B5"/>
          <w:sz w:val="20"/>
          <w:szCs w:val="20"/>
          <w:vertAlign w:val="superscript"/>
          <w:lang w:val="en-US"/>
        </w:rPr>
        <w:sym w:font="Wingdings" w:char="f02a"/>
      </w:r>
      <w:r>
        <w:rPr>
          <w:rFonts w:eastAsia="Calibri" w:cs="Times New Roman" w:ascii="Times New Roman" w:hAnsi="Times New Roman"/>
          <w:sz w:val="20"/>
          <w:szCs w:val="20"/>
          <w:lang w:val="en-US"/>
        </w:rPr>
        <w:t>Correspondent-author</w:t>
      </w:r>
      <w:r>
        <w:rPr>
          <w:rFonts w:eastAsia="Calibri" w:cs="Times New Roman" w:ascii="Times New Roman" w:hAnsi="Times New Roman"/>
          <w:sz w:val="20"/>
          <w:szCs w:val="20"/>
          <w:lang w:val="kk-KZ"/>
        </w:rPr>
        <w:t>:</w:t>
      </w:r>
      <w:r>
        <w:rPr>
          <w:rFonts w:eastAsia="Calibri" w:cs="Times New Roman" w:ascii="Times New Roman" w:hAnsi="Times New Roman"/>
          <w:sz w:val="20"/>
          <w:szCs w:val="20"/>
          <w:lang w:val="en-US"/>
        </w:rPr>
        <w:t xml:space="preserve"> </w:t>
      </w:r>
      <w:r>
        <w:rPr>
          <w:rFonts w:eastAsia="Calibri" w:cs="Times New Roman" w:ascii="Times New Roman" w:hAnsi="Times New Roman"/>
          <w:i/>
          <w:sz w:val="20"/>
          <w:szCs w:val="20"/>
          <w:lang w:val="kk-KZ"/>
        </w:rPr>
        <w:t>assalamm@mail.ru.</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The article presents options for modernizing the technology for extracting gold-bearing ore, depending on geological and mining conditions, and discusses various technological solutions to improve technologies. Based on review, analysis and generalization in specific geological and mining conditions, the optimal width of the working site was proposed. Continuous geotechnical monitoring should be carried out at all stages of quarry development, including visual inspection of slope conditions, crack mapping, and collection of deformation and groundwater data. The following information should be recorded during monitoring: geological characteristics of the slope, engineering-geological characteristics for classifying the rock mass, slope geometry, monitoring of damage as a result of drilling and blasting operations, water seepage, quality and efficiency of cleaning, monitoring of existing cracks and collapses.</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Key words: mining technology, working platform width, bench height, geotechnical monitoring, bench cleaning, gold-bearing ore.</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ГЕОЛОГИЯЛЫҚ ЖӘНЕ ТАУ КЕН ТЕХНИКАЛЫҚ ЖАҒДАЙЛАРЫНА БАЙЛАНЫСТЫ ҚҰРАМЫНДА АЛТЫН БАР КЕНДІ АЛУ ТЕХНОЛОГИЯСЫН ЖАҢҒЫРТУ</w:t>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vertAlign w:val="superscript"/>
          <w:lang w:val="kk-KZ"/>
        </w:rPr>
        <w:t>1</w:t>
      </w:r>
      <w:r>
        <w:rPr>
          <w:rFonts w:eastAsia="Calibri" w:cs="Times New Roman" w:ascii="Times New Roman" w:hAnsi="Times New Roman"/>
          <w:b/>
          <w:lang w:val="kk-KZ"/>
        </w:rPr>
        <w:t xml:space="preserve">Даулетжанова Ж.Т., </w:t>
      </w:r>
      <w:r>
        <w:rPr>
          <w:rFonts w:eastAsia="Calibri" w:cs="Times New Roman" w:ascii="Times New Roman" w:hAnsi="Times New Roman"/>
          <w:b/>
          <w:vertAlign w:val="superscript"/>
          <w:lang w:val="kk-KZ"/>
        </w:rPr>
        <w:t>2</w:t>
      </w:r>
      <w:r>
        <w:rPr>
          <w:rFonts w:eastAsia="Calibri" w:cs="Times New Roman" w:ascii="Times New Roman" w:hAnsi="Times New Roman"/>
          <w:b/>
          <w:lang w:val="kk-KZ"/>
        </w:rPr>
        <w:t>А.М.Захаров</w:t>
      </w:r>
      <w:r>
        <w:rPr>
          <w:rFonts w:eastAsia="Wingdings" w:cs="Wingdings" w:ascii="Wingdings" w:hAnsi="Wingdings"/>
          <w:b/>
          <w:color w:val="2E74B5"/>
          <w:vertAlign w:val="superscript"/>
          <w:lang w:val="en-US"/>
        </w:rPr>
        <w:sym w:font="Wingdings" w:char="f02a"/>
      </w:r>
      <w:r>
        <w:rPr>
          <w:rFonts w:eastAsia="Calibri" w:cs="Times New Roman" w:ascii="Times New Roman" w:hAnsi="Times New Roman"/>
          <w:b/>
          <w:lang w:val="kk-KZ"/>
        </w:rPr>
        <w:t>,</w:t>
      </w:r>
      <w:r>
        <w:rPr>
          <w:rFonts w:eastAsia="Calibri" w:cs="Times New Roman" w:ascii="Calibri" w:hAnsi="Calibri"/>
          <w:b/>
        </w:rPr>
        <w:t xml:space="preserve"> </w:t>
      </w:r>
      <w:r>
        <w:rPr>
          <w:rFonts w:eastAsia="Calibri" w:cs="Times New Roman" w:ascii="Times New Roman" w:hAnsi="Times New Roman"/>
          <w:b/>
          <w:lang w:val="kk-KZ"/>
        </w:rPr>
        <w:t xml:space="preserve"> </w:t>
      </w:r>
      <w:r>
        <w:rPr>
          <w:rFonts w:eastAsia="Calibri" w:cs="Times New Roman" w:ascii="Times New Roman" w:hAnsi="Times New Roman"/>
          <w:b/>
          <w:vertAlign w:val="superscript"/>
          <w:lang w:val="kk-KZ"/>
        </w:rPr>
        <w:t>2</w:t>
      </w:r>
      <w:r>
        <w:rPr>
          <w:rFonts w:eastAsia="Calibri" w:cs="Times New Roman" w:ascii="Times New Roman" w:hAnsi="Times New Roman"/>
          <w:b/>
          <w:lang w:val="kk-KZ"/>
        </w:rPr>
        <w:t>Шмидт-Федотова И.М.</w:t>
      </w:r>
    </w:p>
    <w:p>
      <w:pPr>
        <w:pStyle w:val="Normal"/>
        <w:spacing w:lineRule="auto" w:line="240" w:before="0" w:after="0"/>
        <w:ind w:firstLine="567"/>
        <w:jc w:val="center"/>
        <w:rPr>
          <w:rFonts w:ascii="Times New Roman" w:hAnsi="Times New Roman" w:eastAsia="Calibri" w:cs="Times New Roman"/>
          <w:i/>
          <w:i/>
          <w:sz w:val="20"/>
          <w:szCs w:val="20"/>
          <w:lang w:val="kk-KZ"/>
        </w:rPr>
      </w:pPr>
      <w:r>
        <w:rPr>
          <w:rFonts w:eastAsia="Calibri" w:cs="Times New Roman" w:ascii="Times New Roman" w:hAnsi="Times New Roman"/>
          <w:i/>
          <w:sz w:val="20"/>
          <w:szCs w:val="20"/>
          <w:vertAlign w:val="superscript"/>
          <w:lang w:val="kk-KZ"/>
        </w:rPr>
        <w:t>1</w:t>
      </w:r>
      <w:r>
        <w:rPr>
          <w:rFonts w:eastAsia="Times New Roman" w:cs="Times New Roman" w:ascii="Times New Roman" w:hAnsi="Times New Roman"/>
          <w:i/>
          <w:sz w:val="20"/>
          <w:szCs w:val="20"/>
          <w:lang w:eastAsia="ru-RU"/>
        </w:rPr>
        <w:t xml:space="preserve"> Қ.Құлажанов атындағы Қазақ технология және бизнес университеті</w:t>
      </w:r>
      <w:r>
        <w:rPr>
          <w:rFonts w:eastAsia="Calibri" w:cs="Times New Roman" w:ascii="Times New Roman" w:hAnsi="Times New Roman"/>
          <w:i/>
          <w:sz w:val="20"/>
          <w:szCs w:val="20"/>
          <w:lang w:val="kk-KZ"/>
        </w:rPr>
        <w:t>, Астана, Қазақстан,</w:t>
      </w:r>
    </w:p>
    <w:p>
      <w:pPr>
        <w:pStyle w:val="Normal"/>
        <w:spacing w:lineRule="auto" w:line="240" w:before="0" w:after="0"/>
        <w:ind w:firstLine="567"/>
        <w:jc w:val="center"/>
        <w:rPr>
          <w:rFonts w:ascii="Times New Roman" w:hAnsi="Times New Roman" w:eastAsia="Calibri" w:cs="Times New Roman"/>
          <w:i/>
          <w:i/>
          <w:sz w:val="20"/>
          <w:szCs w:val="20"/>
          <w:lang w:val="kk-KZ"/>
        </w:rPr>
      </w:pPr>
      <w:r>
        <w:rPr>
          <w:rFonts w:eastAsia="Calibri" w:cs="Times New Roman" w:ascii="Times New Roman" w:hAnsi="Times New Roman"/>
          <w:i/>
          <w:sz w:val="20"/>
          <w:szCs w:val="20"/>
          <w:vertAlign w:val="superscript"/>
          <w:lang w:val="kk-KZ"/>
        </w:rPr>
        <w:t>2</w:t>
      </w:r>
      <w:r>
        <w:rPr>
          <w:rFonts w:eastAsia="Calibri" w:cs="Times New Roman" w:ascii="Times New Roman" w:hAnsi="Times New Roman"/>
          <w:i/>
          <w:sz w:val="20"/>
          <w:szCs w:val="20"/>
          <w:lang w:val="kk-KZ"/>
        </w:rPr>
        <w:t>Әбілқас Сағынов атындағы Қарағанды техникалық университеті, Қарағанды, Қазақстан,</w:t>
      </w:r>
    </w:p>
    <w:p>
      <w:pPr>
        <w:pStyle w:val="Normal"/>
        <w:spacing w:lineRule="auto" w:line="240" w:before="0" w:after="0"/>
        <w:ind w:firstLine="567"/>
        <w:jc w:val="center"/>
        <w:rPr>
          <w:rFonts w:ascii="Times New Roman" w:hAnsi="Times New Roman" w:eastAsia="Calibri" w:cs="Times New Roman"/>
          <w:i/>
          <w:i/>
          <w:sz w:val="20"/>
          <w:szCs w:val="20"/>
          <w:lang w:val="kk-KZ"/>
        </w:rPr>
      </w:pPr>
      <w:r>
        <w:rPr>
          <w:rFonts w:eastAsia="Calibri" w:cs="Times New Roman" w:ascii="Times New Roman" w:hAnsi="Times New Roman"/>
          <w:i/>
          <w:sz w:val="20"/>
          <w:szCs w:val="20"/>
          <w:lang w:val="kk-KZ"/>
        </w:rPr>
        <w:t>e-mail: assalamm@mail.ru.</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Мақалада геологиялық және тау-кен жағдайларына байланысты алтын кендерін алу технологиясын модернизациялау нұсқалары келтірілген, технологияларды жақсарту үшін әртүрлі технологиялық шешімдер қарастырылған. Нақты геологиялық және тау-кен жағдайларында шолу, талдау және жалпылау негізінде жұмыс алаңының оңтайлы ені ұсынылады. Карьерді дамытудың барлық кезеңдерінде беткейлердің жай-күйін визуалды тексеруді, жарықтарды картаға түсіруді, деформациялар мен жер асты сулары бойынша деректерді жинауды қамтитын үздіксіз геотехникалық мониторинг жүргізілуі тиіс. Мониторинг кезінде мынадай ақпарат тіркелуі тиіс: борттың геологиялық сипаттамалары, тау жыныстары массивін жіктеуге арналған инженерлік-геологиялық сипаттамалар, борттың геометриясы, бұрғылау-жару жұмыстарының нәтижесінде жойылуларды бақылау, судың ағуы, тазалаудың сапасы мен тиімділігі, бар жарықтар мен құлауларды бақылау.</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Түйінді сөздер: өндіру технологиясы, жұмыс алаңының ені, жиектің биіктігі, геотехникалық мониторинг, жиектерді тазарту, құрамында алтын бар кен.</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МОДЕРНИЗАЦИЯ ТЕХНОЛОГИИ ВЫЕМКИ ЗОЛОТОСОДЕРЖАЩЕЙ РУДЫ В ЗАВИСИМОСТИ ОТ ГЕОЛОГИЧЕСКИХ И ГОРНОТЕХНИЧЕСКИХ УСЛОВИЙ</w:t>
      </w:r>
    </w:p>
    <w:p>
      <w:pPr>
        <w:pStyle w:val="Normal"/>
        <w:spacing w:lineRule="auto" w:line="240" w:before="0" w:after="0"/>
        <w:rPr>
          <w:rFonts w:ascii="Times New Roman" w:hAnsi="Times New Roman" w:eastAsia="Calibri" w:cs="Times New Roman"/>
          <w:b/>
          <w:lang w:val="kk-KZ"/>
        </w:rPr>
      </w:pPr>
      <w:r>
        <w:rPr>
          <w:rFonts w:eastAsia="Calibri" w:cs="Times New Roman" w:ascii="Times New Roman" w:hAnsi="Times New Roman"/>
          <w:b/>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 xml:space="preserve">Ж.Т. Даулетжанова, </w:t>
      </w:r>
      <w:r>
        <w:rPr>
          <w:rFonts w:eastAsia="Calibri" w:cs="Times New Roman" w:ascii="Times New Roman" w:hAnsi="Times New Roman"/>
          <w:b/>
          <w:vertAlign w:val="superscript"/>
          <w:lang w:val="kk-KZ"/>
        </w:rPr>
        <w:t>2</w:t>
      </w:r>
      <w:r>
        <w:rPr>
          <w:rFonts w:eastAsia="Calibri" w:cs="Times New Roman" w:ascii="Times New Roman" w:hAnsi="Times New Roman"/>
          <w:b/>
          <w:lang w:val="kk-KZ"/>
        </w:rPr>
        <w:t>А.М.Захаров</w:t>
      </w:r>
      <w:r>
        <w:rPr>
          <w:rFonts w:eastAsia="Wingdings" w:cs="Wingdings" w:ascii="Wingdings" w:hAnsi="Wingdings"/>
          <w:b/>
          <w:color w:val="2E74B5"/>
          <w:vertAlign w:val="superscript"/>
          <w:lang w:val="en-US"/>
        </w:rPr>
        <w:sym w:font="Wingdings" w:char="f02a"/>
      </w:r>
      <w:r>
        <w:rPr>
          <w:rFonts w:eastAsia="Calibri" w:cs="Times New Roman" w:ascii="Times New Roman" w:hAnsi="Times New Roman"/>
          <w:b/>
          <w:lang w:val="kk-KZ"/>
        </w:rPr>
        <w:t>,</w:t>
      </w:r>
      <w:r>
        <w:rPr>
          <w:rFonts w:eastAsia="Calibri" w:cs="Times New Roman" w:ascii="Calibri" w:hAnsi="Calibri"/>
          <w:b/>
        </w:rPr>
        <w:t xml:space="preserve"> </w:t>
      </w:r>
      <w:r>
        <w:rPr>
          <w:rFonts w:eastAsia="Calibri" w:cs="Times New Roman" w:ascii="Times New Roman" w:hAnsi="Times New Roman"/>
          <w:b/>
          <w:vertAlign w:val="superscript"/>
          <w:lang w:val="kk-KZ"/>
        </w:rPr>
        <w:t>2</w:t>
      </w:r>
      <w:r>
        <w:rPr>
          <w:rFonts w:eastAsia="Calibri" w:cs="Times New Roman" w:ascii="Times New Roman" w:hAnsi="Times New Roman"/>
          <w:b/>
          <w:lang w:val="kk-KZ"/>
        </w:rPr>
        <w:t xml:space="preserve">  И.М.Шмидт-Федотова</w:t>
      </w:r>
    </w:p>
    <w:p>
      <w:pPr>
        <w:pStyle w:val="Normal"/>
        <w:spacing w:lineRule="auto" w:line="240" w:before="0" w:after="0"/>
        <w:ind w:firstLine="567"/>
        <w:jc w:val="center"/>
        <w:rPr>
          <w:rFonts w:ascii="Times New Roman" w:hAnsi="Times New Roman" w:eastAsia="Calibri" w:cs="Times New Roman"/>
          <w:i/>
          <w:i/>
          <w:sz w:val="20"/>
          <w:szCs w:val="20"/>
          <w:lang w:val="kk-KZ"/>
        </w:rPr>
      </w:pPr>
      <w:r>
        <w:rPr>
          <w:rFonts w:eastAsia="Calibri" w:cs="Times New Roman" w:ascii="Times New Roman" w:hAnsi="Times New Roman"/>
          <w:i/>
          <w:sz w:val="20"/>
          <w:szCs w:val="20"/>
          <w:vertAlign w:val="superscript"/>
          <w:lang w:val="kk-KZ"/>
        </w:rPr>
        <w:t>1</w:t>
      </w:r>
      <w:r>
        <w:rPr>
          <w:rFonts w:eastAsia="Calibri" w:cs="Times New Roman" w:ascii="Times New Roman" w:hAnsi="Times New Roman"/>
          <w:i/>
          <w:sz w:val="20"/>
          <w:szCs w:val="20"/>
          <w:lang w:val="kk-KZ"/>
        </w:rPr>
        <w:t>Казахский университет технологии и бизнеса им.К.Кулажанова, г. Астана, Казахстан,</w:t>
      </w:r>
    </w:p>
    <w:p>
      <w:pPr>
        <w:pStyle w:val="Normal"/>
        <w:spacing w:lineRule="auto" w:line="240" w:before="0" w:after="0"/>
        <w:ind w:firstLine="567"/>
        <w:jc w:val="center"/>
        <w:rPr>
          <w:rFonts w:ascii="Times New Roman" w:hAnsi="Times New Roman" w:eastAsia="Calibri" w:cs="Times New Roman"/>
          <w:i/>
          <w:i/>
          <w:sz w:val="20"/>
          <w:szCs w:val="20"/>
          <w:lang w:val="kk-KZ"/>
        </w:rPr>
      </w:pPr>
      <w:r>
        <w:rPr>
          <w:rFonts w:eastAsia="Calibri" w:cs="Times New Roman" w:ascii="Times New Roman" w:hAnsi="Times New Roman"/>
          <w:i/>
          <w:sz w:val="20"/>
          <w:szCs w:val="20"/>
          <w:vertAlign w:val="superscript"/>
          <w:lang w:val="kk-KZ"/>
        </w:rPr>
        <w:t>2</w:t>
      </w:r>
      <w:r>
        <w:rPr>
          <w:rFonts w:eastAsia="Calibri" w:cs="Times New Roman" w:ascii="Times New Roman" w:hAnsi="Times New Roman"/>
          <w:i/>
          <w:sz w:val="20"/>
          <w:szCs w:val="20"/>
          <w:lang w:val="kk-KZ"/>
        </w:rPr>
        <w:t>Карагандинский технический университет имени Абылкаса Сагинова, г. Караганда, Казахстан,</w:t>
      </w:r>
    </w:p>
    <w:p>
      <w:pPr>
        <w:pStyle w:val="Normal"/>
        <w:spacing w:lineRule="auto" w:line="240" w:before="0" w:after="0"/>
        <w:ind w:firstLine="567"/>
        <w:jc w:val="center"/>
        <w:rPr>
          <w:rFonts w:ascii="Times New Roman" w:hAnsi="Times New Roman" w:eastAsia="Calibri" w:cs="Times New Roman"/>
          <w:i/>
          <w:i/>
          <w:sz w:val="20"/>
          <w:szCs w:val="20"/>
          <w:lang w:val="en-US"/>
        </w:rPr>
      </w:pPr>
      <w:r>
        <w:rPr>
          <w:rFonts w:eastAsia="Calibri" w:cs="Times New Roman" w:ascii="Times New Roman" w:hAnsi="Times New Roman"/>
          <w:i/>
          <w:sz w:val="20"/>
          <w:szCs w:val="20"/>
          <w:lang w:val="en-US"/>
        </w:rPr>
        <w:t>e-mail: assalamm@mail.ru.</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В статье приведены варианты модернизации технологии выемки золотосодержащей руды в зависимости от геологических и горнотехнических условий, рассмотрены различные технологические решения для улучшения технологий. На основе обзора, анализа и обобщения в конкретных геологических и горнотехнических условиях предложена оптимальная ширина рабочей площадке. На всех этапах разработки карьера должен проводиться непрерывный геотехнический мониторинг, включающий в себя визуальный осмотр состояния откосов, картирование трещин, сбор данных по деформациям и подземным водам. При мониторинге должна фиксироваться следующая информация: геологические характеристики борта, инженерно-геологические характеристики для классификации массива пород, геометрия борта, наблюдение за разрушениями в результате буровзрывных работ, просачивание воды, качество и эффективность зачистки, наблюдения за имеющимися трещинами и обрушениями.</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b/>
          <w:sz w:val="24"/>
          <w:szCs w:val="24"/>
          <w:lang w:val="kk-KZ"/>
        </w:rPr>
        <w:t>Ключевые слова:</w:t>
      </w:r>
      <w:r>
        <w:rPr>
          <w:rFonts w:eastAsia="Calibri" w:cs="Times New Roman" w:ascii="Times New Roman" w:hAnsi="Times New Roman"/>
          <w:sz w:val="24"/>
          <w:szCs w:val="24"/>
          <w:lang w:val="kk-KZ"/>
        </w:rPr>
        <w:t xml:space="preserve"> технология добычи, ширина рабочей площадки, высота уступа, геотехнический мониторинг, зачистка уступов, золотосодержащая руда.</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b/>
          <w:sz w:val="24"/>
          <w:szCs w:val="24"/>
          <w:lang w:val="en-US"/>
        </w:rPr>
        <w:t>Introduction.</w:t>
      </w:r>
      <w:r>
        <w:rPr>
          <w:rFonts w:eastAsia="Calibri" w:cs="Times New Roman" w:ascii="Times New Roman" w:hAnsi="Times New Roman"/>
          <w:sz w:val="24"/>
          <w:szCs w:val="24"/>
          <w:lang w:val="en-US"/>
        </w:rPr>
        <w:t xml:space="preserve"> Novodneprovskaya territory is located 40-70 km southwest of the city of Shchuchinsk. The area of the geological allotment is 44.3 square km.</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Within the geological allotment, two isolated gold-bearing ore fields are distinguished - Novodneprovskoe and Raigorodskoe, which includes the Northern Raygorodok and Southern Raygorodok gold-bearing deposits.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Industrial development of the Northern Raygorodok deposit has been ongoing since 2010, and the Southern Raygorodok deposit since 2015. Oxidized ores of the deposits are processed by heap leaching.</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xml:space="preserve">Open-pit mining of oxidized and mixed ores is carried out. The climate of the area is sharply continental with dry and cool summers (with some hot days) and cold, with prolonged frosts and strong winds in winter. </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described area belongs to the North Kazakhstan gold-bearing province, which is a product of tectonic and magmatic events that occurred during accretionary collision processes in the early Caledonian period on the eastern border of the ancient Kokchetav massif and the Seletino-Stepnyak system of island arcs of the early Paleozoic. An important role in these processes was played by the processes of redistribution and concentration of metals from Precambrian rocks and island arcs. The Northern and Southern Raygorodok gold-bearing deposits are a type of porphyry-epithermal ore-magmatic system in the accretionary continental margin. The Raigorod ore field is confined to the volcanotectonic structure of the same name.</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In regional terms, the work area is located in the border area between two large first-order structures - the Kokchetav middle massif and the Teniz depression, which are fundamentally different in geological structure and development history.</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This led to the complex geological structure of the area, intense magmatism and widespread development of faults. Weathering crusts of areal and linear types are widely developed in the area of the deposit. The thickness of the areal weathering crusts reaches 70 m, linear (in the eastern part of the deposit) 120-180 m. The boundary of the oxidized ore zone follows the boundary of the weathering crust and is located at depths of about 40-100 m, which made it possible to mine the first stage of the quarry with a depth of up to 80-100 m without the use of drilling and blasting operations. In stockwork bodies, the two noted morphological types often accompany each other in various combinations and combinations [1, 2]. Ore zones and bodies have a linear morphology with a steep dip.</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length of individual ore bodies varies from tens to 645 m, and thickness - from a meter to 65 m, while vein-like ore bodies usually have an insignificant thickness of up to 3 m and a small extent (up to 100 m) with pinching out along strike and dip.</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depth of mineralization exceeds 750-850 m, and with depth there is no tendency for ore bodies to pinch out, and the gold content increases.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b/>
          <w:sz w:val="24"/>
          <w:szCs w:val="24"/>
          <w:lang w:val="en-US"/>
        </w:rPr>
        <w:t>Materials and Methods.</w:t>
      </w:r>
      <w:r>
        <w:rPr>
          <w:rFonts w:eastAsia="Calibri" w:cs="Times New Roman" w:ascii="Times New Roman" w:hAnsi="Times New Roman"/>
          <w:sz w:val="24"/>
          <w:szCs w:val="24"/>
          <w:lang w:val="en-US"/>
        </w:rPr>
        <w:t xml:space="preserve"> There is a certain pattern in the distribution of ore bodies - the center of the mineralized strip is maximally saturated with closely spaced ore bodies of irregular shape, on the flanks they are less common and spatially separated. This is explained by the development of a predominantly stockwork type in the center, and vein and isolated stockwork type on the flanks. The gold content changes literally at a distance of the first meters [3].</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Extraction unit is the smallest economically and technologically optimal section of a deposit with a reliable calculation of initial reserves (block, panel, longwall, part of a ledge), the development of which is carried out by a unified development system and technological scheme of extraction, according to which the most accurate separate accounting of production can be carried out in terms of quantity and quality of minerals [4,5].</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Taking into account the peculiarities of the geological structure of the deposit, the most optimal excavation unit will be a ledge (horizon) with a height of 7.5 m, during the development of which it will be possible to most accurately ensure the accounting, condition and movement of reserves, losses and dilution.</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concept of a ledge - as an excavation unit corresponds to the definition and functions of a minimum section and meets the requirements for an excavation unit, because:</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economically and technologically justified optimal mining geometric unit by the project;</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with reliable calculation of initial ore reserves;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development of which is carried out by a unified development system and technological scheme of excavation;</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by which an accurate separate accounting of the extraction of ore mass can be carried out according to the quantity and content of metal (useful component) in it [6].</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For each mining unit, the subsoil user creates a passport reflecting the state and movement of mineral reserves, the actual fulfillment of loss and dilution indicators, and the state of mining operations.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provision of a quarry with ore reserves and volumes of overburden ready for extraction are expressed for the period of operation in months or fractions of a year, based on its planned productivity in the next year; When putting capacity into operation, the availability of the quarry is calculated: for minerals - based on the amount of capacity introduced and introduced in the next year, for overburden rocks - based on the planned productivity for overburden rocks for the coming year.</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With year-round operation, the quarry's supply is: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ready-to-excavate ore reserves – at least 2.5 months;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volumes of overburden rock ready for excavation - at least 2.5 months;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volumes of loose overburden ready for excavation - at least 1.8 months.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Based on the design capabilities of the adopted type of equipment, the height of the working benches is assumed to be 7.5 m.</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calculated value of the minimum permissible width of working platforms under standard conditions was determined taking into account the regulations for the placement of the excavator entry, the width of the shoulders, safety strips and the safety shaft was 50 m (Figure 1) [7].</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eastAsia="Calibri" w:cs="Times New Roman"/>
          <w:sz w:val="24"/>
          <w:szCs w:val="24"/>
          <w:lang w:val="en-US"/>
        </w:rPr>
      </w:pPr>
      <w:r>
        <w:rPr/>
        <w:drawing>
          <wp:inline distT="0" distB="0" distL="0" distR="0">
            <wp:extent cx="5356860" cy="1668145"/>
            <wp:effectExtent l="0" t="0" r="0" b="0"/>
            <wp:docPr id="34" name="Рисунок 61" descr="D:\работа\для чертеж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61" descr="D:\работа\для чертежа.jpg"/>
                    <pic:cNvPicPr>
                      <a:picLocks noChangeAspect="1" noChangeArrowheads="1"/>
                    </pic:cNvPicPr>
                  </pic:nvPicPr>
                  <pic:blipFill>
                    <a:blip r:embed="rId78"/>
                    <a:stretch>
                      <a:fillRect/>
                    </a:stretch>
                  </pic:blipFill>
                  <pic:spPr bwMode="auto">
                    <a:xfrm>
                      <a:off x="0" y="0"/>
                      <a:ext cx="5356860" cy="1668145"/>
                    </a:xfrm>
                    <a:prstGeom prst="rect">
                      <a:avLst/>
                    </a:prstGeom>
                    <a:noFill/>
                  </pic:spPr>
                </pic:pic>
              </a:graphicData>
            </a:graphic>
          </wp:inline>
        </w:drawing>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360" w:before="0" w:after="0"/>
        <w:ind w:firstLine="426"/>
        <w:jc w:val="center"/>
        <w:rPr>
          <w:rFonts w:ascii="Times New Roman" w:hAnsi="Times New Roman" w:eastAsia="Calibri" w:cs="Times New Roman"/>
          <w:b/>
          <w:sz w:val="20"/>
          <w:szCs w:val="20"/>
          <w:lang w:val="en-US"/>
        </w:rPr>
      </w:pPr>
      <w:r>
        <w:rPr>
          <w:rFonts w:eastAsia="Calibri" w:cs="Times New Roman" w:ascii="Times New Roman" w:hAnsi="Times New Roman"/>
          <w:b/>
          <w:sz w:val="20"/>
          <w:szCs w:val="20"/>
          <w:lang w:val="en-US"/>
        </w:rPr>
        <w:t>Fig. 1 - Working platform width</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width of the working platform is determined by the formula:</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ind w:firstLine="567"/>
        <w:jc w:val="center"/>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Ww.p.= B+Pp+Pо+P'о+Pb+ P'b, m</w:t>
      </w:r>
    </w:p>
    <w:p>
      <w:pPr>
        <w:pStyle w:val="Normal"/>
        <w:spacing w:lineRule="auto" w:line="240" w:before="0" w:after="0"/>
        <w:ind w:firstLine="567"/>
        <w:jc w:val="center"/>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where B - Full width of rock collapse after explosion;</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P'</w:t>
      </w:r>
      <w:r>
        <w:rPr>
          <w:rFonts w:eastAsia="Calibri" w:cs="Times New Roman" w:ascii="Times New Roman" w:hAnsi="Times New Roman"/>
          <w:sz w:val="24"/>
          <w:szCs w:val="24"/>
          <w:vertAlign w:val="subscript"/>
          <w:lang w:val="en-US"/>
        </w:rPr>
        <w:t>b</w:t>
      </w:r>
      <w:r>
        <w:rPr>
          <w:rFonts w:eastAsia="Calibri" w:cs="Times New Roman" w:ascii="Times New Roman" w:hAnsi="Times New Roman"/>
          <w:sz w:val="24"/>
          <w:szCs w:val="24"/>
          <w:lang w:val="en-US"/>
        </w:rPr>
        <w:t xml:space="preserve"> - Width of the safety strip between the first row of wells and the edge;</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P</w:t>
      </w:r>
      <w:r>
        <w:rPr>
          <w:rFonts w:eastAsia="Calibri" w:cs="Times New Roman" w:ascii="Times New Roman" w:hAnsi="Times New Roman"/>
          <w:sz w:val="24"/>
          <w:szCs w:val="24"/>
          <w:vertAlign w:val="subscript"/>
          <w:lang w:val="en-US"/>
        </w:rPr>
        <w:t>о</w:t>
      </w:r>
      <w:r>
        <w:rPr>
          <w:rFonts w:eastAsia="Calibri" w:cs="Times New Roman" w:ascii="Times New Roman" w:hAnsi="Times New Roman"/>
          <w:sz w:val="24"/>
          <w:szCs w:val="24"/>
          <w:lang w:val="en-US"/>
        </w:rPr>
        <w:t xml:space="preserve"> - Upland shoulder width;</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P</w:t>
      </w:r>
      <w:r>
        <w:rPr>
          <w:rFonts w:eastAsia="Calibri" w:cs="Times New Roman" w:ascii="Times New Roman" w:hAnsi="Times New Roman"/>
          <w:sz w:val="24"/>
          <w:szCs w:val="24"/>
          <w:vertAlign w:val="subscript"/>
          <w:lang w:val="en-US"/>
        </w:rPr>
        <w:t>p</w:t>
      </w:r>
      <w:r>
        <w:rPr>
          <w:rFonts w:eastAsia="Calibri" w:cs="Times New Roman" w:ascii="Times New Roman" w:hAnsi="Times New Roman"/>
          <w:sz w:val="24"/>
          <w:szCs w:val="24"/>
          <w:lang w:val="en-US"/>
        </w:rPr>
        <w:t xml:space="preserve"> - Roadway width;</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P</w:t>
      </w:r>
      <w:r>
        <w:rPr>
          <w:rFonts w:eastAsia="Calibri" w:cs="Times New Roman" w:ascii="Times New Roman" w:hAnsi="Times New Roman"/>
          <w:sz w:val="24"/>
          <w:szCs w:val="24"/>
          <w:vertAlign w:val="subscript"/>
          <w:lang w:val="en-US"/>
        </w:rPr>
        <w:t>'о</w:t>
      </w:r>
      <w:r>
        <w:rPr>
          <w:rFonts w:eastAsia="Calibri" w:cs="Times New Roman" w:ascii="Times New Roman" w:hAnsi="Times New Roman"/>
          <w:sz w:val="24"/>
          <w:szCs w:val="24"/>
          <w:lang w:val="en-US"/>
        </w:rPr>
        <w:t xml:space="preserve"> - Downstream curb width;</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P</w:t>
      </w:r>
      <w:r>
        <w:rPr>
          <w:rFonts w:eastAsia="Calibri" w:cs="Times New Roman" w:ascii="Times New Roman" w:hAnsi="Times New Roman"/>
          <w:sz w:val="24"/>
          <w:szCs w:val="24"/>
          <w:vertAlign w:val="subscript"/>
          <w:lang w:val="en-US"/>
        </w:rPr>
        <w:t>b</w:t>
      </w:r>
      <w:r>
        <w:rPr>
          <w:rFonts w:eastAsia="Calibri" w:cs="Times New Roman" w:ascii="Times New Roman" w:hAnsi="Times New Roman"/>
          <w:sz w:val="24"/>
          <w:szCs w:val="24"/>
          <w:lang w:val="en-US"/>
        </w:rPr>
        <w:t xml:space="preserve"> - Collapse prism width.</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When driving entry and cutting trenches, as well as when working in difficult, cramped conditions, working with a dead-end face is used [8].</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width of a dead-end face, as a rule, corresponds to two excavator radii. If the width of the dead-end face is less than two digging radii, the possibility of turning the excavator and safely placing vehicles in the trench is checked. The turning radius and length of the dump truck must correspond to unimpeded entry and loading at the face.</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b/>
          <w:sz w:val="24"/>
          <w:szCs w:val="24"/>
          <w:lang w:val="en-US"/>
        </w:rPr>
        <w:t>Results and Discussion.</w:t>
      </w:r>
      <w:r>
        <w:rPr>
          <w:rFonts w:eastAsia="Calibri" w:cs="Times New Roman" w:ascii="Times New Roman" w:hAnsi="Times New Roman"/>
          <w:sz w:val="24"/>
          <w:szCs w:val="24"/>
          <w:lang w:val="en-US"/>
        </w:rPr>
        <w:t xml:space="preserve"> In areas prone to deformation, it is recommended to carry out blasting operations in a gentle or controlled mode. Blasting can have a significant and often decisive impact on the behavior of slopes. Drilling and blasting with a controlled perimeter is recommended for all sides of the final pit contour provided for in the project. Controlled perimeter drilling and blasting technologies must be developed and their effectiveness verified before the beads are formed to the final design position [9]. The performance of each controlled explosion must be monitored and analyzed to ensure it remains consistent with changing conditions.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An important factor in ensuring the stability of the pit walls is the management of groundwater pressure. Groundwater pressure inside the edge and along structural differences can increase destabilizing (destructive) forces. These forces can be mitigated by using appropriate measures. Measures to reduce pressure in slopes should include the installation of drainage ditches. To stabilize slopes, wells for pumping water around the perimeter and horizontal drainages are recommended [10].</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An important activity is clearing the ledges. Cleaning involves removing suspended rocks from the surface of the slopes and subsequent cleaning at the base of the slope. Cleaning should be the final operation of each excavation cycle when constructing both permanent and temporary pit walls. This procedure allows you to maintain order and reduce the risk of rock collapse.</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At all stages of quarry development, continuous geotechnical monitoring should be carried out, including visual inspection of the condition of slopes, mapping of cracks, collection of data on deformations and groundwater.</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Information collected during monitoring should be documented and processed by a competent geotechnical professional. When monitoring, the following information should be recorded: geological characteristics of the wall (lithology, deformation, weathering), engineering-geological characteristics for classifying the rock mass, geometry of the wall (including deformations and factors causing them), observation of damage as a result of drilling and blasting operations, water infiltration, quality and efficiency of cleaning, monitoring of existing cracks and collapses.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opening of the designed quarries is carried out using both external and internal entrance trenches.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design of the opening scheme in quarries is carried out taking into account a number of conditions and factors, including: ensuring the minimum range of hauling the rock mass along intra-quarry roads with ensuring a minimum volume of overburden in the contours of the quarries; locations of ore stockpiles and overburden dumps.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opening of each new horizon is carried out depending on the parameters of the section of the ore zone to be mined by creating a temporary dead-end or permanent ramp in a place convenient for the unhindered development of its reserves and preparing the site for opening a new underlying horizon.</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b/>
          <w:sz w:val="24"/>
          <w:szCs w:val="24"/>
          <w:lang w:val="en-US"/>
        </w:rPr>
        <w:t>Conclusion.</w:t>
      </w:r>
      <w:r>
        <w:rPr>
          <w:rFonts w:eastAsia="Calibri" w:cs="Times New Roman" w:ascii="Times New Roman" w:hAnsi="Times New Roman"/>
          <w:sz w:val="24"/>
          <w:szCs w:val="24"/>
          <w:lang w:val="en-US"/>
        </w:rPr>
        <w:t xml:space="preserve"> At all stages of quarry development, continuous geotechnical monitoring should be carried out, including visual inspection of the condition of slopes, mapping of cracks, collection of data on deformations and groundwater. In areas prone to deformation, it is recommended to carry out blasting operations in a gentle or controlled mode. An important activity is clearing the ledges. Cleaning involves removing suspended rocks from the surface of the slopes and subsequent cleaning at the base of the slope. Cleaning should be the final operation of each excavation cycle when constructing both permanent and temporary pit walls. This procedure allows you to maintain order and reduce the risk of rock collapse.</w:t>
      </w:r>
    </w:p>
    <w:p>
      <w:pPr>
        <w:pStyle w:val="Normal"/>
        <w:spacing w:lineRule="auto" w:line="240" w:before="0" w:after="0"/>
        <w:ind w:firstLine="567"/>
        <w:jc w:val="both"/>
        <w:rPr>
          <w:rFonts w:ascii="Times New Roman" w:hAnsi="Times New Roman" w:eastAsia="Calibri" w:cs="Times New Roman"/>
          <w:i/>
          <w:i/>
          <w:sz w:val="24"/>
          <w:szCs w:val="24"/>
          <w:lang w:val="en-US"/>
        </w:rPr>
      </w:pPr>
      <w:r>
        <w:rPr>
          <w:rFonts w:eastAsia="Calibri" w:cs="Times New Roman" w:ascii="Times New Roman" w:hAnsi="Times New Roman"/>
          <w:b/>
          <w:i/>
          <w:sz w:val="24"/>
          <w:szCs w:val="24"/>
          <w:lang w:val="en-US"/>
        </w:rPr>
        <w:t xml:space="preserve">Financing. </w:t>
      </w:r>
      <w:r>
        <w:rPr>
          <w:rFonts w:eastAsia="Calibri" w:cs="Times New Roman" w:ascii="Times New Roman" w:hAnsi="Times New Roman"/>
          <w:i/>
          <w:sz w:val="24"/>
          <w:szCs w:val="24"/>
          <w:lang w:val="en-US"/>
        </w:rPr>
        <w:t>This research was funded by the Committee of Science of the Ministry of Science and Higher Education of the Republic of Kazakhstan (Grant No.BR24993009).</w:t>
      </w:r>
    </w:p>
    <w:p>
      <w:pPr>
        <w:pStyle w:val="Normal"/>
        <w:spacing w:lineRule="auto" w:line="240" w:before="0" w:after="0"/>
        <w:ind w:firstLine="567"/>
        <w:jc w:val="both"/>
        <w:rPr>
          <w:rFonts w:ascii="Times New Roman" w:hAnsi="Times New Roman" w:eastAsia="Calibri" w:cs="Times New Roman"/>
          <w:i/>
          <w:i/>
          <w:sz w:val="24"/>
          <w:szCs w:val="24"/>
          <w:lang w:val="en-US"/>
        </w:rPr>
      </w:pPr>
      <w:r>
        <w:rPr>
          <w:rFonts w:eastAsia="Calibri" w:cs="Times New Roman" w:ascii="Times New Roman" w:hAnsi="Times New Roman"/>
          <w:i/>
          <w:sz w:val="24"/>
          <w:szCs w:val="24"/>
          <w:lang w:val="en-US"/>
        </w:rPr>
      </w:r>
    </w:p>
    <w:p>
      <w:pPr>
        <w:pStyle w:val="Normal"/>
        <w:spacing w:lineRule="auto" w:line="240" w:before="0" w:after="0"/>
        <w:ind w:firstLine="567"/>
        <w:jc w:val="center"/>
        <w:rPr>
          <w:rFonts w:ascii="Times New Roman" w:hAnsi="Times New Roman" w:eastAsia="Calibri" w:cs="Times New Roman"/>
          <w:b/>
          <w:sz w:val="24"/>
          <w:szCs w:val="24"/>
          <w:lang w:val="en-US"/>
        </w:rPr>
      </w:pPr>
      <w:r>
        <w:rPr>
          <w:rFonts w:eastAsia="Calibri" w:cs="Times New Roman" w:ascii="Times New Roman" w:hAnsi="Times New Roman"/>
          <w:b/>
          <w:sz w:val="24"/>
          <w:szCs w:val="24"/>
          <w:lang w:val="en-US"/>
        </w:rPr>
        <w:t>References</w:t>
      </w:r>
    </w:p>
    <w:p>
      <w:pPr>
        <w:pStyle w:val="Normal"/>
        <w:spacing w:lineRule="auto" w:line="240" w:before="0" w:after="0"/>
        <w:ind w:firstLine="567"/>
        <w:jc w:val="center"/>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1. Volkov M.A. Izuchenie fiziko-mekhanicheskikh svoistv gornykh porod na raznykh etapakh razrusheniya. / M.A. Volkov, D.V. Solov’ev, L.A. Belina, A.G. Pimonov. // Vestnik Kuzbasskogo gosudarstvennogo tekhnicheskogo universiteta. 2017. S. 16-19. [in Russian]</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2.Kazakov N.N., Viktorov S.D., Shljapin A.V.,Lapikov I.N. Droblenie gornyh porod vzryvom v kar'erah.Droblenie gornyh porod vzryvom v kar'erah : monografija / Kazakov N.N. [i dr.]. — M.: RAN, 2020 -520 s. (s.404-404) ISBN 978-5-907036-96-3. [in Russian]</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3.Rakishev B.R. Vzaimosvyaz’ mezhdu sistemoi i tekhnologiei otkrytoi razrabotki poleznykh iskopaemykh. // Gornyi zhurnal Kazakhstana. 2017. №1. S.20-27. [in Russian]</w:t>
      </w:r>
    </w:p>
    <w:p>
      <w:pPr>
        <w:pStyle w:val="Normal"/>
        <w:numPr>
          <w:ilvl w:val="0"/>
          <w:numId w:val="0"/>
        </w:numPr>
        <w:shd w:val="clear" w:color="auto" w:fill="FFFFFF"/>
        <w:spacing w:lineRule="auto" w:line="240" w:before="0" w:after="0"/>
        <w:outlineLvl w:val="0"/>
        <w:rPr>
          <w:rFonts w:ascii="Times New Roman" w:hAnsi="Times New Roman" w:eastAsia="Times New Roman" w:cs="Times New Roman"/>
          <w:bCs/>
          <w:color w:val="000000"/>
          <w:kern w:val="2"/>
          <w:sz w:val="24"/>
          <w:szCs w:val="24"/>
          <w:lang w:val="en-US" w:eastAsia="ru-RU"/>
        </w:rPr>
      </w:pPr>
      <w:r>
        <w:rPr>
          <w:rFonts w:eastAsia="Calibri" w:cs="Times New Roman" w:ascii="Times New Roman" w:hAnsi="Times New Roman"/>
          <w:sz w:val="24"/>
          <w:szCs w:val="24"/>
          <w:lang w:val="en-US"/>
        </w:rPr>
        <w:t>4.Delentas A.</w:t>
      </w:r>
      <w:r>
        <w:rPr>
          <w:rFonts w:eastAsia="Times New Roman" w:cs="Times New Roman" w:ascii="Times New Roman" w:hAnsi="Times New Roman"/>
          <w:bCs/>
          <w:sz w:val="24"/>
          <w:szCs w:val="24"/>
          <w:lang w:val="en-US" w:eastAsia="ru-RU"/>
        </w:rPr>
        <w:t xml:space="preserve">, Benardos </w:t>
      </w:r>
      <w:r>
        <w:rPr>
          <w:rFonts w:eastAsia="Times New Roman" w:cs="Times New Roman" w:ascii="Times New Roman" w:hAnsi="Times New Roman"/>
          <w:bCs/>
          <w:sz w:val="24"/>
          <w:szCs w:val="24"/>
          <w:lang w:eastAsia="ru-RU"/>
        </w:rPr>
        <w:t>А</w:t>
      </w:r>
      <w:r>
        <w:rPr>
          <w:rFonts w:eastAsia="Times New Roman" w:cs="Times New Roman" w:ascii="Times New Roman" w:hAnsi="Times New Roman"/>
          <w:bCs/>
          <w:sz w:val="24"/>
          <w:szCs w:val="24"/>
          <w:lang w:val="en-US" w:eastAsia="ru-RU"/>
        </w:rPr>
        <w:t>., Nomikos P.</w:t>
      </w:r>
      <w:r>
        <w:rPr>
          <w:rFonts w:eastAsia="Times New Roman" w:cs="Times New Roman" w:ascii="Times New Roman" w:hAnsi="Times New Roman"/>
          <w:bCs/>
          <w:color w:val="000000"/>
          <w:kern w:val="2"/>
          <w:sz w:val="24"/>
          <w:szCs w:val="24"/>
          <w:lang w:val="en-US" w:eastAsia="ru-RU"/>
        </w:rPr>
        <w:t xml:space="preserve"> Analyzing Stability Conditions and Ore Dilution in Open Stope Mining</w:t>
      </w:r>
      <w:r>
        <w:rPr>
          <w:rFonts w:eastAsia="Calibri" w:cs="Times New Roman" w:ascii="Times New Roman" w:hAnsi="Times New Roman"/>
          <w:sz w:val="24"/>
          <w:szCs w:val="24"/>
          <w:lang w:val="en-US"/>
        </w:rPr>
        <w:t>// Mineral resources.- 2021.- Vol.1(12). - P.1404.</w:t>
      </w:r>
      <w:r>
        <w:rPr>
          <w:rFonts w:eastAsia="Times New Roman" w:cs="Times New Roman" w:ascii="Times New Roman" w:hAnsi="Times New Roman"/>
          <w:sz w:val="24"/>
          <w:szCs w:val="24"/>
          <w:lang w:val="en-US" w:eastAsia="ru-RU"/>
        </w:rPr>
        <w:t xml:space="preserve"> </w:t>
      </w:r>
      <w:hyperlink r:id="rId79">
        <w:r>
          <w:rPr>
            <w:rStyle w:val="Style"/>
            <w:rFonts w:eastAsia="Times New Roman" w:cs="Times New Roman" w:ascii="Times New Roman" w:hAnsi="Times New Roman"/>
            <w:bCs/>
            <w:sz w:val="24"/>
            <w:szCs w:val="24"/>
            <w:lang w:val="en-US" w:eastAsia="ru-RU"/>
          </w:rPr>
          <w:t>DOI 10.3390/min11121404</w:t>
        </w:r>
      </w:hyperlink>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5.Potapov M.G. Ekologicheskaya otsenka tekhnologicheskikh skhem otkrytykh gornykh rabot. // Gornyi zhurnal. -2003. - № 3.- S. 81-86. [in Russian]</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6.Akishev A.N. Upravlenie razvitiem rabochei zony kimberlitovykh kar’erov. / A.N. Akishev, V.A. Bakhtin, E.V. Bondarenko, S.L. Babaskin. // Gornaya promyshlennost’.- 2004.- №1.- S. 53-59. [in Russian]</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7.</w:t>
      </w:r>
      <w:r>
        <w:rPr>
          <w:rFonts w:eastAsia="Calibri" w:cs="Times New Roman" w:ascii="Calibri" w:hAnsi="Calibri"/>
          <w:lang w:val="en-US"/>
        </w:rPr>
        <w:t xml:space="preserve"> </w:t>
      </w:r>
      <w:r>
        <w:rPr>
          <w:rFonts w:eastAsia="Calibri" w:cs="Times New Roman" w:ascii="Times New Roman" w:hAnsi="Times New Roman"/>
          <w:sz w:val="24"/>
          <w:szCs w:val="24"/>
          <w:lang w:val="en-US"/>
        </w:rPr>
        <w:t>Vuyeykova O., Sładkowski A., Stolpovskikh I., Akhmetova M.: Rationalization of</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road transport park for the carriage of mining rocks in the open mines. // Transport Problems Volume 11 Isuee 1. P 79-85, Poland, Gliwice 2016, ISSN 1896-0596 IF 0,265</w:t>
      </w:r>
      <w:r>
        <w:rPr>
          <w:rFonts w:eastAsia="Calibri" w:cs="Times New Roman" w:ascii="Calibri" w:hAnsi="Calibri"/>
          <w:lang w:val="en-US"/>
        </w:rPr>
        <w:t xml:space="preserve"> </w:t>
      </w:r>
      <w:r>
        <w:rPr>
          <w:rFonts w:eastAsia="Calibri" w:cs="Times New Roman" w:ascii="Times New Roman" w:hAnsi="Times New Roman"/>
          <w:sz w:val="24"/>
          <w:szCs w:val="24"/>
          <w:lang w:val="en-US"/>
        </w:rPr>
        <w:t>http://transportproblems.polsl.pl/en/default.aspx</w:t>
      </w:r>
    </w:p>
    <w:p>
      <w:pPr>
        <w:pStyle w:val="Normal"/>
        <w:shd w:val="clear" w:color="auto" w:fill="FFFFFF"/>
        <w:spacing w:lineRule="auto" w:line="240" w:before="0" w:after="0"/>
        <w:rPr>
          <w:rFonts w:ascii="Times New Roman" w:hAnsi="Times New Roman" w:eastAsia="Times New Roman" w:cs="Times New Roman"/>
          <w:sz w:val="24"/>
          <w:szCs w:val="24"/>
          <w:lang w:val="en-US" w:eastAsia="ru-RU"/>
        </w:rPr>
      </w:pPr>
      <w:r>
        <w:rPr>
          <w:rFonts w:eastAsia="Calibri" w:cs="Times New Roman" w:ascii="Times New Roman" w:hAnsi="Times New Roman"/>
          <w:sz w:val="24"/>
          <w:szCs w:val="24"/>
          <w:lang w:val="en-US"/>
        </w:rPr>
        <w:t>8.Shakenov A., A. Sładkowski, I. Stolpovskikh. Haul road condition impact on tire life of mining dump truck//</w:t>
      </w:r>
      <w:hyperlink r:id="rId80">
        <w:r>
          <w:rPr>
            <w:rStyle w:val="Style"/>
            <w:rFonts w:eastAsia="Times New Roman" w:cs="Times New Roman" w:ascii="Times New Roman" w:hAnsi="Times New Roman"/>
            <w:sz w:val="24"/>
            <w:szCs w:val="24"/>
            <w:lang w:val="en-US" w:eastAsia="ru-RU"/>
          </w:rPr>
          <w:t>Naukovyi Visnyk Natsionalnoho Hirnychoho Universytetu</w:t>
        </w:r>
      </w:hyperlink>
      <w:r>
        <w:rPr>
          <w:rFonts w:eastAsia="Times New Roman" w:cs="Times New Roman" w:ascii="Times New Roman" w:hAnsi="Times New Roman"/>
          <w:sz w:val="24"/>
          <w:szCs w:val="24"/>
          <w:lang w:val="en-US" w:eastAsia="ru-RU"/>
        </w:rPr>
        <w:t>.-</w:t>
      </w:r>
      <w:r>
        <w:rPr>
          <w:rFonts w:eastAsia="Calibri" w:cs="Times New Roman" w:ascii="Times New Roman" w:hAnsi="Times New Roman"/>
          <w:sz w:val="24"/>
          <w:szCs w:val="24"/>
          <w:lang w:val="en-US"/>
        </w:rPr>
        <w:t>2022. - Vol.192(6)- P. 25-29.</w:t>
      </w:r>
      <w:r>
        <w:rPr>
          <w:rFonts w:eastAsia="Times New Roman" w:cs="Times New Roman" w:ascii="Times New Roman" w:hAnsi="Times New Roman"/>
          <w:sz w:val="24"/>
          <w:szCs w:val="24"/>
          <w:lang w:val="en-US" w:eastAsia="ru-RU"/>
        </w:rPr>
        <w:t xml:space="preserve"> DOI </w:t>
      </w:r>
      <w:hyperlink r:id="rId81" w:tgtFrame="_blank">
        <w:r>
          <w:rPr>
            <w:rStyle w:val="Style"/>
            <w:rFonts w:eastAsia="Times New Roman" w:cs="Times New Roman" w:ascii="Times New Roman" w:hAnsi="Times New Roman"/>
            <w:sz w:val="24"/>
            <w:szCs w:val="24"/>
            <w:lang w:val="en-US" w:eastAsia="ru-RU"/>
          </w:rPr>
          <w:t>10.33271/nvngu/20226/025</w:t>
        </w:r>
      </w:hyperlink>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xml:space="preserve">9.Kadnikova O.,Kuzmin S., Altynbayeva G., Turbit A., Khabdullina Z. Development of a New Environmentally-Friendly Technology for Transportation of Mined Rock in the Opencast Mining. // Environmental and Climate Technologies.- 2020.-Vol. 24(1).- P.341-356 DOI 10.2478/rtuect-2020-0019 </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10.Kalyuzhny A.S. Opredelenie parametrov narushennoj zony i ob”emov potencial’nyh vyvalov dlya uslovij kar’era «Olenij ruchej»//Gornyj informacionnoanaliticheskij byulleten.- 2016.- No.7.- S. 403-412. [in Russian]</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eastAsia="Calibri" w:cs="Times New Roman"/>
          <w:b/>
          <w:i/>
          <w:i/>
          <w:sz w:val="20"/>
          <w:szCs w:val="20"/>
          <w:lang w:val="kk-KZ"/>
        </w:rPr>
      </w:pPr>
      <w:r>
        <w:rPr>
          <w:rFonts w:eastAsia="Calibri" w:cs="Times New Roman" w:ascii="Times New Roman" w:hAnsi="Times New Roman"/>
          <w:b/>
          <w:i/>
          <w:sz w:val="20"/>
          <w:szCs w:val="20"/>
          <w:lang w:val="kk-KZ"/>
        </w:rPr>
        <w:t>Information about the authors</w:t>
      </w:r>
    </w:p>
    <w:p>
      <w:pPr>
        <w:pStyle w:val="Normal"/>
        <w:spacing w:lineRule="auto" w:line="240" w:before="0" w:after="0"/>
        <w:ind w:firstLine="567"/>
        <w:jc w:val="both"/>
        <w:rPr>
          <w:rFonts w:ascii="Times New Roman" w:hAnsi="Times New Roman" w:eastAsia="Calibri" w:cs="Times New Roman"/>
          <w:b/>
          <w:i/>
          <w:i/>
          <w:sz w:val="20"/>
          <w:szCs w:val="20"/>
          <w:lang w:val="kk-KZ"/>
        </w:rPr>
      </w:pPr>
      <w:r>
        <w:rPr>
          <w:rFonts w:eastAsia="Calibri" w:cs="Times New Roman" w:ascii="Times New Roman" w:hAnsi="Times New Roman"/>
          <w:b/>
          <w:i/>
          <w:sz w:val="20"/>
          <w:szCs w:val="20"/>
          <w:lang w:val="kk-KZ"/>
        </w:rPr>
      </w:r>
    </w:p>
    <w:p>
      <w:pPr>
        <w:pStyle w:val="Normal"/>
        <w:spacing w:lineRule="auto" w:line="240" w:before="0" w:after="0"/>
        <w:jc w:val="both"/>
        <w:rPr>
          <w:rFonts w:ascii="Times New Roman" w:hAnsi="Times New Roman" w:eastAsia="Calibri" w:cs="Times New Roman"/>
          <w:sz w:val="20"/>
          <w:szCs w:val="20"/>
          <w:lang w:val="en-US"/>
        </w:rPr>
      </w:pPr>
      <w:r>
        <w:rPr>
          <w:rFonts w:eastAsia="Calibri" w:cs="Times New Roman" w:ascii="Times New Roman" w:hAnsi="Times New Roman"/>
          <w:sz w:val="20"/>
          <w:szCs w:val="20"/>
          <w:lang w:val="kk-KZ"/>
        </w:rPr>
        <w:t>Dauletzhanova Zh.T.</w:t>
      </w:r>
      <w:r>
        <w:rPr>
          <w:rFonts w:eastAsia="Calibri" w:cs="Times New Roman" w:ascii="Times New Roman" w:hAnsi="Times New Roman"/>
          <w:sz w:val="20"/>
          <w:szCs w:val="20"/>
          <w:lang w:val="en-US"/>
        </w:rPr>
        <w:t xml:space="preserve">-PhD, Associate Professor of the Department of Chemistry, Chemical Technology and Ecology, </w:t>
      </w:r>
      <w:r>
        <w:rPr>
          <w:rFonts w:eastAsia="Times New Roman" w:cs="Times New Roman" w:ascii="Times New Roman" w:hAnsi="Times New Roman"/>
          <w:sz w:val="20"/>
          <w:szCs w:val="20"/>
          <w:lang w:val="en-US" w:eastAsia="ru-RU"/>
        </w:rPr>
        <w:t>K.Kulazhanov named Kazakh University of Technology and Business</w:t>
      </w:r>
      <w:r>
        <w:rPr>
          <w:rFonts w:eastAsia="Calibri" w:cs="Times New Roman" w:ascii="Times New Roman" w:hAnsi="Times New Roman"/>
          <w:sz w:val="20"/>
          <w:szCs w:val="20"/>
          <w:lang w:val="en-US"/>
        </w:rPr>
        <w:t>, Astana, Kazakhstan,</w:t>
      </w:r>
      <w:r>
        <w:rPr>
          <w:rFonts w:eastAsia="Calibri" w:cs="Times New Roman" w:ascii="Calibri" w:hAnsi="Calibri"/>
          <w:sz w:val="20"/>
          <w:szCs w:val="20"/>
          <w:lang w:val="en-US"/>
        </w:rPr>
        <w:t xml:space="preserve"> </w:t>
      </w:r>
      <w:r>
        <w:rPr>
          <w:rFonts w:eastAsia="Calibri" w:cs="Times New Roman" w:ascii="Times New Roman" w:hAnsi="Times New Roman"/>
          <w:sz w:val="20"/>
          <w:szCs w:val="20"/>
          <w:lang w:val="en-US"/>
        </w:rPr>
        <w:t xml:space="preserve">e-mail: kaliyeva_zhanna@mail.ru; </w:t>
      </w:r>
    </w:p>
    <w:p>
      <w:pPr>
        <w:pStyle w:val="Normal"/>
        <w:spacing w:lineRule="auto" w:line="240" w:before="0" w:after="0"/>
        <w:jc w:val="both"/>
        <w:rPr>
          <w:rFonts w:ascii="Times New Roman" w:hAnsi="Times New Roman" w:eastAsia="Calibri" w:cs="Times New Roman"/>
          <w:sz w:val="20"/>
          <w:szCs w:val="20"/>
          <w:lang w:val="en-US"/>
        </w:rPr>
      </w:pPr>
      <w:r>
        <w:rPr>
          <w:rFonts w:eastAsia="Calibri" w:cs="Times New Roman" w:ascii="Times New Roman" w:hAnsi="Times New Roman"/>
          <w:sz w:val="20"/>
          <w:szCs w:val="20"/>
          <w:lang w:val="kk-KZ"/>
        </w:rPr>
        <w:t xml:space="preserve">Zakharov A.M. </w:t>
      </w:r>
      <w:r>
        <w:rPr>
          <w:rFonts w:eastAsia="Calibri" w:cs="Times New Roman" w:ascii="Times New Roman" w:hAnsi="Times New Roman"/>
          <w:sz w:val="20"/>
          <w:szCs w:val="20"/>
          <w:lang w:val="en-US"/>
        </w:rPr>
        <w:t>- m</w:t>
      </w:r>
      <w:r>
        <w:rPr>
          <w:rFonts w:eastAsia="Calibri" w:cs="Times New Roman" w:ascii="Times New Roman" w:hAnsi="Times New Roman"/>
          <w:sz w:val="20"/>
          <w:szCs w:val="20"/>
          <w:lang w:val="kk-KZ"/>
        </w:rPr>
        <w:t>aster of Technical Sciences, senior lecturer at the Department of Mineral Deposit Development, Abylkas Saginov Karaganda Technical University, Karaganda, Kazakhstan, e-mail: assalamm@mail.ru</w:t>
      </w:r>
      <w:r>
        <w:rPr>
          <w:rFonts w:eastAsia="Calibri" w:cs="Times New Roman" w:ascii="Times New Roman" w:hAnsi="Times New Roman"/>
          <w:sz w:val="20"/>
          <w:szCs w:val="20"/>
          <w:lang w:val="en-US"/>
        </w:rPr>
        <w:t>;</w:t>
      </w:r>
    </w:p>
    <w:p>
      <w:pPr>
        <w:pStyle w:val="Normal"/>
        <w:spacing w:lineRule="auto" w:line="240" w:before="0" w:after="0"/>
        <w:jc w:val="both"/>
        <w:rPr>
          <w:rFonts w:ascii="Times New Roman" w:hAnsi="Times New Roman" w:eastAsia="Calibri" w:cs="Times New Roman"/>
          <w:sz w:val="20"/>
          <w:szCs w:val="20"/>
          <w:lang w:val="en-US"/>
        </w:rPr>
      </w:pPr>
      <w:r>
        <w:rPr>
          <w:rFonts w:eastAsia="Calibri" w:cs="Times New Roman" w:ascii="Times New Roman" w:hAnsi="Times New Roman"/>
          <w:sz w:val="20"/>
          <w:szCs w:val="20"/>
          <w:lang w:val="kk-KZ"/>
        </w:rPr>
        <w:t>Shmidt-Fedotova I.M. –</w:t>
      </w:r>
      <w:r>
        <w:rPr>
          <w:rFonts w:eastAsia="Calibri" w:cs="Times New Roman" w:ascii="Times New Roman" w:hAnsi="Times New Roman"/>
          <w:sz w:val="20"/>
          <w:szCs w:val="20"/>
          <w:lang w:val="en-US"/>
        </w:rPr>
        <w:t xml:space="preserve"> PhD,</w:t>
      </w:r>
      <w:r>
        <w:rPr>
          <w:rFonts w:eastAsia="Calibri" w:cs="Times New Roman" w:ascii="Times New Roman" w:hAnsi="Times New Roman"/>
          <w:sz w:val="20"/>
          <w:szCs w:val="20"/>
          <w:lang w:val="kk-KZ"/>
        </w:rPr>
        <w:t xml:space="preserve"> lecturer of the Department of «Development Mineral Deposit», Abylkas Saginov Karaganda Technical University, Karaganda, Kazakhstan, irinka.shmidt@mail.ru </w:t>
      </w:r>
    </w:p>
    <w:p>
      <w:pPr>
        <w:pStyle w:val="Normal"/>
        <w:spacing w:lineRule="auto" w:line="240" w:before="0" w:after="0"/>
        <w:ind w:firstLine="567"/>
        <w:jc w:val="both"/>
        <w:rPr>
          <w:rFonts w:ascii="Times New Roman" w:hAnsi="Times New Roman" w:eastAsia="Calibri" w:cs="Times New Roman"/>
          <w:b/>
          <w:i/>
          <w:i/>
          <w:sz w:val="20"/>
          <w:szCs w:val="20"/>
          <w:lang w:val="kk-KZ"/>
        </w:rPr>
      </w:pPr>
      <w:r>
        <w:rPr>
          <w:rFonts w:eastAsia="Calibri" w:cs="Times New Roman" w:ascii="Times New Roman" w:hAnsi="Times New Roman"/>
          <w:b/>
          <w:i/>
          <w:sz w:val="20"/>
          <w:szCs w:val="20"/>
          <w:lang w:val="kk-KZ"/>
        </w:rPr>
      </w:r>
    </w:p>
    <w:p>
      <w:pPr>
        <w:pStyle w:val="Normal"/>
        <w:spacing w:lineRule="auto" w:line="240" w:before="0" w:after="0"/>
        <w:ind w:firstLine="567"/>
        <w:jc w:val="both"/>
        <w:rPr>
          <w:rFonts w:ascii="Times New Roman" w:hAnsi="Times New Roman" w:eastAsia="Calibri" w:cs="Times New Roman"/>
          <w:b/>
          <w:i/>
          <w:i/>
          <w:sz w:val="20"/>
          <w:szCs w:val="20"/>
          <w:lang w:val="kk-KZ"/>
        </w:rPr>
      </w:pPr>
      <w:r>
        <w:rPr>
          <w:rFonts w:eastAsia="Calibri" w:cs="Times New Roman" w:ascii="Times New Roman" w:hAnsi="Times New Roman"/>
          <w:b/>
          <w:i/>
          <w:sz w:val="20"/>
          <w:szCs w:val="20"/>
          <w:lang w:val="kk-KZ"/>
        </w:rPr>
        <w:t>Сведения об авторе</w:t>
      </w:r>
    </w:p>
    <w:p>
      <w:pPr>
        <w:pStyle w:val="Normal"/>
        <w:spacing w:lineRule="auto" w:line="240" w:before="0" w:after="0"/>
        <w:ind w:firstLine="567"/>
        <w:jc w:val="both"/>
        <w:rPr>
          <w:rFonts w:ascii="Times New Roman" w:hAnsi="Times New Roman" w:eastAsia="Calibri" w:cs="Times New Roman"/>
          <w:b/>
          <w:i/>
          <w:i/>
          <w:sz w:val="20"/>
          <w:szCs w:val="20"/>
          <w:lang w:val="kk-KZ"/>
        </w:rPr>
      </w:pPr>
      <w:r>
        <w:rPr>
          <w:rFonts w:eastAsia="Calibri" w:cs="Times New Roman" w:ascii="Times New Roman" w:hAnsi="Times New Roman"/>
          <w:b/>
          <w:i/>
          <w:sz w:val="20"/>
          <w:szCs w:val="20"/>
          <w:lang w:val="kk-KZ"/>
        </w:rPr>
      </w:r>
    </w:p>
    <w:p>
      <w:pPr>
        <w:pStyle w:val="Normal"/>
        <w:spacing w:lineRule="auto" w:line="240" w:before="0" w:after="0"/>
        <w:jc w:val="both"/>
        <w:rPr>
          <w:rFonts w:ascii="Times New Roman" w:hAnsi="Times New Roman" w:eastAsia="Calibri" w:cs="Times New Roman"/>
          <w:sz w:val="20"/>
          <w:szCs w:val="20"/>
        </w:rPr>
      </w:pPr>
      <w:r>
        <w:rPr>
          <w:rFonts w:eastAsia="Calibri" w:cs="Times New Roman" w:ascii="Times New Roman" w:hAnsi="Times New Roman"/>
          <w:sz w:val="20"/>
          <w:szCs w:val="20"/>
        </w:rPr>
        <w:t xml:space="preserve">Даулетжанова Ж.Т. - </w:t>
      </w:r>
      <w:r>
        <w:rPr>
          <w:rFonts w:eastAsia="Calibri" w:cs="Times New Roman" w:ascii="Times New Roman" w:hAnsi="Times New Roman"/>
          <w:sz w:val="20"/>
          <w:szCs w:val="20"/>
          <w:lang w:val="en-US"/>
        </w:rPr>
        <w:t>PhD</w:t>
      </w:r>
      <w:r>
        <w:rPr>
          <w:rFonts w:eastAsia="Calibri" w:cs="Times New Roman" w:ascii="Times New Roman" w:hAnsi="Times New Roman"/>
          <w:sz w:val="20"/>
          <w:szCs w:val="20"/>
        </w:rPr>
        <w:t>, ассоциированный профессор кафедры «Химия, химическая технология и экология», Казахский университет технологии и бизнеса имюК.Кулажанова, г. Астана, Казахстан, e-mail:</w:t>
      </w:r>
      <w:r>
        <w:rPr>
          <w:rFonts w:eastAsia="Calibri" w:cs="Times New Roman" w:ascii="Calibri" w:hAnsi="Calibri"/>
          <w:sz w:val="20"/>
          <w:szCs w:val="20"/>
        </w:rPr>
        <w:t xml:space="preserve"> </w:t>
      </w:r>
      <w:r>
        <w:rPr>
          <w:rFonts w:eastAsia="Calibri" w:cs="Times New Roman" w:ascii="Times New Roman" w:hAnsi="Times New Roman"/>
          <w:sz w:val="20"/>
          <w:szCs w:val="20"/>
        </w:rPr>
        <w:t>kaliyeva_zhanna@mail.ru;</w:t>
      </w:r>
    </w:p>
    <w:p>
      <w:pPr>
        <w:pStyle w:val="Normal"/>
        <w:spacing w:lineRule="auto" w:line="240" w:before="0" w:after="0"/>
        <w:jc w:val="both"/>
        <w:rPr>
          <w:rFonts w:ascii="Times New Roman" w:hAnsi="Times New Roman" w:eastAsia="Calibri" w:cs="Times New Roman"/>
          <w:sz w:val="20"/>
          <w:szCs w:val="20"/>
        </w:rPr>
      </w:pPr>
      <w:r>
        <w:rPr>
          <w:rFonts w:eastAsia="Calibri" w:cs="Times New Roman" w:ascii="Times New Roman" w:hAnsi="Times New Roman"/>
          <w:sz w:val="20"/>
          <w:szCs w:val="20"/>
          <w:lang w:val="kk-KZ"/>
        </w:rPr>
        <w:t>Захаров</w:t>
      </w:r>
      <w:r>
        <w:rPr>
          <w:rFonts w:eastAsia="Calibri" w:cs="Times New Roman" w:ascii="Times New Roman" w:hAnsi="Times New Roman"/>
          <w:sz w:val="20"/>
          <w:szCs w:val="20"/>
        </w:rPr>
        <w:t xml:space="preserve"> А.М. - магистр технических наук, старший преподаватель кафедры «Разработка месторождений полезных ископаемых», Карагандинский технический университет имени Абылкаса Сагинова, г. Караганда, Казахстан, e-mail: </w:t>
      </w:r>
      <w:hyperlink r:id="rId82">
        <w:r>
          <w:rPr>
            <w:rStyle w:val="Style"/>
            <w:rFonts w:eastAsia="Calibri" w:cs="Times New Roman" w:ascii="Times New Roman" w:hAnsi="Times New Roman"/>
            <w:color w:val="0563C1"/>
            <w:sz w:val="20"/>
            <w:szCs w:val="20"/>
            <w:u w:val="single"/>
          </w:rPr>
          <w:t>assalamm@mail.ru</w:t>
        </w:r>
      </w:hyperlink>
      <w:r>
        <w:rPr>
          <w:rFonts w:eastAsia="Calibri" w:cs="Times New Roman" w:ascii="Times New Roman" w:hAnsi="Times New Roman"/>
          <w:sz w:val="20"/>
          <w:szCs w:val="20"/>
        </w:rPr>
        <w:t>;</w:t>
      </w:r>
    </w:p>
    <w:p>
      <w:pPr>
        <w:pStyle w:val="Normal"/>
        <w:spacing w:lineRule="auto" w:line="240" w:before="0" w:after="0"/>
        <w:jc w:val="both"/>
        <w:rPr>
          <w:rFonts w:ascii="Times New Roman" w:hAnsi="Times New Roman" w:eastAsia="Calibri" w:cs="Times New Roman"/>
          <w:sz w:val="20"/>
          <w:szCs w:val="20"/>
        </w:rPr>
      </w:pPr>
      <w:r>
        <w:rPr>
          <w:rFonts w:eastAsia="Calibri" w:cs="Times New Roman" w:ascii="Times New Roman" w:hAnsi="Times New Roman"/>
          <w:sz w:val="20"/>
          <w:szCs w:val="20"/>
        </w:rPr>
        <w:t xml:space="preserve">Шмидт-Федотова И.М.- </w:t>
      </w:r>
      <w:r>
        <w:rPr>
          <w:rFonts w:eastAsia="Calibri" w:cs="Times New Roman" w:ascii="Times New Roman" w:hAnsi="Times New Roman"/>
          <w:sz w:val="20"/>
          <w:szCs w:val="20"/>
          <w:lang w:val="en-US"/>
        </w:rPr>
        <w:t>P</w:t>
      </w:r>
      <w:r>
        <w:rPr>
          <w:rFonts w:eastAsia="Calibri" w:cs="Times New Roman" w:ascii="Times New Roman" w:hAnsi="Times New Roman"/>
          <w:sz w:val="20"/>
          <w:szCs w:val="20"/>
        </w:rPr>
        <w:t>hD, преподаватель кафедры «Разработка месторождений полезных ископаемых», Карагандинский технический университет имени Абылкаса Сагинова, (г. Караганда, Казахстан), irinka.shmidt @mail.ru.</w:t>
      </w:r>
      <w:r>
        <w:rPr>
          <w:rFonts w:eastAsia="Calibri" w:cs="Times New Roman" w:ascii="Calibri" w:hAnsi="Calibri"/>
          <w:sz w:val="20"/>
          <w:szCs w:val="20"/>
        </w:rPr>
        <w:t xml:space="preserve"> </w:t>
      </w:r>
    </w:p>
    <w:p>
      <w:pPr>
        <w:pStyle w:val="Normal"/>
        <w:spacing w:lineRule="auto" w:line="240" w:before="0" w:after="0"/>
        <w:ind w:firstLine="567"/>
        <w:jc w:val="both"/>
        <w:rPr>
          <w:rFonts w:ascii="Times New Roman" w:hAnsi="Times New Roman" w:eastAsia="Calibri" w:cs="Times New Roman"/>
          <w:sz w:val="20"/>
          <w:szCs w:val="20"/>
        </w:rPr>
      </w:pPr>
      <w:r>
        <w:rPr>
          <w:rFonts w:eastAsia="Calibri" w:cs="Times New Roman" w:ascii="Times New Roman" w:hAnsi="Times New Roman"/>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spacing w:before="0" w:after="160"/>
        <w:rPr>
          <w:sz w:val="20"/>
          <w:szCs w:val="20"/>
        </w:rPr>
      </w:pPr>
      <w:r>
        <w:rPr>
          <w:sz w:val="20"/>
          <w:szCs w:val="20"/>
        </w:rPr>
      </w:r>
    </w:p>
    <w:sectPr>
      <w:footerReference w:type="even" r:id="rId83"/>
      <w:footerReference w:type="default" r:id="rId84"/>
      <w:footerReference w:type="first" r:id="rId85"/>
      <w:type w:val="nextPage"/>
      <w:pgSz w:w="11906" w:h="16838"/>
      <w:pgMar w:left="1701" w:right="850" w:gutter="0" w:header="0" w:top="1134" w:footer="709"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alibri Light">
    <w:charset w:val="01"/>
    <w:family w:val="swiss"/>
    <w:pitch w:val="variable"/>
  </w:font>
  <w:font w:name="Segoe UI">
    <w:charset w:val="01"/>
    <w:family w:val="swiss"/>
    <w:pitch w:val="variable"/>
  </w:font>
  <w:font w:name="Liberation Sans">
    <w:altName w:val="Arial"/>
    <w:charset w:val="01"/>
    <w:family w:val="swiss"/>
    <w:pitch w:val="variable"/>
  </w:font>
  <w:font w:name="Calibri">
    <w:charset w:val="01"/>
    <w:family w:val="swiss"/>
    <w:pitch w:val="variable"/>
  </w:font>
  <w:font w:name="Wingdings">
    <w:charset w:val="02"/>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41</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41</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2"/>
      <w:numFmt w:val="bullet"/>
      <w:lvlText w:val="-"/>
      <w:lvlJc w:val="left"/>
      <w:pPr>
        <w:tabs>
          <w:tab w:val="num" w:pos="0"/>
        </w:tabs>
        <w:ind w:left="1069" w:hanging="360"/>
      </w:pPr>
      <w:rPr>
        <w:rFonts w:ascii="Times New Roman" w:hAnsi="Times New Roman" w:cs="Times New Roman"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lowerLetter"/>
      <w:lvlText w:val="%1)"/>
      <w:lvlJc w:val="left"/>
      <w:pPr>
        <w:tabs>
          <w:tab w:val="num" w:pos="0"/>
        </w:tabs>
        <w:ind w:left="928" w:hanging="360"/>
      </w:pPr>
      <w:rPr/>
    </w:lvl>
    <w:lvl w:ilvl="1">
      <w:start w:val="1"/>
      <w:numFmt w:val="lowerLetter"/>
      <w:lvlText w:val="%2."/>
      <w:lvlJc w:val="left"/>
      <w:pPr>
        <w:tabs>
          <w:tab w:val="num" w:pos="0"/>
        </w:tabs>
        <w:ind w:left="2007" w:hanging="360"/>
      </w:pPr>
      <w:rPr/>
    </w:lvl>
    <w:lvl w:ilvl="2">
      <w:start w:val="1"/>
      <w:numFmt w:val="lowerRoman"/>
      <w:lvlText w:val="%3."/>
      <w:lvlJc w:val="right"/>
      <w:pPr>
        <w:tabs>
          <w:tab w:val="num" w:pos="0"/>
        </w:tabs>
        <w:ind w:left="2727" w:hanging="180"/>
      </w:pPr>
      <w:rPr/>
    </w:lvl>
    <w:lvl w:ilvl="3">
      <w:start w:val="1"/>
      <w:numFmt w:val="decimal"/>
      <w:lvlText w:val="%4."/>
      <w:lvlJc w:val="left"/>
      <w:pPr>
        <w:tabs>
          <w:tab w:val="num" w:pos="0"/>
        </w:tabs>
        <w:ind w:left="3447" w:hanging="360"/>
      </w:pPr>
      <w:rPr/>
    </w:lvl>
    <w:lvl w:ilvl="4">
      <w:start w:val="1"/>
      <w:numFmt w:val="lowerLetter"/>
      <w:lvlText w:val="%5."/>
      <w:lvlJc w:val="left"/>
      <w:pPr>
        <w:tabs>
          <w:tab w:val="num" w:pos="0"/>
        </w:tabs>
        <w:ind w:left="4167" w:hanging="360"/>
      </w:pPr>
      <w:rPr/>
    </w:lvl>
    <w:lvl w:ilvl="5">
      <w:start w:val="1"/>
      <w:numFmt w:val="lowerRoman"/>
      <w:lvlText w:val="%6."/>
      <w:lvlJc w:val="right"/>
      <w:pPr>
        <w:tabs>
          <w:tab w:val="num" w:pos="0"/>
        </w:tabs>
        <w:ind w:left="4887" w:hanging="180"/>
      </w:pPr>
      <w:rPr/>
    </w:lvl>
    <w:lvl w:ilvl="6">
      <w:start w:val="1"/>
      <w:numFmt w:val="decimal"/>
      <w:lvlText w:val="%7."/>
      <w:lvlJc w:val="left"/>
      <w:pPr>
        <w:tabs>
          <w:tab w:val="num" w:pos="0"/>
        </w:tabs>
        <w:ind w:left="5607" w:hanging="360"/>
      </w:pPr>
      <w:rPr/>
    </w:lvl>
    <w:lvl w:ilvl="7">
      <w:start w:val="1"/>
      <w:numFmt w:val="lowerLetter"/>
      <w:lvlText w:val="%8."/>
      <w:lvlJc w:val="left"/>
      <w:pPr>
        <w:tabs>
          <w:tab w:val="num" w:pos="0"/>
        </w:tabs>
        <w:ind w:left="6327" w:hanging="360"/>
      </w:pPr>
      <w:rPr/>
    </w:lvl>
    <w:lvl w:ilvl="8">
      <w:start w:val="1"/>
      <w:numFmt w:val="lowerRoman"/>
      <w:lvlText w:val="%9."/>
      <w:lvlJc w:val="right"/>
      <w:pPr>
        <w:tabs>
          <w:tab w:val="num" w:pos="0"/>
        </w:tabs>
        <w:ind w:left="7047" w:hanging="18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5"/>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link w:val="1"/>
    <w:qFormat/>
    <w:rsid w:val="00e34927"/>
    <w:pPr>
      <w:spacing w:lineRule="auto" w:line="240" w:beforeAutospacing="1" w:afterAutospacing="1"/>
      <w:outlineLvl w:val="0"/>
    </w:pPr>
    <w:rPr>
      <w:rFonts w:ascii="Times New Roman" w:hAnsi="Times New Roman" w:eastAsia="Times New Roman" w:cs="Times New Roman"/>
      <w:b/>
      <w:bCs/>
      <w:kern w:val="2"/>
      <w:sz w:val="48"/>
      <w:szCs w:val="48"/>
      <w:lang w:eastAsia="ru-RU"/>
    </w:rPr>
  </w:style>
  <w:style w:type="paragraph" w:styleId="Heading2">
    <w:name w:val="heading 2"/>
    <w:basedOn w:val="Normal"/>
    <w:next w:val="Normal"/>
    <w:link w:val="2"/>
    <w:unhideWhenUsed/>
    <w:qFormat/>
    <w:rsid w:val="00e34927"/>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E74B5"/>
      <w:sz w:val="26"/>
      <w:szCs w:val="26"/>
    </w:rPr>
  </w:style>
  <w:style w:type="paragraph" w:styleId="Heading3">
    <w:name w:val="heading 3"/>
    <w:basedOn w:val="Normal"/>
    <w:next w:val="Normal"/>
    <w:link w:val="3"/>
    <w:unhideWhenUsed/>
    <w:qFormat/>
    <w:rsid w:val="00905da5"/>
    <w:pPr>
      <w:keepNext w:val="true"/>
      <w:spacing w:lineRule="auto" w:line="240" w:before="0" w:after="0"/>
      <w:ind w:firstLine="720"/>
      <w:outlineLvl w:val="2"/>
    </w:pPr>
    <w:rPr>
      <w:rFonts w:ascii="Times New Roman" w:hAnsi="Times New Roman" w:eastAsia="Times New Roman" w:cs="Times New Roman"/>
      <w:sz w:val="28"/>
      <w:szCs w:val="20"/>
      <w:lang w:eastAsia="ru-RU"/>
    </w:rPr>
  </w:style>
  <w:style w:type="paragraph" w:styleId="Heading4">
    <w:name w:val="heading 4"/>
    <w:basedOn w:val="Normal"/>
    <w:next w:val="Normal"/>
    <w:link w:val="4"/>
    <w:semiHidden/>
    <w:unhideWhenUsed/>
    <w:qFormat/>
    <w:rsid w:val="00905da5"/>
    <w:pPr>
      <w:keepNext w:val="true"/>
      <w:spacing w:lineRule="auto" w:line="240" w:before="0" w:after="0"/>
      <w:jc w:val="both"/>
      <w:outlineLvl w:val="3"/>
    </w:pPr>
    <w:rPr>
      <w:rFonts w:ascii="Times New Roman" w:hAnsi="Times New Roman" w:eastAsia="Times New Roman" w:cs="Times New Roman"/>
      <w:sz w:val="28"/>
      <w:szCs w:val="20"/>
      <w:lang w:val="en-US" w:eastAsia="ko-KR"/>
    </w:rPr>
  </w:style>
  <w:style w:type="paragraph" w:styleId="Heading5">
    <w:name w:val="heading 5"/>
    <w:basedOn w:val="Normal"/>
    <w:next w:val="Normal"/>
    <w:link w:val="5"/>
    <w:semiHidden/>
    <w:unhideWhenUsed/>
    <w:qFormat/>
    <w:rsid w:val="00905da5"/>
    <w:pPr>
      <w:keepNext w:val="true"/>
      <w:spacing w:lineRule="auto" w:line="240" w:before="0" w:after="0"/>
      <w:jc w:val="center"/>
      <w:outlineLvl w:val="4"/>
    </w:pPr>
    <w:rPr>
      <w:rFonts w:ascii="Times New Roman" w:hAnsi="Times New Roman" w:eastAsia="Times New Roman" w:cs="Times New Roman"/>
      <w:sz w:val="28"/>
      <w:szCs w:val="20"/>
      <w:lang w:eastAsia="ru-RU"/>
    </w:rPr>
  </w:style>
  <w:style w:type="paragraph" w:styleId="Heading6">
    <w:name w:val="heading 6"/>
    <w:basedOn w:val="Normal"/>
    <w:next w:val="Normal"/>
    <w:link w:val="6"/>
    <w:semiHidden/>
    <w:unhideWhenUsed/>
    <w:qFormat/>
    <w:rsid w:val="00905da5"/>
    <w:pPr>
      <w:keepNext w:val="true"/>
      <w:spacing w:lineRule="auto" w:line="240" w:before="0" w:after="0"/>
      <w:jc w:val="both"/>
      <w:outlineLvl w:val="5"/>
    </w:pPr>
    <w:rPr>
      <w:rFonts w:ascii="Times New Roman" w:hAnsi="Times New Roman" w:eastAsia="Times New Roman" w:cs="Times New Roman"/>
      <w:sz w:val="28"/>
      <w:szCs w:val="20"/>
      <w:lang w:eastAsia="ru-RU"/>
    </w:rPr>
  </w:style>
  <w:style w:type="paragraph" w:styleId="Heading7">
    <w:name w:val="heading 7"/>
    <w:basedOn w:val="Normal"/>
    <w:next w:val="Normal"/>
    <w:link w:val="7"/>
    <w:uiPriority w:val="99"/>
    <w:semiHidden/>
    <w:unhideWhenUsed/>
    <w:qFormat/>
    <w:rsid w:val="00905da5"/>
    <w:pPr>
      <w:spacing w:lineRule="auto" w:line="240" w:before="240" w:after="60"/>
      <w:outlineLvl w:val="6"/>
    </w:pPr>
    <w:rPr>
      <w:rFonts w:ascii="Times New Roman" w:hAnsi="Times New Roman" w:eastAsia="Times New Roman" w:cs="Times New Roman"/>
      <w:sz w:val="24"/>
      <w:szCs w:val="24"/>
      <w:lang w:eastAsia="ru-RU"/>
    </w:rPr>
  </w:style>
  <w:style w:type="paragraph" w:styleId="Heading8">
    <w:name w:val="heading 8"/>
    <w:basedOn w:val="Normal"/>
    <w:next w:val="Normal"/>
    <w:link w:val="81"/>
    <w:uiPriority w:val="99"/>
    <w:semiHidden/>
    <w:unhideWhenUsed/>
    <w:qFormat/>
    <w:rsid w:val="00905da5"/>
    <w:pPr>
      <w:spacing w:lineRule="auto" w:line="240" w:before="240" w:after="60"/>
      <w:outlineLvl w:val="7"/>
    </w:pPr>
    <w:rPr>
      <w:rFonts w:ascii="Times New Roman" w:hAnsi="Times New Roman" w:eastAsia="Times New Roman" w:cs="Times New Roman"/>
      <w:i/>
      <w:iCs/>
      <w:sz w:val="24"/>
      <w:szCs w:val="24"/>
      <w:lang w:eastAsia="ru-RU"/>
    </w:rPr>
  </w:style>
  <w:style w:type="paragraph" w:styleId="Heading9">
    <w:name w:val="heading 9"/>
    <w:basedOn w:val="Normal"/>
    <w:next w:val="Normal"/>
    <w:link w:val="9"/>
    <w:uiPriority w:val="99"/>
    <w:semiHidden/>
    <w:unhideWhenUsed/>
    <w:qFormat/>
    <w:rsid w:val="00905da5"/>
    <w:pPr>
      <w:keepNext w:val="true"/>
      <w:spacing w:lineRule="auto" w:line="240" w:before="0" w:after="0"/>
      <w:outlineLvl w:val="8"/>
    </w:pPr>
    <w:rPr>
      <w:rFonts w:ascii="Times New Roman" w:hAnsi="Times New Roman" w:eastAsia="Times New Roman" w:cs="Times New Roman"/>
      <w:b/>
      <w:sz w:val="28"/>
      <w:szCs w:val="20"/>
      <w:lang w:eastAsia="ru-RU"/>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qFormat/>
    <w:rsid w:val="00e34927"/>
    <w:rPr>
      <w:rFonts w:ascii="Times New Roman" w:hAnsi="Times New Roman" w:eastAsia="Times New Roman" w:cs="Times New Roman"/>
      <w:b/>
      <w:bCs/>
      <w:kern w:val="2"/>
      <w:sz w:val="48"/>
      <w:szCs w:val="48"/>
      <w:lang w:eastAsia="ru-RU"/>
    </w:rPr>
  </w:style>
  <w:style w:type="character" w:styleId="2" w:customStyle="1">
    <w:name w:val="Заголовок 2 Знак"/>
    <w:basedOn w:val="DefaultParagraphFont"/>
    <w:link w:val="Heading2"/>
    <w:qFormat/>
    <w:rsid w:val="00e34927"/>
    <w:rPr>
      <w:rFonts w:ascii="Calibri Light" w:hAnsi="Calibri Light" w:eastAsia="" w:cs="" w:asciiTheme="majorHAnsi" w:cstheme="majorBidi" w:eastAsiaTheme="majorEastAsia" w:hAnsiTheme="majorHAnsi"/>
      <w:color w:themeColor="accent1" w:themeShade="bf" w:val="2E74B5"/>
      <w:sz w:val="26"/>
      <w:szCs w:val="26"/>
    </w:rPr>
  </w:style>
  <w:style w:type="character" w:styleId="3" w:customStyle="1">
    <w:name w:val="Заголовок 3 Знак"/>
    <w:basedOn w:val="DefaultParagraphFont"/>
    <w:link w:val="Heading3"/>
    <w:qFormat/>
    <w:rsid w:val="00905da5"/>
    <w:rPr>
      <w:rFonts w:ascii="Times New Roman" w:hAnsi="Times New Roman" w:eastAsia="Times New Roman" w:cs="Times New Roman"/>
      <w:sz w:val="28"/>
      <w:szCs w:val="20"/>
      <w:lang w:eastAsia="ru-RU"/>
    </w:rPr>
  </w:style>
  <w:style w:type="character" w:styleId="4" w:customStyle="1">
    <w:name w:val="Заголовок 4 Знак"/>
    <w:basedOn w:val="DefaultParagraphFont"/>
    <w:link w:val="Heading4"/>
    <w:semiHidden/>
    <w:qFormat/>
    <w:rsid w:val="00905da5"/>
    <w:rPr>
      <w:rFonts w:ascii="Times New Roman" w:hAnsi="Times New Roman" w:eastAsia="Times New Roman" w:cs="Times New Roman"/>
      <w:sz w:val="28"/>
      <w:szCs w:val="20"/>
      <w:lang w:val="en-US" w:eastAsia="ko-KR"/>
    </w:rPr>
  </w:style>
  <w:style w:type="character" w:styleId="Style5" w:customStyle="1">
    <w:name w:val="Нижний колонтитул Знак"/>
    <w:basedOn w:val="DefaultParagraphFont"/>
    <w:link w:val="Footer"/>
    <w:uiPriority w:val="99"/>
    <w:qFormat/>
    <w:rsid w:val="00462fb3"/>
    <w:rPr/>
  </w:style>
  <w:style w:type="character" w:styleId="Hyperlink">
    <w:name w:val="Hyperlink"/>
    <w:basedOn w:val="DefaultParagraphFont"/>
    <w:uiPriority w:val="99"/>
    <w:unhideWhenUsed/>
    <w:rsid w:val="00615bfd"/>
    <w:rPr>
      <w:color w:themeColor="hyperlink" w:val="0563C1"/>
      <w:u w:val="single"/>
    </w:rPr>
  </w:style>
  <w:style w:type="character" w:styleId="Style6" w:customStyle="1">
    <w:name w:val="Абзац списка Знак"/>
    <w:link w:val="ListParagraph"/>
    <w:uiPriority w:val="34"/>
    <w:qFormat/>
    <w:locked/>
    <w:rsid w:val="00e34927"/>
    <w:rPr/>
  </w:style>
  <w:style w:type="character" w:styleId="button-link-text" w:customStyle="1">
    <w:name w:val="button-link-text"/>
    <w:basedOn w:val="DefaultParagraphFont"/>
    <w:qFormat/>
    <w:rsid w:val="00e34927"/>
    <w:rPr/>
  </w:style>
  <w:style w:type="character" w:styleId="react-xocs-alternative-link" w:customStyle="1">
    <w:name w:val="react-xocs-alternative-link"/>
    <w:basedOn w:val="DefaultParagraphFont"/>
    <w:qFormat/>
    <w:rsid w:val="00e34927"/>
    <w:rPr/>
  </w:style>
  <w:style w:type="character" w:styleId="given-name" w:customStyle="1">
    <w:name w:val="given-name"/>
    <w:basedOn w:val="DefaultParagraphFont"/>
    <w:qFormat/>
    <w:rsid w:val="00e34927"/>
    <w:rPr/>
  </w:style>
  <w:style w:type="character" w:styleId="text" w:customStyle="1">
    <w:name w:val="text"/>
    <w:basedOn w:val="DefaultParagraphFont"/>
    <w:qFormat/>
    <w:rsid w:val="00e34927"/>
    <w:rPr/>
  </w:style>
  <w:style w:type="character" w:styleId="author-ref" w:customStyle="1">
    <w:name w:val="author-ref"/>
    <w:basedOn w:val="DefaultParagraphFont"/>
    <w:qFormat/>
    <w:rsid w:val="00e34927"/>
    <w:rPr/>
  </w:style>
  <w:style w:type="character" w:styleId="title-text" w:customStyle="1">
    <w:name w:val="title-text"/>
    <w:basedOn w:val="DefaultParagraphFont"/>
    <w:qFormat/>
    <w:rsid w:val="00e34927"/>
    <w:rPr/>
  </w:style>
  <w:style w:type="character" w:styleId="anchor-text" w:customStyle="1">
    <w:name w:val="anchor-text"/>
    <w:basedOn w:val="DefaultParagraphFont"/>
    <w:qFormat/>
    <w:rsid w:val="00e34927"/>
    <w:rPr/>
  </w:style>
  <w:style w:type="character" w:styleId="typography-modulelvnit" w:customStyle="1">
    <w:name w:val="typography-module__lvnit"/>
    <w:basedOn w:val="DefaultParagraphFont"/>
    <w:qFormat/>
    <w:rsid w:val="00e34927"/>
    <w:rPr/>
  </w:style>
  <w:style w:type="character" w:styleId="author-modulewfeox" w:customStyle="1">
    <w:name w:val="author-module__wfeox"/>
    <w:basedOn w:val="DefaultParagraphFont"/>
    <w:qFormat/>
    <w:rsid w:val="00e34927"/>
    <w:rPr/>
  </w:style>
  <w:style w:type="character" w:styleId="FollowedHyperlink">
    <w:name w:val="FollowedHyperlink"/>
    <w:basedOn w:val="DefaultParagraphFont"/>
    <w:uiPriority w:val="99"/>
    <w:semiHidden/>
    <w:unhideWhenUsed/>
    <w:rsid w:val="00e34927"/>
    <w:rPr>
      <w:color w:themeColor="followedHyperlink" w:val="954F72"/>
      <w:u w:val="single"/>
    </w:rPr>
  </w:style>
  <w:style w:type="character" w:styleId="reference" w:customStyle="1">
    <w:name w:val="reference"/>
    <w:basedOn w:val="DefaultParagraphFont"/>
    <w:qFormat/>
    <w:rsid w:val="00e34927"/>
    <w:rPr/>
  </w:style>
  <w:style w:type="character" w:styleId="label" w:customStyle="1">
    <w:name w:val="label"/>
    <w:basedOn w:val="DefaultParagraphFont"/>
    <w:qFormat/>
    <w:rsid w:val="00e34927"/>
    <w:rPr/>
  </w:style>
  <w:style w:type="character" w:styleId="highlight" w:customStyle="1">
    <w:name w:val="highlight"/>
    <w:basedOn w:val="DefaultParagraphFont"/>
    <w:qFormat/>
    <w:rsid w:val="00e34927"/>
    <w:rPr/>
  </w:style>
  <w:style w:type="character" w:styleId="Style7" w:customStyle="1">
    <w:name w:val="Основной текст Знак"/>
    <w:basedOn w:val="DefaultParagraphFont"/>
    <w:uiPriority w:val="99"/>
    <w:qFormat/>
    <w:rsid w:val="00e34927"/>
    <w:rPr>
      <w:rFonts w:ascii="Times New Roman" w:hAnsi="Times New Roman" w:eastAsia="Times New Roman" w:cs="Times New Roman"/>
      <w:sz w:val="24"/>
      <w:szCs w:val="24"/>
    </w:rPr>
  </w:style>
  <w:style w:type="character" w:styleId="highlight-moduleako5d" w:customStyle="1">
    <w:name w:val="highlight-module__ako5d"/>
    <w:basedOn w:val="DefaultParagraphFont"/>
    <w:qFormat/>
    <w:rsid w:val="00e34927"/>
    <w:rPr/>
  </w:style>
  <w:style w:type="character" w:styleId="Emphasis">
    <w:name w:val="Emphasis"/>
    <w:basedOn w:val="DefaultParagraphFont"/>
    <w:uiPriority w:val="20"/>
    <w:qFormat/>
    <w:rsid w:val="00e34927"/>
    <w:rPr>
      <w:i/>
      <w:iCs/>
    </w:rPr>
  </w:style>
  <w:style w:type="character" w:styleId="ezkurwreuab5ozgtqnkl" w:customStyle="1">
    <w:name w:val="ezkurwreuab5ozgtqnkl"/>
    <w:basedOn w:val="DefaultParagraphFont"/>
    <w:qFormat/>
    <w:rsid w:val="00e34927"/>
    <w:rPr/>
  </w:style>
  <w:style w:type="character" w:styleId="PlaceholderText">
    <w:name w:val="Placeholder Text"/>
    <w:basedOn w:val="DefaultParagraphFont"/>
    <w:uiPriority w:val="99"/>
    <w:semiHidden/>
    <w:qFormat/>
    <w:rsid w:val="00e34927"/>
    <w:rPr>
      <w:color w:val="808080"/>
    </w:rPr>
  </w:style>
  <w:style w:type="character" w:styleId="8" w:customStyle="1">
    <w:name w:val="Основной текст (8)_"/>
    <w:basedOn w:val="DefaultParagraphFont"/>
    <w:link w:val="82"/>
    <w:qFormat/>
    <w:rsid w:val="00c12819"/>
    <w:rPr>
      <w:sz w:val="19"/>
      <w:szCs w:val="19"/>
      <w:shd w:fill="FFFFFF" w:val="clear"/>
    </w:rPr>
  </w:style>
  <w:style w:type="character" w:styleId="80pt" w:customStyle="1">
    <w:name w:val="Основной текст (8) + Интервал 0 pt"/>
    <w:basedOn w:val="8"/>
    <w:qFormat/>
    <w:rsid w:val="00c12819"/>
    <w:rPr>
      <w:rFonts w:ascii="Times New Roman" w:hAnsi="Times New Roman" w:eastAsia="Times New Roman" w:cs="Times New Roman"/>
      <w:b w:val="false"/>
      <w:bCs w:val="false"/>
      <w:i/>
      <w:iCs/>
      <w:caps w:val="false"/>
      <w:smallCaps w:val="false"/>
      <w:strike w:val="false"/>
      <w:dstrike w:val="false"/>
      <w:color w:val="000000"/>
      <w:spacing w:val="-10"/>
      <w:w w:val="100"/>
      <w:sz w:val="23"/>
      <w:szCs w:val="23"/>
      <w:u w:val="none"/>
      <w:shd w:fill="FFFFFF" w:val="clear"/>
      <w:lang w:val="ru-RU"/>
    </w:rPr>
  </w:style>
  <w:style w:type="character" w:styleId="0pt" w:customStyle="1">
    <w:name w:val="Основной текст + Курсив;Интервал 0 pt"/>
    <w:basedOn w:val="DefaultParagraphFont"/>
    <w:qFormat/>
    <w:rsid w:val="00c12819"/>
    <w:rPr>
      <w:rFonts w:ascii="Times New Roman" w:hAnsi="Times New Roman" w:eastAsia="Times New Roman" w:cs="Times New Roman"/>
      <w:b w:val="false"/>
      <w:bCs w:val="false"/>
      <w:i/>
      <w:iCs/>
      <w:caps w:val="false"/>
      <w:smallCaps w:val="false"/>
      <w:strike w:val="false"/>
      <w:dstrike w:val="false"/>
      <w:spacing w:val="10"/>
      <w:sz w:val="20"/>
      <w:szCs w:val="20"/>
      <w:shd w:fill="FFFFFF" w:val="clear"/>
    </w:rPr>
  </w:style>
  <w:style w:type="character" w:styleId="7TimesNewRoman115pt0pt" w:customStyle="1">
    <w:name w:val="Основной текст (7) + Times New Roman;11;5 pt;Интервал 0 pt"/>
    <w:basedOn w:val="DefaultParagraphFont"/>
    <w:qFormat/>
    <w:rsid w:val="00c12819"/>
    <w:rPr>
      <w:rFonts w:ascii="Times New Roman" w:hAnsi="Times New Roman" w:eastAsia="Times New Roman" w:cs="Times New Roman"/>
      <w:b w:val="false"/>
      <w:bCs w:val="false"/>
      <w:i w:val="false"/>
      <w:iCs w:val="false"/>
      <w:caps w:val="false"/>
      <w:smallCaps w:val="false"/>
      <w:strike w:val="false"/>
      <w:dstrike w:val="false"/>
      <w:color w:val="000000"/>
      <w:spacing w:val="0"/>
      <w:w w:val="100"/>
      <w:sz w:val="23"/>
      <w:szCs w:val="23"/>
      <w:u w:val="none"/>
      <w:lang w:bidi="ar-SA"/>
    </w:rPr>
  </w:style>
  <w:style w:type="character" w:styleId="11" w:customStyle="1">
    <w:name w:val="Основной текст1"/>
    <w:basedOn w:val="DefaultParagraphFont"/>
    <w:qFormat/>
    <w:rsid w:val="00c12819"/>
    <w:rPr>
      <w:rFonts w:ascii="Times New Roman" w:hAnsi="Times New Roman" w:eastAsia="Times New Roman" w:cs="Times New Roman"/>
      <w:b/>
      <w:bCs/>
      <w:color w:val="000000"/>
      <w:spacing w:val="0"/>
      <w:w w:val="100"/>
      <w:sz w:val="18"/>
      <w:szCs w:val="18"/>
      <w:shd w:fill="FFFFFF" w:val="clear"/>
      <w:lang w:val="ru-RU"/>
    </w:rPr>
  </w:style>
  <w:style w:type="character" w:styleId="31" w:customStyle="1">
    <w:name w:val="Основной текст 3 Знак"/>
    <w:basedOn w:val="DefaultParagraphFont"/>
    <w:link w:val="BodyText3"/>
    <w:uiPriority w:val="99"/>
    <w:qFormat/>
    <w:rsid w:val="00905da5"/>
    <w:rPr>
      <w:sz w:val="16"/>
      <w:szCs w:val="16"/>
    </w:rPr>
  </w:style>
  <w:style w:type="character" w:styleId="5" w:customStyle="1">
    <w:name w:val="Заголовок 5 Знак"/>
    <w:basedOn w:val="DefaultParagraphFont"/>
    <w:link w:val="Heading5"/>
    <w:semiHidden/>
    <w:qFormat/>
    <w:rsid w:val="00905da5"/>
    <w:rPr>
      <w:rFonts w:ascii="Times New Roman" w:hAnsi="Times New Roman" w:eastAsia="Times New Roman" w:cs="Times New Roman"/>
      <w:sz w:val="28"/>
      <w:szCs w:val="20"/>
      <w:lang w:eastAsia="ru-RU"/>
    </w:rPr>
  </w:style>
  <w:style w:type="character" w:styleId="6" w:customStyle="1">
    <w:name w:val="Заголовок 6 Знак"/>
    <w:basedOn w:val="DefaultParagraphFont"/>
    <w:link w:val="Heading6"/>
    <w:semiHidden/>
    <w:qFormat/>
    <w:rsid w:val="00905da5"/>
    <w:rPr>
      <w:rFonts w:ascii="Times New Roman" w:hAnsi="Times New Roman" w:eastAsia="Times New Roman" w:cs="Times New Roman"/>
      <w:sz w:val="28"/>
      <w:szCs w:val="20"/>
      <w:lang w:eastAsia="ru-RU"/>
    </w:rPr>
  </w:style>
  <w:style w:type="character" w:styleId="7" w:customStyle="1">
    <w:name w:val="Заголовок 7 Знак"/>
    <w:basedOn w:val="DefaultParagraphFont"/>
    <w:link w:val="Heading7"/>
    <w:uiPriority w:val="99"/>
    <w:semiHidden/>
    <w:qFormat/>
    <w:rsid w:val="00905da5"/>
    <w:rPr>
      <w:rFonts w:ascii="Times New Roman" w:hAnsi="Times New Roman" w:eastAsia="Times New Roman" w:cs="Times New Roman"/>
      <w:sz w:val="24"/>
      <w:szCs w:val="24"/>
      <w:lang w:eastAsia="ru-RU"/>
    </w:rPr>
  </w:style>
  <w:style w:type="character" w:styleId="81" w:customStyle="1">
    <w:name w:val="Заголовок 8 Знак"/>
    <w:basedOn w:val="DefaultParagraphFont"/>
    <w:link w:val="Heading8"/>
    <w:uiPriority w:val="99"/>
    <w:semiHidden/>
    <w:qFormat/>
    <w:rsid w:val="00905da5"/>
    <w:rPr>
      <w:rFonts w:ascii="Times New Roman" w:hAnsi="Times New Roman" w:eastAsia="Times New Roman" w:cs="Times New Roman"/>
      <w:i/>
      <w:iCs/>
      <w:sz w:val="24"/>
      <w:szCs w:val="24"/>
      <w:lang w:eastAsia="ru-RU"/>
    </w:rPr>
  </w:style>
  <w:style w:type="character" w:styleId="9" w:customStyle="1">
    <w:name w:val="Заголовок 9 Знак"/>
    <w:basedOn w:val="DefaultParagraphFont"/>
    <w:link w:val="Heading9"/>
    <w:uiPriority w:val="99"/>
    <w:semiHidden/>
    <w:qFormat/>
    <w:rsid w:val="00905da5"/>
    <w:rPr>
      <w:rFonts w:ascii="Times New Roman" w:hAnsi="Times New Roman" w:eastAsia="Times New Roman" w:cs="Times New Roman"/>
      <w:b/>
      <w:sz w:val="28"/>
      <w:szCs w:val="20"/>
      <w:lang w:eastAsia="ru-RU"/>
    </w:rPr>
  </w:style>
  <w:style w:type="character" w:styleId="Style8" w:customStyle="1">
    <w:name w:val="Заголовок Знак"/>
    <w:basedOn w:val="DefaultParagraphFont"/>
    <w:link w:val="Title"/>
    <w:qFormat/>
    <w:rsid w:val="00905da5"/>
    <w:rPr>
      <w:rFonts w:ascii="Times New Roman" w:hAnsi="Times New Roman" w:eastAsia="Times New Roman" w:cs="Times New Roman"/>
      <w:b/>
      <w:sz w:val="28"/>
      <w:szCs w:val="20"/>
      <w:lang w:eastAsia="ru-RU"/>
    </w:rPr>
  </w:style>
  <w:style w:type="character" w:styleId="32" w:customStyle="1">
    <w:name w:val="Основной текст с отступом 3 Знак"/>
    <w:basedOn w:val="DefaultParagraphFont"/>
    <w:link w:val="BodyTextIndent3"/>
    <w:uiPriority w:val="99"/>
    <w:qFormat/>
    <w:rsid w:val="00905da5"/>
    <w:rPr>
      <w:rFonts w:ascii="Times New Roman" w:hAnsi="Times New Roman" w:eastAsia="Times New Roman" w:cs="Times New Roman"/>
      <w:sz w:val="16"/>
      <w:szCs w:val="16"/>
      <w:lang w:eastAsia="ru-RU"/>
    </w:rPr>
  </w:style>
  <w:style w:type="character" w:styleId="21" w:customStyle="1">
    <w:name w:val="Основной текст 2 Знак"/>
    <w:basedOn w:val="DefaultParagraphFont"/>
    <w:link w:val="BodyText2"/>
    <w:uiPriority w:val="99"/>
    <w:qFormat/>
    <w:rsid w:val="00905da5"/>
    <w:rPr>
      <w:rFonts w:ascii="Times New Roman" w:hAnsi="Times New Roman" w:eastAsia="Times New Roman" w:cs="Times New Roman"/>
      <w:sz w:val="26"/>
      <w:szCs w:val="26"/>
      <w:lang w:eastAsia="ru-RU"/>
    </w:rPr>
  </w:style>
  <w:style w:type="character" w:styleId="Style9" w:customStyle="1">
    <w:name w:val="Верхний колонтитул Знак"/>
    <w:basedOn w:val="DefaultParagraphFont"/>
    <w:link w:val="Header"/>
    <w:qFormat/>
    <w:locked/>
    <w:rsid w:val="00905da5"/>
    <w:rPr>
      <w:rFonts w:ascii="Times New Roman" w:hAnsi="Times New Roman" w:eastAsia="Times New Roman" w:cs="Times New Roman"/>
      <w:sz w:val="26"/>
      <w:szCs w:val="26"/>
      <w:lang w:eastAsia="ru-RU"/>
    </w:rPr>
  </w:style>
  <w:style w:type="character" w:styleId="12" w:customStyle="1">
    <w:name w:val="Верхний колонтитул Знак1"/>
    <w:basedOn w:val="DefaultParagraphFont"/>
    <w:semiHidden/>
    <w:qFormat/>
    <w:rsid w:val="00905da5"/>
    <w:rPr/>
  </w:style>
  <w:style w:type="character" w:styleId="Style10" w:customStyle="1">
    <w:name w:val="Текст концевой сноски Знак"/>
    <w:basedOn w:val="DefaultParagraphFont"/>
    <w:link w:val="EndnoteText"/>
    <w:uiPriority w:val="99"/>
    <w:semiHidden/>
    <w:qFormat/>
    <w:rsid w:val="00905da5"/>
    <w:rPr>
      <w:rFonts w:ascii="Times New Roman" w:hAnsi="Times New Roman" w:eastAsia="Times New Roman" w:cs="Times New Roman"/>
      <w:sz w:val="20"/>
      <w:szCs w:val="20"/>
      <w:lang w:eastAsia="ru-RU"/>
    </w:rPr>
  </w:style>
  <w:style w:type="character" w:styleId="13" w:customStyle="1">
    <w:name w:val="Текст концевой сноски Знак1"/>
    <w:basedOn w:val="DefaultParagraphFont"/>
    <w:uiPriority w:val="99"/>
    <w:semiHidden/>
    <w:qFormat/>
    <w:rsid w:val="00905da5"/>
    <w:rPr>
      <w:sz w:val="20"/>
      <w:szCs w:val="20"/>
    </w:rPr>
  </w:style>
  <w:style w:type="character" w:styleId="Style11" w:customStyle="1">
    <w:name w:val="Основной текст с отступом Знак"/>
    <w:basedOn w:val="DefaultParagraphFont"/>
    <w:uiPriority w:val="99"/>
    <w:qFormat/>
    <w:rsid w:val="00905da5"/>
    <w:rPr>
      <w:rFonts w:ascii="Times New Roman" w:hAnsi="Times New Roman" w:eastAsia="Times New Roman" w:cs="Times New Roman"/>
      <w:sz w:val="26"/>
      <w:szCs w:val="26"/>
      <w:lang w:eastAsia="ru-RU"/>
    </w:rPr>
  </w:style>
  <w:style w:type="character" w:styleId="Style12" w:customStyle="1">
    <w:name w:val="Подзаголовок Знак"/>
    <w:basedOn w:val="DefaultParagraphFont"/>
    <w:link w:val="Subtitle"/>
    <w:uiPriority w:val="99"/>
    <w:qFormat/>
    <w:rsid w:val="00905da5"/>
    <w:rPr>
      <w:rFonts w:ascii="Calibri Light" w:hAnsi="Calibri Light" w:eastAsia="Times New Roman" w:cs="Times New Roman"/>
      <w:i/>
      <w:iCs/>
      <w:color w:val="4472C4"/>
      <w:spacing w:val="15"/>
      <w:sz w:val="24"/>
      <w:szCs w:val="24"/>
      <w:lang w:eastAsia="ru-RU"/>
    </w:rPr>
  </w:style>
  <w:style w:type="character" w:styleId="22" w:customStyle="1">
    <w:name w:val="Основной текст с отступом 2 Знак"/>
    <w:basedOn w:val="DefaultParagraphFont"/>
    <w:link w:val="BodyTextIndent2"/>
    <w:uiPriority w:val="99"/>
    <w:semiHidden/>
    <w:qFormat/>
    <w:rsid w:val="00905da5"/>
    <w:rPr>
      <w:rFonts w:ascii="Times New Roman" w:hAnsi="Times New Roman" w:eastAsia="Times New Roman" w:cs="Times New Roman"/>
      <w:sz w:val="28"/>
      <w:szCs w:val="20"/>
      <w:lang w:eastAsia="ru-RU"/>
    </w:rPr>
  </w:style>
  <w:style w:type="character" w:styleId="211" w:customStyle="1">
    <w:name w:val="Основной текст с отступом 2 Знак1"/>
    <w:basedOn w:val="DefaultParagraphFont"/>
    <w:uiPriority w:val="99"/>
    <w:semiHidden/>
    <w:qFormat/>
    <w:rsid w:val="00905da5"/>
    <w:rPr/>
  </w:style>
  <w:style w:type="character" w:styleId="Style13" w:customStyle="1">
    <w:name w:val="Текст выноски Знак"/>
    <w:basedOn w:val="DefaultParagraphFont"/>
    <w:link w:val="BalloonText"/>
    <w:uiPriority w:val="99"/>
    <w:semiHidden/>
    <w:qFormat/>
    <w:rsid w:val="00905da5"/>
    <w:rPr>
      <w:rFonts w:ascii="Segoe UI" w:hAnsi="Segoe UI" w:eastAsia="Times New Roman" w:cs="Segoe UI"/>
      <w:sz w:val="18"/>
      <w:szCs w:val="18"/>
      <w:lang w:eastAsia="ru-RU"/>
    </w:rPr>
  </w:style>
  <w:style w:type="character" w:styleId="14" w:customStyle="1">
    <w:name w:val="Текст выноски Знак1"/>
    <w:basedOn w:val="DefaultParagraphFont"/>
    <w:uiPriority w:val="99"/>
    <w:semiHidden/>
    <w:qFormat/>
    <w:rsid w:val="00905da5"/>
    <w:rPr>
      <w:rFonts w:ascii="Segoe UI" w:hAnsi="Segoe UI" w:cs="Segoe UI"/>
      <w:sz w:val="18"/>
      <w:szCs w:val="18"/>
    </w:rPr>
  </w:style>
  <w:style w:type="character" w:styleId="Style14" w:customStyle="1">
    <w:name w:val="проект Знак"/>
    <w:basedOn w:val="1"/>
    <w:link w:val="Style17"/>
    <w:qFormat/>
    <w:locked/>
    <w:rsid w:val="00905da5"/>
    <w:rPr>
      <w:rFonts w:ascii="Times New Roman" w:hAnsi="Times New Roman" w:eastAsia="Times New Roman" w:cs="Times New Roman"/>
      <w:b w:val="false"/>
      <w:bCs w:val="false"/>
      <w:color w:val="2F5496"/>
      <w:kern w:val="2"/>
      <w:sz w:val="28"/>
      <w:szCs w:val="28"/>
      <w:lang w:eastAsia="ru-RU"/>
    </w:rPr>
  </w:style>
  <w:style w:type="character" w:styleId="1111111" w:customStyle="1">
    <w:name w:val="1111111 Знак"/>
    <w:basedOn w:val="DefaultParagraphFont"/>
    <w:link w:val="11111111"/>
    <w:semiHidden/>
    <w:qFormat/>
    <w:locked/>
    <w:rsid w:val="00905da5"/>
    <w:rPr>
      <w:rFonts w:ascii="Times New Roman" w:hAnsi="Times New Roman" w:eastAsia="Times New Roman" w:cs="Times New Roman"/>
      <w:sz w:val="28"/>
      <w:szCs w:val="28"/>
      <w:lang w:eastAsia="ru-RU"/>
    </w:rPr>
  </w:style>
  <w:style w:type="character" w:styleId="Style15" w:customStyle="1">
    <w:name w:val="подраздел Знак"/>
    <w:basedOn w:val="DefaultParagraphFont"/>
    <w:link w:val="Style18"/>
    <w:semiHidden/>
    <w:qFormat/>
    <w:locked/>
    <w:rsid w:val="00905da5"/>
    <w:rPr>
      <w:rFonts w:ascii="Times New Roman" w:hAnsi="Times New Roman" w:eastAsia="Times New Roman" w:cs="Times New Roman"/>
      <w:sz w:val="28"/>
      <w:szCs w:val="28"/>
      <w:lang w:eastAsia="ru-RU"/>
    </w:rPr>
  </w:style>
  <w:style w:type="character" w:styleId="141" w:customStyle="1">
    <w:name w:val="Основной текст (14)_"/>
    <w:basedOn w:val="DefaultParagraphFont"/>
    <w:link w:val="142"/>
    <w:semiHidden/>
    <w:qFormat/>
    <w:locked/>
    <w:rsid w:val="00905da5"/>
    <w:rPr>
      <w:sz w:val="23"/>
      <w:szCs w:val="23"/>
      <w:shd w:fill="FFFFFF" w:val="clear"/>
    </w:rPr>
  </w:style>
  <w:style w:type="character" w:styleId="15" w:customStyle="1">
    <w:name w:val="Основной текст Знак1"/>
    <w:basedOn w:val="DefaultParagraphFont"/>
    <w:uiPriority w:val="99"/>
    <w:qFormat/>
    <w:rsid w:val="00905da5"/>
    <w:rPr>
      <w:rFonts w:ascii="Times New Roman" w:hAnsi="Times New Roman" w:cs="Times New Roman"/>
      <w:spacing w:val="7"/>
      <w:sz w:val="18"/>
      <w:szCs w:val="18"/>
      <w:shd w:fill="FFFFFF" w:val="clear"/>
    </w:rPr>
  </w:style>
  <w:style w:type="character" w:styleId="Style16" w:customStyle="1">
    <w:name w:val="Таблица Знак"/>
    <w:link w:val="Style19"/>
    <w:qFormat/>
    <w:locked/>
    <w:rsid w:val="00905da5"/>
    <w:rPr>
      <w:rFonts w:ascii="Times New Roman" w:hAnsi="Times New Roman" w:eastAsia="Times New Roman" w:cs="Arial"/>
      <w:color w:val="000000"/>
      <w:sz w:val="28"/>
      <w:szCs w:val="24"/>
      <w:lang w:eastAsia="ru-RU"/>
    </w:rPr>
  </w:style>
  <w:style w:type="character" w:styleId="Figure" w:customStyle="1">
    <w:name w:val="Figure Знак"/>
    <w:link w:val="Figure1"/>
    <w:qFormat/>
    <w:rsid w:val="00905da5"/>
    <w:rPr>
      <w:rFonts w:ascii="Times New Roman" w:hAnsi="Times New Roman" w:eastAsia="Times New Roman" w:cs="Times New Roman"/>
      <w:sz w:val="24"/>
      <w:szCs w:val="24"/>
    </w:rPr>
  </w:style>
  <w:style w:type="character" w:styleId="Strong">
    <w:name w:val="Strong"/>
    <w:basedOn w:val="DefaultParagraphFont"/>
    <w:uiPriority w:val="22"/>
    <w:qFormat/>
    <w:rsid w:val="00905da5"/>
    <w:rPr>
      <w:b/>
      <w:bCs/>
    </w:rPr>
  </w:style>
  <w:style w:type="character" w:styleId="Bodytext" w:customStyle="1">
    <w:name w:val="Body text_"/>
    <w:basedOn w:val="DefaultParagraphFont"/>
    <w:qFormat/>
    <w:rsid w:val="00905da5"/>
    <w:rPr>
      <w:rFonts w:ascii="Times New Roman" w:hAnsi="Times New Roman" w:eastAsia="Times New Roman" w:cs="Times New Roman"/>
      <w:sz w:val="28"/>
      <w:szCs w:val="28"/>
    </w:rPr>
  </w:style>
  <w:style w:type="character" w:styleId="16" w:customStyle="1">
    <w:name w:val="Подзаголовок Знак1"/>
    <w:basedOn w:val="DefaultParagraphFont"/>
    <w:uiPriority w:val="11"/>
    <w:qFormat/>
    <w:rsid w:val="00905da5"/>
    <w:rPr>
      <w:rFonts w:eastAsia="" w:eastAsiaTheme="minorEastAsia"/>
      <w:color w:themeColor="text1" w:themeTint="a5" w:val="5A5A5A"/>
      <w:spacing w:val="15"/>
    </w:rPr>
  </w:style>
  <w:style w:type="paragraph" w:styleId="Heading">
    <w:name w:val="Heading"/>
    <w:basedOn w:val="Normal"/>
    <w:next w:val="BodyText1"/>
    <w:qFormat/>
    <w:pPr>
      <w:keepNext w:val="true"/>
      <w:spacing w:before="240" w:after="120"/>
    </w:pPr>
    <w:rPr>
      <w:rFonts w:ascii="Liberation Sans" w:hAnsi="Liberation Sans" w:eastAsia="Unifont" w:cs="FreeSans"/>
      <w:sz w:val="28"/>
      <w:szCs w:val="28"/>
    </w:rPr>
  </w:style>
  <w:style w:type="paragraph" w:styleId="BodyText1">
    <w:name w:val="Body Text"/>
    <w:basedOn w:val="Normal"/>
    <w:link w:val="Style7"/>
    <w:uiPriority w:val="99"/>
    <w:qFormat/>
    <w:rsid w:val="00e34927"/>
    <w:pPr>
      <w:widowControl w:val="false"/>
      <w:spacing w:lineRule="auto" w:line="240" w:before="0" w:after="0"/>
    </w:pPr>
    <w:rPr>
      <w:rFonts w:ascii="Times New Roman" w:hAnsi="Times New Roman" w:eastAsia="Times New Roman" w:cs="Times New Roman"/>
      <w:sz w:val="24"/>
      <w:szCs w:val="24"/>
    </w:rPr>
  </w:style>
  <w:style w:type="paragraph" w:styleId="List">
    <w:name w:val="List"/>
    <w:basedOn w:val="BodyText1"/>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Footer">
    <w:name w:val="footer"/>
    <w:basedOn w:val="Normal"/>
    <w:link w:val="Style5"/>
    <w:uiPriority w:val="99"/>
    <w:unhideWhenUsed/>
    <w:rsid w:val="00462fb3"/>
    <w:pPr>
      <w:tabs>
        <w:tab w:val="clear" w:pos="708"/>
        <w:tab w:val="center" w:pos="4677" w:leader="none"/>
        <w:tab w:val="right" w:pos="9355" w:leader="none"/>
      </w:tabs>
      <w:spacing w:lineRule="auto" w:line="240" w:before="0" w:after="0"/>
    </w:pPr>
    <w:rPr/>
  </w:style>
  <w:style w:type="paragraph" w:styleId="NormalWeb">
    <w:name w:val="Normal (Web)"/>
    <w:basedOn w:val="Normal"/>
    <w:uiPriority w:val="99"/>
    <w:unhideWhenUsed/>
    <w:qFormat/>
    <w:rsid w:val="00462fb3"/>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link w:val="Style6"/>
    <w:uiPriority w:val="34"/>
    <w:qFormat/>
    <w:rsid w:val="00e34927"/>
    <w:pPr>
      <w:spacing w:before="0" w:after="160"/>
      <w:ind w:left="720"/>
      <w:contextualSpacing/>
    </w:pPr>
    <w:rPr/>
  </w:style>
  <w:style w:type="paragraph" w:styleId="Default" w:customStyle="1">
    <w:name w:val="Default"/>
    <w:qFormat/>
    <w:rsid w:val="00e34927"/>
    <w:pPr>
      <w:widowControl/>
      <w:bidi w:val="0"/>
      <w:spacing w:lineRule="auto" w:line="240" w:before="0" w:after="0"/>
      <w:jc w:val="left"/>
    </w:pPr>
    <w:rPr>
      <w:rFonts w:ascii="Times New Roman" w:hAnsi="Times New Roman" w:cs="Times New Roman" w:eastAsia="Calibri"/>
      <w:color w:val="000000"/>
      <w:kern w:val="0"/>
      <w:sz w:val="24"/>
      <w:szCs w:val="24"/>
      <w:lang w:val="ru-RU" w:eastAsia="en-US" w:bidi="ar-SA"/>
    </w:rPr>
  </w:style>
  <w:style w:type="paragraph" w:styleId="82" w:customStyle="1">
    <w:name w:val="Основной текст (8)"/>
    <w:basedOn w:val="Normal"/>
    <w:link w:val="8"/>
    <w:qFormat/>
    <w:rsid w:val="00c12819"/>
    <w:pPr>
      <w:shd w:val="clear" w:color="auto" w:fill="FFFFFF"/>
      <w:spacing w:lineRule="atLeast" w:line="240" w:before="0" w:after="0"/>
    </w:pPr>
    <w:rPr>
      <w:sz w:val="19"/>
      <w:szCs w:val="19"/>
    </w:rPr>
  </w:style>
  <w:style w:type="paragraph" w:styleId="17" w:customStyle="1">
    <w:name w:val="Обычный1"/>
    <w:qFormat/>
    <w:rsid w:val="00c12819"/>
    <w:pPr>
      <w:widowControl/>
      <w:bidi w:val="0"/>
      <w:spacing w:lineRule="auto" w:line="259" w:before="0" w:after="160"/>
      <w:jc w:val="left"/>
    </w:pPr>
    <w:rPr>
      <w:rFonts w:ascii="Calibri" w:hAnsi="Calibri" w:eastAsia="Calibri" w:cs="Calibri" w:asciiTheme="minorHAnsi" w:eastAsiaTheme="minorHAnsi" w:hAnsiTheme="minorHAnsi"/>
      <w:color w:val="auto"/>
      <w:kern w:val="0"/>
      <w:sz w:val="22"/>
      <w:szCs w:val="22"/>
      <w:lang w:eastAsia="ru-RU" w:val="ru-RU" w:bidi="ar-SA"/>
    </w:rPr>
  </w:style>
  <w:style w:type="paragraph" w:styleId="111" w:customStyle="1">
    <w:name w:val="Основной текст11"/>
    <w:basedOn w:val="Normal"/>
    <w:qFormat/>
    <w:rsid w:val="00c12819"/>
    <w:pPr>
      <w:widowControl w:val="false"/>
      <w:shd w:val="clear" w:color="auto" w:fill="FFFFFF"/>
      <w:spacing w:lineRule="exact" w:line="307" w:before="0" w:after="300"/>
      <w:jc w:val="both"/>
    </w:pPr>
    <w:rPr>
      <w:rFonts w:ascii="Times New Roman" w:hAnsi="Times New Roman" w:eastAsia="Times New Roman" w:cs="Times New Roman"/>
      <w:color w:val="000000"/>
      <w:spacing w:val="20"/>
      <w:sz w:val="26"/>
      <w:szCs w:val="26"/>
      <w:lang w:eastAsia="ru-RU"/>
    </w:rPr>
  </w:style>
  <w:style w:type="paragraph" w:styleId="BodyText3">
    <w:name w:val="Body Text 3"/>
    <w:basedOn w:val="Normal"/>
    <w:link w:val="31"/>
    <w:uiPriority w:val="99"/>
    <w:unhideWhenUsed/>
    <w:qFormat/>
    <w:rsid w:val="00905da5"/>
    <w:pPr>
      <w:spacing w:before="0" w:after="120"/>
    </w:pPr>
    <w:rPr>
      <w:sz w:val="16"/>
      <w:szCs w:val="16"/>
    </w:rPr>
  </w:style>
  <w:style w:type="paragraph" w:styleId="18" w:customStyle="1">
    <w:name w:val="Без интервала1"/>
    <w:qFormat/>
    <w:rsid w:val="00905da5"/>
    <w:pPr>
      <w:widowControl/>
      <w:bidi w:val="0"/>
      <w:spacing w:lineRule="auto" w:line="240" w:before="0" w:after="0"/>
      <w:jc w:val="left"/>
    </w:pPr>
    <w:rPr>
      <w:rFonts w:ascii="Calibri" w:hAnsi="Calibri" w:eastAsia="Calibri" w:cs="Times New Roman" w:asciiTheme="minorHAnsi" w:eastAsiaTheme="minorHAnsi" w:hAnsiTheme="minorHAnsi"/>
      <w:color w:val="auto"/>
      <w:kern w:val="0"/>
      <w:sz w:val="22"/>
      <w:szCs w:val="22"/>
      <w:lang w:val="ru-RU" w:eastAsia="en-US" w:bidi="ar-SA"/>
    </w:rPr>
  </w:style>
  <w:style w:type="paragraph" w:styleId="Title">
    <w:name w:val="Title"/>
    <w:basedOn w:val="Normal"/>
    <w:link w:val="Style8"/>
    <w:qFormat/>
    <w:rsid w:val="00905da5"/>
    <w:pPr>
      <w:spacing w:lineRule="auto" w:line="240" w:before="0" w:after="0"/>
      <w:jc w:val="center"/>
    </w:pPr>
    <w:rPr>
      <w:rFonts w:ascii="Times New Roman" w:hAnsi="Times New Roman" w:eastAsia="Times New Roman" w:cs="Times New Roman"/>
      <w:b/>
      <w:sz w:val="28"/>
      <w:szCs w:val="20"/>
      <w:lang w:eastAsia="ru-RU"/>
    </w:rPr>
  </w:style>
  <w:style w:type="paragraph" w:styleId="BodyTextIndent3">
    <w:name w:val="Body Text Indent 3"/>
    <w:basedOn w:val="Normal"/>
    <w:link w:val="32"/>
    <w:uiPriority w:val="99"/>
    <w:qFormat/>
    <w:rsid w:val="00905da5"/>
    <w:pPr>
      <w:widowControl w:val="false"/>
      <w:spacing w:lineRule="auto" w:line="240" w:before="0" w:after="120"/>
      <w:ind w:left="283"/>
    </w:pPr>
    <w:rPr>
      <w:rFonts w:ascii="Times New Roman" w:hAnsi="Times New Roman" w:eastAsia="Times New Roman" w:cs="Times New Roman"/>
      <w:sz w:val="16"/>
      <w:szCs w:val="16"/>
      <w:lang w:eastAsia="ru-RU"/>
    </w:rPr>
  </w:style>
  <w:style w:type="paragraph" w:styleId="BodyText2">
    <w:name w:val="Body Text 2"/>
    <w:basedOn w:val="Normal"/>
    <w:link w:val="21"/>
    <w:uiPriority w:val="99"/>
    <w:unhideWhenUsed/>
    <w:qFormat/>
    <w:rsid w:val="00905da5"/>
    <w:pPr>
      <w:spacing w:lineRule="auto" w:line="480" w:before="0" w:after="120"/>
    </w:pPr>
    <w:rPr>
      <w:rFonts w:ascii="Times New Roman" w:hAnsi="Times New Roman" w:eastAsia="Times New Roman" w:cs="Times New Roman"/>
      <w:sz w:val="26"/>
      <w:szCs w:val="26"/>
      <w:lang w:eastAsia="ru-RU"/>
    </w:rPr>
  </w:style>
  <w:style w:type="paragraph" w:styleId="List2">
    <w:name w:val="List 2"/>
    <w:basedOn w:val="Normal"/>
    <w:uiPriority w:val="99"/>
    <w:qFormat/>
    <w:rsid w:val="00905da5"/>
    <w:pPr>
      <w:spacing w:lineRule="auto" w:line="240" w:before="0" w:after="0"/>
      <w:ind w:hanging="283" w:left="566"/>
    </w:pPr>
    <w:rPr>
      <w:rFonts w:ascii="Times New Roman" w:hAnsi="Times New Roman" w:eastAsia="Batang" w:cs="Times New Roman"/>
      <w:sz w:val="24"/>
      <w:szCs w:val="24"/>
      <w:lang w:eastAsia="ru-RU"/>
    </w:rPr>
  </w:style>
  <w:style w:type="paragraph" w:styleId="Header">
    <w:name w:val="header"/>
    <w:basedOn w:val="Normal"/>
    <w:link w:val="Style9"/>
    <w:unhideWhenUsed/>
    <w:rsid w:val="00905da5"/>
    <w:pPr>
      <w:tabs>
        <w:tab w:val="clear" w:pos="708"/>
        <w:tab w:val="center" w:pos="4677" w:leader="none"/>
        <w:tab w:val="right" w:pos="9355" w:leader="none"/>
      </w:tabs>
      <w:spacing w:lineRule="auto" w:line="240" w:before="0" w:after="0"/>
    </w:pPr>
    <w:rPr>
      <w:rFonts w:ascii="Times New Roman" w:hAnsi="Times New Roman" w:eastAsia="Times New Roman" w:cs="Times New Roman"/>
      <w:sz w:val="26"/>
      <w:szCs w:val="26"/>
      <w:lang w:eastAsia="ru-RU"/>
    </w:rPr>
  </w:style>
  <w:style w:type="paragraph" w:styleId="EndnoteText">
    <w:name w:val="endnote text"/>
    <w:basedOn w:val="Normal"/>
    <w:link w:val="Style10"/>
    <w:uiPriority w:val="99"/>
    <w:semiHidden/>
    <w:unhideWhenUsed/>
    <w:rsid w:val="00905da5"/>
    <w:pPr>
      <w:spacing w:lineRule="auto" w:line="240" w:before="0" w:after="0"/>
    </w:pPr>
    <w:rPr>
      <w:rFonts w:ascii="Times New Roman" w:hAnsi="Times New Roman" w:eastAsia="Times New Roman" w:cs="Times New Roman"/>
      <w:sz w:val="20"/>
      <w:szCs w:val="20"/>
      <w:lang w:eastAsia="ru-RU"/>
    </w:rPr>
  </w:style>
  <w:style w:type="paragraph" w:styleId="BodyTextIndent">
    <w:name w:val="Body Text Indent"/>
    <w:basedOn w:val="Normal"/>
    <w:link w:val="Style11"/>
    <w:uiPriority w:val="99"/>
    <w:unhideWhenUsed/>
    <w:rsid w:val="00905da5"/>
    <w:pPr>
      <w:spacing w:lineRule="auto" w:line="240" w:before="0" w:after="120"/>
      <w:ind w:left="283"/>
    </w:pPr>
    <w:rPr>
      <w:rFonts w:ascii="Times New Roman" w:hAnsi="Times New Roman" w:eastAsia="Times New Roman" w:cs="Times New Roman"/>
      <w:sz w:val="26"/>
      <w:szCs w:val="26"/>
      <w:lang w:eastAsia="ru-RU"/>
    </w:rPr>
  </w:style>
  <w:style w:type="paragraph" w:styleId="19" w:customStyle="1">
    <w:name w:val="Подзаголовок1"/>
    <w:basedOn w:val="Normal"/>
    <w:next w:val="Normal"/>
    <w:uiPriority w:val="99"/>
    <w:qFormat/>
    <w:rsid w:val="00905da5"/>
    <w:pPr>
      <w:spacing w:lineRule="auto" w:line="240" w:before="0" w:after="0"/>
    </w:pPr>
    <w:rPr>
      <w:rFonts w:ascii="Calibri Light" w:hAnsi="Calibri Light" w:eastAsia="Times New Roman" w:cs="Times New Roman"/>
      <w:i/>
      <w:iCs/>
      <w:color w:val="4472C4"/>
      <w:spacing w:val="15"/>
      <w:sz w:val="24"/>
      <w:szCs w:val="24"/>
      <w:lang w:eastAsia="ru-RU"/>
    </w:rPr>
  </w:style>
  <w:style w:type="paragraph" w:styleId="Subtitle">
    <w:name w:val="Subtitle"/>
    <w:basedOn w:val="Normal"/>
    <w:next w:val="Normal"/>
    <w:link w:val="Style12"/>
    <w:uiPriority w:val="99"/>
    <w:qFormat/>
    <w:rsid w:val="00905da5"/>
    <w:pPr/>
    <w:rPr>
      <w:rFonts w:ascii="Calibri Light" w:hAnsi="Calibri Light" w:eastAsia="Times New Roman" w:cs="Times New Roman"/>
      <w:i/>
      <w:iCs/>
      <w:color w:val="4472C4"/>
      <w:spacing w:val="15"/>
      <w:sz w:val="24"/>
      <w:szCs w:val="24"/>
      <w:lang w:eastAsia="ru-RU"/>
    </w:rPr>
  </w:style>
  <w:style w:type="paragraph" w:styleId="BodyTextIndent2">
    <w:name w:val="Body Text Indent 2"/>
    <w:basedOn w:val="Normal"/>
    <w:link w:val="22"/>
    <w:uiPriority w:val="99"/>
    <w:semiHidden/>
    <w:unhideWhenUsed/>
    <w:qFormat/>
    <w:rsid w:val="00905da5"/>
    <w:pPr>
      <w:spacing w:lineRule="auto" w:line="240" w:before="0" w:after="0"/>
      <w:ind w:firstLine="720"/>
    </w:pPr>
    <w:rPr>
      <w:rFonts w:ascii="Times New Roman" w:hAnsi="Times New Roman" w:eastAsia="Times New Roman" w:cs="Times New Roman"/>
      <w:sz w:val="28"/>
      <w:szCs w:val="20"/>
      <w:lang w:eastAsia="ru-RU"/>
    </w:rPr>
  </w:style>
  <w:style w:type="paragraph" w:styleId="BalloonText">
    <w:name w:val="Balloon Text"/>
    <w:basedOn w:val="Normal"/>
    <w:link w:val="Style13"/>
    <w:uiPriority w:val="99"/>
    <w:semiHidden/>
    <w:unhideWhenUsed/>
    <w:qFormat/>
    <w:rsid w:val="00905da5"/>
    <w:pPr>
      <w:spacing w:lineRule="auto" w:line="240" w:before="0" w:after="0"/>
    </w:pPr>
    <w:rPr>
      <w:rFonts w:ascii="Segoe UI" w:hAnsi="Segoe UI" w:eastAsia="Times New Roman" w:cs="Segoe UI"/>
      <w:sz w:val="18"/>
      <w:szCs w:val="18"/>
      <w:lang w:eastAsia="ru-RU"/>
    </w:rPr>
  </w:style>
  <w:style w:type="paragraph" w:styleId="NoSpacing">
    <w:name w:val="No Spacing"/>
    <w:uiPriority w:val="1"/>
    <w:qFormat/>
    <w:rsid w:val="00905da5"/>
    <w:pPr>
      <w:widowControl/>
      <w:bidi w:val="0"/>
      <w:spacing w:lineRule="auto" w:line="240" w:before="0" w:after="0"/>
      <w:jc w:val="left"/>
    </w:pPr>
    <w:rPr>
      <w:rFonts w:ascii="Times New Roman" w:hAnsi="Times New Roman" w:eastAsia="Times New Roman" w:cs="Times New Roman"/>
      <w:color w:val="auto"/>
      <w:kern w:val="0"/>
      <w:sz w:val="26"/>
      <w:szCs w:val="26"/>
      <w:lang w:eastAsia="ru-RU" w:val="ru-RU" w:bidi="ar-SA"/>
    </w:rPr>
  </w:style>
  <w:style w:type="paragraph" w:styleId="Style17" w:customStyle="1">
    <w:name w:val="проект"/>
    <w:basedOn w:val="Heading1"/>
    <w:link w:val="Style14"/>
    <w:qFormat/>
    <w:rsid w:val="00905da5"/>
    <w:pPr>
      <w:keepNext w:val="true"/>
      <w:keepLines/>
      <w:spacing w:beforeAutospacing="0" w:before="240" w:afterAutospacing="0" w:after="0"/>
    </w:pPr>
    <w:rPr>
      <w:b w:val="false"/>
      <w:bCs w:val="false"/>
      <w:color w:val="2F5496"/>
      <w:sz w:val="28"/>
      <w:szCs w:val="28"/>
    </w:rPr>
  </w:style>
  <w:style w:type="paragraph" w:styleId="11111111" w:customStyle="1">
    <w:name w:val="1111111"/>
    <w:basedOn w:val="Normal"/>
    <w:link w:val="1111111"/>
    <w:semiHidden/>
    <w:qFormat/>
    <w:rsid w:val="00905da5"/>
    <w:pPr>
      <w:spacing w:lineRule="auto" w:line="240" w:before="0" w:after="0"/>
      <w:jc w:val="center"/>
    </w:pPr>
    <w:rPr>
      <w:rFonts w:ascii="Times New Roman" w:hAnsi="Times New Roman" w:eastAsia="Times New Roman" w:cs="Times New Roman"/>
      <w:sz w:val="28"/>
      <w:szCs w:val="28"/>
      <w:lang w:eastAsia="ru-RU"/>
    </w:rPr>
  </w:style>
  <w:style w:type="paragraph" w:styleId="Style18" w:customStyle="1">
    <w:name w:val="подраздел"/>
    <w:basedOn w:val="Normal"/>
    <w:link w:val="Style15"/>
    <w:semiHidden/>
    <w:qFormat/>
    <w:rsid w:val="00905da5"/>
    <w:pPr>
      <w:spacing w:lineRule="auto" w:line="240" w:before="0" w:after="0"/>
      <w:jc w:val="center"/>
    </w:pPr>
    <w:rPr>
      <w:rFonts w:ascii="Times New Roman" w:hAnsi="Times New Roman" w:eastAsia="Times New Roman" w:cs="Times New Roman"/>
      <w:sz w:val="28"/>
      <w:szCs w:val="28"/>
      <w:lang w:eastAsia="ru-RU"/>
    </w:rPr>
  </w:style>
  <w:style w:type="paragraph" w:styleId="212" w:customStyle="1">
    <w:name w:val="Заголовок 21"/>
    <w:basedOn w:val="Normal"/>
    <w:next w:val="Normal"/>
    <w:qFormat/>
    <w:rsid w:val="00905da5"/>
    <w:pPr>
      <w:keepNext w:val="true"/>
      <w:keepLines/>
      <w:spacing w:lineRule="auto" w:line="240" w:before="40" w:after="0"/>
      <w:outlineLvl w:val="1"/>
    </w:pPr>
    <w:rPr>
      <w:rFonts w:ascii="Calibri Light" w:hAnsi="Calibri Light" w:eastAsia="Times New Roman" w:cs="Times New Roman"/>
      <w:color w:val="2F5496"/>
      <w:sz w:val="26"/>
      <w:szCs w:val="26"/>
      <w:lang w:eastAsia="ru-RU"/>
    </w:rPr>
  </w:style>
  <w:style w:type="paragraph" w:styleId="142" w:customStyle="1">
    <w:name w:val="Основной текст (14)"/>
    <w:basedOn w:val="Normal"/>
    <w:link w:val="141"/>
    <w:semiHidden/>
    <w:qFormat/>
    <w:rsid w:val="00905da5"/>
    <w:pPr>
      <w:shd w:val="clear" w:color="auto" w:fill="FFFFFF"/>
      <w:spacing w:lineRule="atLeast" w:line="0" w:before="0" w:after="0"/>
    </w:pPr>
    <w:rPr>
      <w:sz w:val="23"/>
      <w:szCs w:val="23"/>
    </w:rPr>
  </w:style>
  <w:style w:type="paragraph" w:styleId="121" w:customStyle="1">
    <w:name w:val="Обычный + 12 пт"/>
    <w:basedOn w:val="Normal"/>
    <w:qFormat/>
    <w:rsid w:val="00905da5"/>
    <w:pPr>
      <w:spacing w:lineRule="auto" w:line="240" w:before="0" w:after="0"/>
      <w:ind w:firstLine="709"/>
      <w:jc w:val="both"/>
    </w:pPr>
    <w:rPr>
      <w:rFonts w:ascii="Times New Roman" w:hAnsi="Times New Roman" w:eastAsia="Times New Roman" w:cs="Times New Roman"/>
      <w:sz w:val="24"/>
      <w:szCs w:val="24"/>
      <w:lang w:eastAsia="ru-RU"/>
    </w:rPr>
  </w:style>
  <w:style w:type="paragraph" w:styleId="Style19" w:customStyle="1">
    <w:name w:val="Таблица"/>
    <w:basedOn w:val="Normal"/>
    <w:link w:val="Style16"/>
    <w:qFormat/>
    <w:rsid w:val="00905da5"/>
    <w:pPr>
      <w:spacing w:lineRule="auto" w:line="240" w:before="0" w:after="0"/>
      <w:jc w:val="center"/>
    </w:pPr>
    <w:rPr>
      <w:rFonts w:ascii="Times New Roman" w:hAnsi="Times New Roman" w:eastAsia="Times New Roman" w:cs="Arial"/>
      <w:color w:val="000000"/>
      <w:sz w:val="28"/>
      <w:szCs w:val="24"/>
      <w:lang w:eastAsia="ru-RU"/>
    </w:rPr>
  </w:style>
  <w:style w:type="paragraph" w:styleId="110" w:customStyle="1">
    <w:name w:val="Абзац списка1"/>
    <w:basedOn w:val="Normal"/>
    <w:qFormat/>
    <w:rsid w:val="00905da5"/>
    <w:pPr>
      <w:tabs>
        <w:tab w:val="clear" w:pos="708"/>
        <w:tab w:val="right" w:pos="9355" w:leader="none"/>
      </w:tabs>
      <w:spacing w:lineRule="auto" w:line="276" w:before="0" w:after="200"/>
      <w:ind w:left="720"/>
      <w:jc w:val="both"/>
    </w:pPr>
    <w:rPr>
      <w:rFonts w:ascii="Calibri" w:hAnsi="Calibri" w:eastAsia="Times New Roman" w:cs="Times New Roman"/>
    </w:rPr>
  </w:style>
  <w:style w:type="paragraph" w:styleId="Figure1" w:customStyle="1">
    <w:name w:val="Figure"/>
    <w:basedOn w:val="BodyText1"/>
    <w:link w:val="Figure"/>
    <w:qFormat/>
    <w:rsid w:val="00905da5"/>
    <w:pPr>
      <w:widowControl/>
      <w:jc w:val="cen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a">
    <w:name w:val="Table Grid"/>
    <w:basedOn w:val="a1"/>
    <w:uiPriority w:val="59"/>
    <w:rsid w:val="00e349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7">
    <w:name w:val="List Table 7 Colorful"/>
    <w:basedOn w:val="a1"/>
    <w:uiPriority w:val="52"/>
    <w:rsid w:val="00e34927"/>
    <w:pPr>
      <w:spacing w:after="0" w:line="240" w:lineRule="auto"/>
    </w:pPr>
    <w:rPr>
      <w:color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List Table 1 Light"/>
    <w:basedOn w:val="a1"/>
    <w:uiPriority w:val="46"/>
    <w:rsid w:val="00e34927"/>
    <w:pPr>
      <w:spacing w:after="0"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
    <w:name w:val="Grid Table 2"/>
    <w:basedOn w:val="a1"/>
    <w:uiPriority w:val="47"/>
    <w:rsid w:val="00e34927"/>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6">
    <w:name w:val="Grid Table 3 Accent 6"/>
    <w:basedOn w:val="a1"/>
    <w:uiPriority w:val="48"/>
    <w:rsid w:val="00e34927"/>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3">
    <w:name w:val="Grid Table 3"/>
    <w:basedOn w:val="a1"/>
    <w:uiPriority w:val="48"/>
    <w:rsid w:val="00e34927"/>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ae">
    <w:name w:val="Grid Table Light"/>
    <w:basedOn w:val="a1"/>
    <w:uiPriority w:val="40"/>
    <w:rsid w:val="00e34927"/>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orcid.org/0000-0001-9726-1624" TargetMode="External"/><Relationship Id="rId4" Type="http://schemas.openxmlformats.org/officeDocument/2006/relationships/image" Target="media/image1.png"/><Relationship Id="rId5" Type="http://schemas.openxmlformats.org/officeDocument/2006/relationships/hyperlink" Target="https://orcid.org/0000-0002-6580-2085" TargetMode="External"/><Relationship Id="rId6" Type="http://schemas.openxmlformats.org/officeDocument/2006/relationships/image" Target="media/image1.png"/><Relationship Id="rId7" Type="http://schemas.openxmlformats.org/officeDocument/2006/relationships/hyperlink" Target="https://orcid.org/0000-0003-1556-9526" TargetMode="External"/><Relationship Id="rId8" Type="http://schemas.openxmlformats.org/officeDocument/2006/relationships/image" Target="media/image1.png"/><Relationship Id="rId9" Type="http://schemas.openxmlformats.org/officeDocument/2006/relationships/hyperlink" Target="https://orcid.org/0000-0002-9497-7319" TargetMode="External"/><Relationship Id="rId10" Type="http://schemas.openxmlformats.org/officeDocument/2006/relationships/image" Target="media/image1.png"/><Relationship Id="rId11" Type="http://schemas.openxmlformats.org/officeDocument/2006/relationships/hyperlink" Target="https://orcid.org/0000-0002-9497-7319" TargetMode="External"/><Relationship Id="rId12" Type="http://schemas.openxmlformats.org/officeDocument/2006/relationships/image" Target="media/image1.png"/><Relationship Id="rId13" Type="http://schemas.openxmlformats.org/officeDocument/2006/relationships/hyperlink" Target="https://orcid.org/0000-0001-9016-3062" TargetMode="External"/><Relationship Id="rId14" Type="http://schemas.openxmlformats.org/officeDocument/2006/relationships/image" Target="media/image1.png"/><Relationship Id="rId15" Type="http://schemas.openxmlformats.org/officeDocument/2006/relationships/hyperlink" Target="https://orcid.org/%200000-0002-5262-5155" TargetMode="External"/><Relationship Id="rId16" Type="http://schemas.openxmlformats.org/officeDocument/2006/relationships/image" Target="media/image1.png"/><Relationship Id="rId17" Type="http://schemas.openxmlformats.org/officeDocument/2006/relationships/hyperlink" Target="https://orcid.org/%200000-0002-2338-8816" TargetMode="External"/><Relationship Id="rId18" Type="http://schemas.openxmlformats.org/officeDocument/2006/relationships/hyperlink" Target="mailto:kaliyeva_zhanna@mail.ru" TargetMode="External"/><Relationship Id="rId19" Type="http://schemas.openxmlformats.org/officeDocument/2006/relationships/hyperlink" Target="mailto:kaliyeva_zhanna@mail.ru" TargetMode="External"/><Relationship Id="rId20" Type="http://schemas.openxmlformats.org/officeDocument/2006/relationships/hyperlink" Target="mailto:kaliyeva_zhanna@mail.ru" TargetMode="External"/><Relationship Id="rId21" Type="http://schemas.openxmlformats.org/officeDocument/2006/relationships/image" Target="media/image2.jpeg"/><Relationship Id="rId22" Type="http://schemas.openxmlformats.org/officeDocument/2006/relationships/image" Target="media/image3.jpeg"/><Relationship Id="rId23" Type="http://schemas.openxmlformats.org/officeDocument/2006/relationships/image" Target="media/image4.jpeg"/><Relationship Id="rId24" Type="http://schemas.openxmlformats.org/officeDocument/2006/relationships/image" Target="media/image5.png"/><Relationship Id="rId25" Type="http://schemas.openxmlformats.org/officeDocument/2006/relationships/image" Target="media/image6.jpeg"/><Relationship Id="rId26" Type="http://schemas.openxmlformats.org/officeDocument/2006/relationships/image" Target="media/image7.jpeg"/><Relationship Id="rId27" Type="http://schemas.openxmlformats.org/officeDocument/2006/relationships/image" Target="media/image8.jpe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jpe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hyperlink" Target="https://doi.org/10.33271/nvngu/2021-1/039" TargetMode="External"/><Relationship Id="rId36" Type="http://schemas.openxmlformats.org/officeDocument/2006/relationships/hyperlink" Target="https://doi.org/10.4028/www.scientific.net/SSP.284.731" TargetMode="External"/><Relationship Id="rId37" Type="http://schemas.openxmlformats.org/officeDocument/2006/relationships/hyperlink" Target="https://doi.org/10.31857/S0023117723020032" TargetMode="External"/><Relationship Id="rId38" Type="http://schemas.openxmlformats.org/officeDocument/2006/relationships/hyperlink" Target="https://doi.org/10.31857/S002311772305002X" TargetMode="External"/><Relationship Id="rId39" Type="http://schemas.openxmlformats.org/officeDocument/2006/relationships/hyperlink" Target="https://doi.org/10.1016/j.apenergy.2012.11.058" TargetMode="External"/><Relationship Id="rId40" Type="http://schemas.openxmlformats.org/officeDocument/2006/relationships/hyperlink" Target="https://doi.org/10.29121/ijetmr.v4.i9.2017.99" TargetMode="External"/><Relationship Id="rId41" Type="http://schemas.openxmlformats.org/officeDocument/2006/relationships/hyperlink" Target="mailto:erai1512@mail.ru" TargetMode="External"/><Relationship Id="rId42" Type="http://schemas.openxmlformats.org/officeDocument/2006/relationships/hyperlink" Target="mailto:xamit1797@gmail.com" TargetMode="External"/><Relationship Id="rId43" Type="http://schemas.openxmlformats.org/officeDocument/2006/relationships/hyperlink" Target="mailto:bake.yer@mail.ru" TargetMode="External"/><Relationship Id="rId44" Type="http://schemas.openxmlformats.org/officeDocument/2006/relationships/hyperlink" Target="mailto:zhanar_k_68@mail.ru" TargetMode="External"/><Relationship Id="rId45" Type="http://schemas.openxmlformats.org/officeDocument/2006/relationships/hyperlink" Target="mailto:maira_1986@mail.ru" TargetMode="External"/><Relationship Id="rId46" Type="http://schemas.openxmlformats.org/officeDocument/2006/relationships/hyperlink" Target="mailto:akimbeknur@gmail.com" TargetMode="External"/><Relationship Id="rId47" Type="http://schemas.openxmlformats.org/officeDocument/2006/relationships/hyperlink" Target="mailto:erai1512@mail.ru" TargetMode="External"/><Relationship Id="rId48" Type="http://schemas.openxmlformats.org/officeDocument/2006/relationships/hyperlink" Target="mailto:xamit1797@gmail.com" TargetMode="External"/><Relationship Id="rId49" Type="http://schemas.openxmlformats.org/officeDocument/2006/relationships/hyperlink" Target="mailto:bake.yer@mail.ru" TargetMode="External"/><Relationship Id="rId50" Type="http://schemas.openxmlformats.org/officeDocument/2006/relationships/hyperlink" Target="mailto:zhanar_k_68@mail.ru" TargetMode="External"/><Relationship Id="rId51" Type="http://schemas.openxmlformats.org/officeDocument/2006/relationships/hyperlink" Target="mailto:kaliyeva_zhanna@mail.ru" TargetMode="External"/><Relationship Id="rId52" Type="http://schemas.openxmlformats.org/officeDocument/2006/relationships/hyperlink" Target="mailto:maira_1986@mail.ru" TargetMode="External"/><Relationship Id="rId53" Type="http://schemas.openxmlformats.org/officeDocument/2006/relationships/hyperlink" Target="mailto:akimbeknur@gmail.com" TargetMode="External"/><Relationship Id="rId54" Type="http://schemas.openxmlformats.org/officeDocument/2006/relationships/hyperlink" Target="mailto:kuanysh.tastambek@kaznu.edu.kz" TargetMode="External"/><Relationship Id="rId55" Type="http://schemas.openxmlformats.org/officeDocument/2006/relationships/image" Target="media/image1.png"/><Relationship Id="rId56" Type="http://schemas.openxmlformats.org/officeDocument/2006/relationships/hyperlink" Target="https://orcid.org/0009-0006-9009-4187" TargetMode="External"/><Relationship Id="rId57" Type="http://schemas.openxmlformats.org/officeDocument/2006/relationships/image" Target="media/image1.png"/><Relationship Id="rId58" Type="http://schemas.openxmlformats.org/officeDocument/2006/relationships/hyperlink" Target="https://orcid.org/0000-0003-1339-7193" TargetMode="External"/><Relationship Id="rId59" Type="http://schemas.openxmlformats.org/officeDocument/2006/relationships/image" Target="media/image1.png"/><Relationship Id="rId60" Type="http://schemas.openxmlformats.org/officeDocument/2006/relationships/hyperlink" Target="https://orcid.org/0000-0002-3163-153X" TargetMode="External"/><Relationship Id="rId61" Type="http://schemas.openxmlformats.org/officeDocument/2006/relationships/hyperlink" Target="mailto:aiman.tt@mail.ru" TargetMode="External"/><Relationship Id="rId62" Type="http://schemas.openxmlformats.org/officeDocument/2006/relationships/hyperlink" Target="mailto:aiman.tt@mail.ru" TargetMode="External"/><Relationship Id="rId63" Type="http://schemas.openxmlformats.org/officeDocument/2006/relationships/image" Target="media/image16.jpeg"/><Relationship Id="rId64" Type="http://schemas.openxmlformats.org/officeDocument/2006/relationships/image" Target="media/image17.png"/><Relationship Id="rId65" Type="http://schemas.openxmlformats.org/officeDocument/2006/relationships/hyperlink" Target="https://doi.org/10.24930/1681-9004-2019-19-3-347-371" TargetMode="External"/><Relationship Id="rId66" Type="http://schemas.openxmlformats.org/officeDocument/2006/relationships/hyperlink" Target="mailto:aiman.tt@mail.ru" TargetMode="External"/><Relationship Id="rId67" Type="http://schemas.openxmlformats.org/officeDocument/2006/relationships/hyperlink" Target="mailto:kossarbay.kozhakhmet@yu.edu.kz" TargetMode="External"/><Relationship Id="rId68" Type="http://schemas.openxmlformats.org/officeDocument/2006/relationships/hyperlink" Target="mailto:aigul.gusmanova@yu.edu.kz" TargetMode="External"/><Relationship Id="rId69" Type="http://schemas.openxmlformats.org/officeDocument/2006/relationships/hyperlink" Target="mailto:aiman.tt@mail.ru" TargetMode="External"/><Relationship Id="rId70" Type="http://schemas.openxmlformats.org/officeDocument/2006/relationships/hyperlink" Target="mailto:kossarbay.kozhakhmet@yu.edu.kz" TargetMode="External"/><Relationship Id="rId71" Type="http://schemas.openxmlformats.org/officeDocument/2006/relationships/hyperlink" Target="mailto:aigul.gusmanova@yu.edu.kz" TargetMode="External"/><Relationship Id="rId72" Type="http://schemas.openxmlformats.org/officeDocument/2006/relationships/image" Target="media/image1.png"/><Relationship Id="rId73" Type="http://schemas.openxmlformats.org/officeDocument/2006/relationships/hyperlink" Target="https://orcid.org/0000-0001-9682-5127" TargetMode="External"/><Relationship Id="rId74" Type="http://schemas.openxmlformats.org/officeDocument/2006/relationships/image" Target="media/image1.png"/><Relationship Id="rId75" Type="http://schemas.openxmlformats.org/officeDocument/2006/relationships/hyperlink" Target="https://orcid.org/0000-0002-5874-4438" TargetMode="External"/><Relationship Id="rId76" Type="http://schemas.openxmlformats.org/officeDocument/2006/relationships/image" Target="media/image1.png"/><Relationship Id="rId77" Type="http://schemas.openxmlformats.org/officeDocument/2006/relationships/hyperlink" Target="https://orcid.org/0000-0001-9984-4761" TargetMode="External"/><Relationship Id="rId78" Type="http://schemas.openxmlformats.org/officeDocument/2006/relationships/image" Target="media/image18.jpeg"/><Relationship Id="rId79" Type="http://schemas.openxmlformats.org/officeDocument/2006/relationships/hyperlink" Target="https://doi.org/10.3390/min11121404" TargetMode="External"/><Relationship Id="rId80" Type="http://schemas.openxmlformats.org/officeDocument/2006/relationships/hyperlink" Target="https://www.researchgate.net/journal/Naukovyi-Visnyk-Natsionalnoho-Hirnychoho-Universytetu-2223-2362?_tp=eyJjb250ZXh0Ijp7ImZpcnN0UGFnZSI6InB1YmxpY2F0aW9uIiwicGFnZSI6InB1YmxpY2F0aW9uIn19" TargetMode="External"/><Relationship Id="rId81" Type="http://schemas.openxmlformats.org/officeDocument/2006/relationships/hyperlink" Target="http://dx.doi.org/10.33271/nvngu/20226/025" TargetMode="External"/><Relationship Id="rId82" Type="http://schemas.openxmlformats.org/officeDocument/2006/relationships/hyperlink" Target="mailto:assalamm@mail.ru" TargetMode="External"/><Relationship Id="rId83" Type="http://schemas.openxmlformats.org/officeDocument/2006/relationships/footer" Target="footer1.xml"/><Relationship Id="rId84" Type="http://schemas.openxmlformats.org/officeDocument/2006/relationships/footer" Target="footer2.xml"/><Relationship Id="rId85" Type="http://schemas.openxmlformats.org/officeDocument/2006/relationships/footer" Target="footer3.xml"/><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Relationship Id="rId9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0A8DCB5E-FFF6-4C9D-BBDE-F6CD064D7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Application>LibreOffice/24.8.4.2$Linux_X86_64 LibreOffice_project/480$Build-2</Application>
  <AppVersion>15.0000</AppVersion>
  <Pages>64</Pages>
  <Words>28454</Words>
  <Characters>162190</Characters>
  <CharactersWithSpaces>190264</CharactersWithSpaces>
  <Paragraphs>380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2025-01-30T05:56:00Z</dcterms:created>
  <dc:creator>admin</dc:creator>
  <dc:description/>
  <dc:language>en-US</dc:language>
  <cp:lastModifiedBy/>
  <dcterms:modified xsi:type="dcterms:W3CDTF">2025-03-24T16:04:32Z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