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png" ContentType="image/png"/>
  <Override PartName="/word/media/image10.wmf" ContentType="image/x-wmf"/>
  <Override PartName="/word/media/image1.png" ContentType="image/png"/>
  <Override PartName="/word/media/image2.jpeg" ContentType="image/jpeg"/>
  <Override PartName="/word/media/image9.wmf" ContentType="image/x-wmf"/>
  <Override PartName="/word/media/image14.png" ContentType="image/png"/>
  <Override PartName="/word/media/image5.png" ContentType="image/png"/>
  <Override PartName="/word/media/image15.png" ContentType="image/png"/>
  <Override PartName="/word/media/image3.jpeg" ContentType="image/jpeg"/>
  <Override PartName="/word/media/image6.png" ContentType="image/png"/>
  <Override PartName="/word/media/image7.wmf" ContentType="image/x-wmf"/>
  <Override PartName="/word/media/image12.png" ContentType="image/png"/>
  <Override PartName="/word/media/image8.wmf" ContentType="image/x-wmf"/>
  <Override PartName="/word/media/image4.png" ContentType="image/png"/>
  <Override PartName="/word/media/image13.png" ContentType="image/png"/>
  <Override PartName="/word/embeddings/_____Microsoft_Excel4.xlsx" ContentType="application/vnd.openxmlformats-officedocument.spreadsheetml.sheet"/>
  <Override PartName="/word/embeddings/_____Microsoft_Excel8.xlsx" ContentType="application/vnd.openxmlformats-officedocument.spreadsheetml.sheet"/>
  <Override PartName="/word/embeddings/_____Microsoft_Excel5.xlsx" ContentType="application/vnd.openxmlformats-officedocument.spreadsheetml.sheet"/>
  <Override PartName="/word/embeddings/_____Microsoft_Excel.xlsx" ContentType="application/vnd.openxmlformats-officedocument.spreadsheetml.sheet"/>
  <Override PartName="/word/embeddings/_____Microsoft_Excel1.xlsx" ContentType="application/vnd.openxmlformats-officedocument.spreadsheetml.sheet"/>
  <Override PartName="/word/embeddings/_____Microsoft_Excel2.xlsx" ContentType="application/vnd.openxmlformats-officedocument.spreadsheetml.sheet"/>
  <Override PartName="/word/embeddings/_____Microsoft_Excel3.xlsx" ContentType="application/vnd.openxmlformats-officedocument.spreadsheetml.sheet"/>
  <Override PartName="/word/embeddings/_____Microsoft_Excel6.xlsx" ContentType="application/vnd.openxmlformats-officedocument.spreadsheetml.sheet"/>
  <Override PartName="/word/embeddings/_____Microsoft_Excel7.xlsx" ContentType="application/vnd.openxmlformats-officedocument.spreadsheetml.sheet"/>
  <Override PartName="/word/charts/_rels/chart13.xml.rels" ContentType="application/vnd.openxmlformats-package.relationships+xml"/>
  <Override PartName="/word/charts/_rels/chart12.xml.rels" ContentType="application/vnd.openxmlformats-package.relationships+xml"/>
  <Override PartName="/word/charts/_rels/chart11.xml.rels" ContentType="application/vnd.openxmlformats-package.relationships+xml"/>
  <Override PartName="/word/charts/_rels/chart10.xml.rels" ContentType="application/vnd.openxmlformats-package.relationships+xml"/>
  <Override PartName="/word/charts/_rels/chart5.xml.rels" ContentType="application/vnd.openxmlformats-package.relationships+xml"/>
  <Override PartName="/word/charts/_rels/chart4.xml.rels" ContentType="application/vnd.openxmlformats-package.relationships+xml"/>
  <Override PartName="/word/charts/_rels/chart3.xml.rels" ContentType="application/vnd.openxmlformats-package.relationships+xml"/>
  <Override PartName="/word/charts/_rels/chart2.xml.rels" ContentType="application/vnd.openxmlformats-package.relationships+xml"/>
  <Override PartName="/word/charts/_rels/chart1.xml.rels" ContentType="application/vnd.openxmlformats-package.relationships+xml"/>
  <Override PartName="/word/charts/chart9.xml" ContentType="application/vnd.openxmlformats-officedocument.drawingml.chart+xml"/>
  <Override PartName="/word/charts/chart13.xml" ContentType="application/vnd.openxmlformats-officedocument.drawingml.chart+xml"/>
  <Override PartName="/word/charts/chart8.xml" ContentType="application/vnd.openxmlformats-officedocument.drawingml.chart+xml"/>
  <Override PartName="/word/charts/chart12.xml" ContentType="application/vnd.openxmlformats-officedocument.drawingml.chart+xml"/>
  <Override PartName="/word/charts/chart7.xml" ContentType="application/vnd.openxmlformats-officedocument.drawingml.chart+xml"/>
  <Override PartName="/word/charts/chart11.xml" ContentType="application/vnd.openxmlformats-officedocument.drawingml.chart+xml"/>
  <Override PartName="/word/charts/chart6.xml" ContentType="application/vnd.openxmlformats-officedocument.drawingml.chart+xml"/>
  <Override PartName="/word/charts/chart10.xml" ContentType="application/vnd.openxmlformats-officedocument.drawingml.chart+xml"/>
  <Override PartName="/word/charts/chart5.xml" ContentType="application/vnd.openxmlformats-officedocument.drawingml.chart+xml"/>
  <Override PartName="/word/charts/chart4.xml" ContentType="application/vnd.openxmlformats-officedocument.drawingml.chart+xml"/>
  <Override PartName="/word/charts/chart3.xml" ContentType="application/vnd.openxmlformats-officedocument.drawingml.chart+xml"/>
  <Override PartName="/word/charts/chart2.xml" ContentType="application/vnd.openxmlformats-officedocument.drawingml.chart+xml"/>
  <Override PartName="/word/charts/chart1.xml" ContentType="application/vnd.openxmlformats-officedocument.drawingml.chart+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4"/>
          <w:szCs w:val="24"/>
        </w:rPr>
      </w:pPr>
      <w:r>
        <w:rPr>
          <w:rFonts w:cs="Times New Roman" w:ascii="Times New Roman" w:hAnsi="Times New Roman"/>
          <w:b/>
          <w:sz w:val="24"/>
          <w:szCs w:val="24"/>
        </w:rPr>
        <w:t>Экономика, бизнес и услуги</w:t>
      </w:r>
    </w:p>
    <w:p>
      <w:pPr>
        <w:pStyle w:val="Normal"/>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textAlignment w:val="baseline"/>
        <w:rPr>
          <w:rFonts w:ascii="Times New Roman" w:hAnsi="Times New Roman" w:eastAsia="Times New Roman" w:cs="Times New Roman"/>
          <w:lang w:eastAsia="ru-RU"/>
        </w:rPr>
      </w:pPr>
      <w:r>
        <w:rPr>
          <w:rFonts w:cs="Times New Roman" w:ascii="Times New Roman" w:hAnsi="Times New Roman"/>
          <w:lang w:val="kk-KZ"/>
        </w:rPr>
        <w:t>ҒТАМР</w:t>
      </w:r>
      <w:r>
        <w:rPr>
          <w:rFonts w:eastAsia="Calibri" w:cs="Times New Roman" w:ascii="Times New Roman" w:hAnsi="Times New Roman"/>
        </w:rPr>
        <w:t xml:space="preserve"> 06.77.0</w:t>
      </w:r>
      <w:r>
        <w:rPr>
          <w:rFonts w:eastAsia="Calibri" w:cs="Times New Roman" w:ascii="Times New Roman" w:hAnsi="Times New Roman"/>
        </w:rPr>
        <w:t>5</w:t>
      </w:r>
    </w:p>
    <w:p>
      <w:pPr>
        <w:pStyle w:val="Normal"/>
        <w:spacing w:lineRule="auto" w:line="240" w:before="0" w:after="0"/>
        <w:rPr>
          <w:rFonts w:ascii="Times New Roman" w:hAnsi="Times New Roman" w:eastAsia="Calibri" w:cs="Times New Roman"/>
          <w:b/>
        </w:rPr>
      </w:pPr>
      <w:r>
        <w:rPr>
          <w:rFonts w:eastAsia="Calibri" w:cs="Times New Roman" w:ascii="Times New Roman" w:hAnsi="Times New Roman"/>
          <w:b/>
        </w:rPr>
      </w:r>
    </w:p>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rPr>
        <w:t>ҚАЗАҚСТАНДАҒЫ КАДРЛАРДЫ БАСҚАРУДЫҢ МЕМЛЕКЕТТІК АУДИТІ:</w:t>
      </w:r>
      <w:r>
        <w:rPr>
          <w:rFonts w:eastAsia="Calibri" w:cs="Times New Roman" w:ascii="Times New Roman" w:hAnsi="Times New Roman"/>
        </w:rPr>
        <w:t xml:space="preserve"> </w:t>
      </w:r>
      <w:r>
        <w:rPr>
          <w:rFonts w:eastAsia="Calibri" w:cs="Times New Roman" w:ascii="Times New Roman" w:hAnsi="Times New Roman"/>
          <w:b/>
        </w:rPr>
        <w:t>НЕГІЗГІ ҚИЫНДЫҚТАР ЖӘНЕ ОЛАРДЫ ЖЕҢУ ЖОЛДАРЫ</w:t>
      </w:r>
    </w:p>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Web"/>
        <w:spacing w:lineRule="auto" w:line="240" w:before="0" w:after="0"/>
        <w:jc w:val="center"/>
        <w:rPr>
          <w:rFonts w:eastAsia="Times New Roman"/>
          <w:lang w:eastAsia="ru-RU"/>
        </w:rPr>
      </w:pPr>
      <w:r>
        <w:rPr>
          <w:b/>
          <w:sz w:val="22"/>
          <w:szCs w:val="22"/>
        </w:rPr>
        <w:t>А.Р.Мукушева</w:t>
      </w:r>
      <w:r>
        <w:rPr/>
        <w:drawing>
          <wp:inline distT="0" distB="0" distL="0" distR="0">
            <wp:extent cx="137160" cy="137160"/>
            <wp:effectExtent l="0" t="0" r="0" b="0"/>
            <wp:docPr id="1" name="Рисунок 7" descr="D:\Desktop\иконка.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 descr="D:\Desktop\иконка.png">
                      <a:hlinkClick r:id="rId3"/>
                    </pic:cNvPr>
                    <pic:cNvPicPr>
                      <a:picLocks noChangeAspect="1" noChangeArrowheads="1"/>
                    </pic:cNvPicPr>
                  </pic:nvPicPr>
                  <pic:blipFill>
                    <a:blip r:embed="rId2"/>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sz w:val="22"/>
          <w:szCs w:val="22"/>
        </w:rPr>
        <w:t>, М.А.Серикова</w:t>
      </w:r>
      <w:r>
        <w:rPr/>
        <w:drawing>
          <wp:inline distT="0" distB="0" distL="0" distR="0">
            <wp:extent cx="137160" cy="137160"/>
            <wp:effectExtent l="0" t="0" r="0" b="0"/>
            <wp:docPr id="2" name="Рисунок 8"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8" descr="D:\Desktop\иконка.png">
                      <a:hlinkClick r:id="rId5"/>
                    </pic:cNvPr>
                    <pic:cNvPicPr>
                      <a:picLocks noChangeAspect="1" noChangeArrowheads="1"/>
                    </pic:cNvPicPr>
                  </pic:nvPicPr>
                  <pic:blipFill>
                    <a:blip r:embed="rId4"/>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ind w:firstLine="567"/>
        <w:jc w:val="center"/>
        <w:rPr>
          <w:rFonts w:ascii="Times New Roman" w:hAnsi="Times New Roman" w:eastAsia="Calibri" w:cs="Times New Roman"/>
          <w:i/>
          <w:i/>
          <w:sz w:val="20"/>
          <w:szCs w:val="20"/>
        </w:rPr>
      </w:pPr>
      <w:r>
        <w:rPr>
          <w:rFonts w:eastAsia="Calibri" w:cs="Times New Roman" w:ascii="Times New Roman" w:hAnsi="Times New Roman"/>
          <w:i/>
          <w:sz w:val="20"/>
          <w:szCs w:val="20"/>
        </w:rPr>
        <w:t>Л.Н. Гумилев атындағы Еуразия ұлттық университеті,</w:t>
      </w:r>
      <w:r>
        <w:rPr>
          <w:rFonts w:eastAsia="Calibri" w:cs="Times New Roman" w:ascii="Times New Roman" w:hAnsi="Times New Roman"/>
          <w:sz w:val="24"/>
          <w:szCs w:val="24"/>
        </w:rPr>
        <w:t xml:space="preserve"> </w:t>
      </w:r>
      <w:r>
        <w:rPr>
          <w:rFonts w:eastAsia="Calibri" w:cs="Times New Roman" w:ascii="Times New Roman" w:hAnsi="Times New Roman"/>
          <w:i/>
          <w:sz w:val="20"/>
          <w:szCs w:val="20"/>
        </w:rPr>
        <w:t>Астана, Казақстан</w:t>
      </w:r>
    </w:p>
    <w:p>
      <w:pPr>
        <w:pStyle w:val="Normal"/>
        <w:spacing w:lineRule="auto" w:line="240" w:before="0" w:after="0"/>
        <w:ind w:firstLine="567"/>
        <w:jc w:val="center"/>
        <w:rPr>
          <w:rFonts w:ascii="Times New Roman" w:hAnsi="Times New Roman" w:eastAsia="Calibri" w:cs="Times New Roman"/>
          <w:i/>
          <w:i/>
          <w:sz w:val="20"/>
          <w:szCs w:val="20"/>
        </w:rPr>
      </w:pPr>
      <w:r>
        <w:rPr>
          <w:rFonts w:eastAsia="Calibri" w:cs="Times New Roman" w:ascii="Times New Roman" w:hAnsi="Times New Roman"/>
          <w:i/>
          <w:sz w:val="20"/>
          <w:szCs w:val="20"/>
        </w:rPr>
      </w:r>
    </w:p>
    <w:p>
      <w:pPr>
        <w:pStyle w:val="Normal"/>
        <w:spacing w:lineRule="auto" w:line="240" w:before="0" w:after="0"/>
        <w:rPr>
          <w:rFonts w:ascii="Times New Roman" w:hAnsi="Times New Roman" w:eastAsia="Calibri" w:cs="Times New Roman"/>
          <w:u w:val="single"/>
        </w:rPr>
      </w:pPr>
      <w:r>
        <w:rPr>
          <w:rFonts w:eastAsia="Wingdings" w:cs="Wingdings" w:ascii="Wingdings" w:hAnsi="Wingdings"/>
          <w:b/>
          <w:bCs/>
          <w:color w:val="1F497D"/>
          <w:vertAlign w:val="superscript"/>
        </w:rPr>
        <w:sym w:font="Wingdings" w:char="f02a"/>
      </w:r>
      <w:r>
        <w:rPr>
          <w:rFonts w:eastAsia="Calibri" w:cs="Times New Roman" w:ascii="Times New Roman" w:hAnsi="Times New Roman"/>
        </w:rPr>
        <w:t xml:space="preserve">Корреспондент -автор: </w:t>
      </w:r>
      <w:hyperlink r:id="rId6">
        <w:r>
          <w:rPr>
            <w:rStyle w:val="Style3"/>
            <w:rFonts w:eastAsia="Calibri" w:cs="Times New Roman" w:ascii="Times New Roman" w:hAnsi="Times New Roman"/>
            <w:u w:val="single"/>
            <w:lang w:val="en-US"/>
          </w:rPr>
          <w:t>suleimenova</w:t>
        </w:r>
        <w:r>
          <w:rPr>
            <w:rStyle w:val="Style3"/>
            <w:rFonts w:eastAsia="Calibri" w:cs="Times New Roman" w:ascii="Times New Roman" w:hAnsi="Times New Roman"/>
            <w:u w:val="single"/>
          </w:rPr>
          <w:t>.</w:t>
        </w:r>
        <w:r>
          <w:rPr>
            <w:rStyle w:val="Style3"/>
            <w:rFonts w:eastAsia="Calibri" w:cs="Times New Roman" w:ascii="Times New Roman" w:hAnsi="Times New Roman"/>
            <w:u w:val="single"/>
            <w:lang w:val="en-US"/>
          </w:rPr>
          <w:t>ar</w:t>
        </w:r>
        <w:r>
          <w:rPr>
            <w:rStyle w:val="Style3"/>
            <w:rFonts w:eastAsia="Calibri" w:cs="Times New Roman" w:ascii="Times New Roman" w:hAnsi="Times New Roman"/>
            <w:u w:val="single"/>
          </w:rPr>
          <w:t>@</w:t>
        </w:r>
        <w:r>
          <w:rPr>
            <w:rStyle w:val="Style3"/>
            <w:rFonts w:eastAsia="Calibri" w:cs="Times New Roman" w:ascii="Times New Roman" w:hAnsi="Times New Roman"/>
            <w:u w:val="single"/>
            <w:lang w:val="en-US"/>
          </w:rPr>
          <w:t>bk</w:t>
        </w:r>
        <w:r>
          <w:rPr>
            <w:rStyle w:val="Style3"/>
            <w:rFonts w:eastAsia="Calibri" w:cs="Times New Roman" w:ascii="Times New Roman" w:hAnsi="Times New Roman"/>
            <w:u w:val="single"/>
          </w:rPr>
          <w:t>.</w:t>
        </w:r>
        <w:r>
          <w:rPr>
            <w:rStyle w:val="Style3"/>
            <w:rFonts w:eastAsia="Calibri" w:cs="Times New Roman" w:ascii="Times New Roman" w:hAnsi="Times New Roman"/>
            <w:u w:val="single"/>
            <w:lang w:val="en-US"/>
          </w:rPr>
          <w:t>ru</w:t>
        </w:r>
      </w:hyperlink>
    </w:p>
    <w:p>
      <w:pPr>
        <w:pStyle w:val="Normal"/>
        <w:spacing w:lineRule="auto" w:line="240" w:before="0" w:after="0"/>
        <w:ind w:firstLine="567"/>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240" w:before="0" w:after="0"/>
        <w:ind w:firstLine="708"/>
        <w:jc w:val="both"/>
        <w:rPr>
          <w:rFonts w:ascii="Times New Roman" w:hAnsi="Times New Roman" w:eastAsia="Calibri" w:cs="Times New Roman"/>
          <w:sz w:val="24"/>
          <w:szCs w:val="24"/>
        </w:rPr>
      </w:pPr>
      <w:r>
        <w:rPr>
          <w:rFonts w:eastAsia="Calibri" w:cs="Times New Roman" w:ascii="Times New Roman" w:hAnsi="Times New Roman"/>
          <w:sz w:val="24"/>
          <w:szCs w:val="24"/>
        </w:rPr>
        <w:t>Кадрлық ресурстарын басқарудың мемлекеттік аудиті мемлекеттің кадрлық әлеуетін дамытудың маңызды аспектісі болып табылады. Кадрлық ресурстары Қазақстан Республикасы мемлекеттік қызметшілерінің басқару құрылымының нақты архитектурасын құруға жауапты механизмді білдіреді. Мемлекеттік басқарудағы кадрлық ресурстарының рөлін күшейту мемлекет алдына қойылған стратегиялық мақсаттарға қол жеткізуге мүмкіндік береді.</w:t>
      </w:r>
    </w:p>
    <w:p>
      <w:pPr>
        <w:pStyle w:val="Normal"/>
        <w:spacing w:lineRule="auto" w:line="240" w:before="0" w:after="0"/>
        <w:ind w:firstLine="708"/>
        <w:jc w:val="both"/>
        <w:rPr>
          <w:rFonts w:ascii="Times New Roman" w:hAnsi="Times New Roman" w:eastAsia="Calibri" w:cs="Times New Roman"/>
          <w:sz w:val="24"/>
          <w:szCs w:val="24"/>
        </w:rPr>
      </w:pPr>
      <w:r>
        <w:rPr>
          <w:rFonts w:eastAsia="Calibri" w:cs="Times New Roman" w:ascii="Times New Roman" w:hAnsi="Times New Roman"/>
          <w:sz w:val="24"/>
          <w:szCs w:val="24"/>
        </w:rPr>
        <w:t>Жаһандық өзгерістер үнемі болып жатқан қазіргі қоғамда ішкі ортаға әсер ететін факторларды, атап айтқанда, елдің кадрлық әлеуетін дамыту тұрғысынан ескеру маңызды, бұл өз кезегінде кадрлық ресурстарының мемлекеттік аудитінде маңызды рөл атқара алады.</w:t>
      </w:r>
    </w:p>
    <w:p>
      <w:pPr>
        <w:pStyle w:val="Normal"/>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rPr>
        <w:t>Кадрлық ресурстарын дамытудың жоғары деңгейі елдің ұлттық экономикасының тұрақты дамуына ықпал етеді. Кадрлық ресурстарының мемлекеттік аудитіне маңызды рөл берілуі керек, өйткені тек мемлекеттік аудит қана кадрлық ресурстарын пайдалану тиімділігін бағалауға мүмкіндік береді. Айта кету керек, бүгінгі таңда кадрлық ресурстарының тиімділігіне аудит жүргізудің нақты стратегиясын әзірлеу тетіктері жоқ, бұл өз кезегінде осы күрделі міндеттерді шешуде бірқатар проблемалар бар деп қорытынды жасауға мүмкіндік береді.</w:t>
      </w:r>
    </w:p>
    <w:p>
      <w:pPr>
        <w:pStyle w:val="Normal"/>
        <w:spacing w:lineRule="auto" w:line="240" w:before="0" w:after="0"/>
        <w:ind w:firstLine="708"/>
        <w:jc w:val="both"/>
        <w:rPr>
          <w:rFonts w:ascii="Times New Roman" w:hAnsi="Times New Roman" w:eastAsia="Calibri" w:cs="Times New Roman"/>
          <w:sz w:val="24"/>
          <w:szCs w:val="24"/>
        </w:rPr>
      </w:pPr>
      <w:r>
        <w:rPr>
          <w:rFonts w:eastAsia="Calibri" w:cs="Times New Roman" w:ascii="Times New Roman" w:hAnsi="Times New Roman"/>
          <w:sz w:val="24"/>
          <w:szCs w:val="24"/>
        </w:rPr>
        <w:t>Бұл мақаланың мақсаты – Қазақстандағы кадрлық ресурстарын басқарудың мемлекеттік аудитін зерттеу саласындағы өзекті проблемаларды және оларды еңсеру жолдарын зерттеу. Мақсатқа сәйкес мақалада Қазақстандағы кадрлық ресурстарын басқару аудиті жүйесінің ағымдағы жай-күйінің талдауы берілген, мемлекеттік органдардың кадр саясатына аудит жүргізудегі негізгі проблемалар мен кемшіліктер анықталған, аудит әдістерін жетілдіру және қызметтің негізгі көрсеткіштері (KPI) жүйесін жетілдіру бойынша ұсыныстар әзірлеу мүмкіндігі қарастырылған.</w:t>
      </w:r>
    </w:p>
    <w:p>
      <w:pPr>
        <w:pStyle w:val="Normal"/>
        <w:spacing w:lineRule="auto" w:line="240" w:before="0" w:after="0"/>
        <w:ind w:firstLine="708"/>
        <w:jc w:val="both"/>
        <w:rPr>
          <w:rFonts w:ascii="Times New Roman" w:hAnsi="Times New Roman" w:eastAsia="Calibri" w:cs="Times New Roman"/>
          <w:sz w:val="24"/>
          <w:szCs w:val="24"/>
        </w:rPr>
      </w:pPr>
      <w:r>
        <w:rPr>
          <w:rFonts w:eastAsia="Calibri" w:cs="Times New Roman" w:ascii="Times New Roman" w:hAnsi="Times New Roman"/>
          <w:sz w:val="24"/>
          <w:szCs w:val="24"/>
        </w:rPr>
        <w:t>Үнемі өзгеріп отыратын ортада еліміздің стратегиялық мақсаттарына сәйкес басқаруды тиімді жүргізу үшін елдің кадрлық әлеуетін дамытуға әсер ететін барлық факторларды ескеру маңызды.</w:t>
        <w:tab/>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b/>
          <w:sz w:val="24"/>
          <w:szCs w:val="24"/>
        </w:rPr>
        <w:t xml:space="preserve">Негізгі сөздер: </w:t>
      </w:r>
      <w:r>
        <w:rPr>
          <w:rFonts w:eastAsia="Calibri" w:cs="Times New Roman" w:ascii="Times New Roman" w:hAnsi="Times New Roman"/>
          <w:sz w:val="24"/>
          <w:szCs w:val="24"/>
        </w:rPr>
        <w:t>аудит, кадрлық ресурстартар, кадрлық ресурстарының тиімділік аудит</w:t>
      </w:r>
      <w:r>
        <w:rPr>
          <w:rFonts w:eastAsia="Calibri" w:cs="Times New Roman" w:ascii="Times New Roman" w:hAnsi="Times New Roman"/>
          <w:sz w:val="24"/>
          <w:szCs w:val="24"/>
          <w:lang w:val="kk-KZ"/>
        </w:rPr>
        <w:t>і</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ind w:firstLine="567"/>
        <w:jc w:val="center"/>
        <w:rPr>
          <w:rFonts w:ascii="Times New Roman" w:hAnsi="Times New Roman" w:eastAsia="Calibri" w:cs="Times New Roman"/>
          <w:b/>
        </w:rPr>
      </w:pPr>
      <w:r>
        <w:rPr>
          <w:rFonts w:eastAsia="Calibri" w:cs="Times New Roman" w:ascii="Times New Roman" w:hAnsi="Times New Roman"/>
          <w:b/>
        </w:rPr>
        <w:t>ГОСУДАРСТВЕННЫЙ АУДИТ УПРАВЛЕНИЯ КАДРОВЫМИ РЕСУРСАМИ В КАЗАХСТАНЕ: КЛЮЧЕВЫЕ ВЫЗОВЫ И ПУТИ ИХ ПРЕОДОЛЕНИЯ</w:t>
      </w:r>
    </w:p>
    <w:p>
      <w:pPr>
        <w:pStyle w:val="Normal"/>
        <w:spacing w:lineRule="auto" w:line="240" w:before="0" w:after="0"/>
        <w:ind w:firstLine="567"/>
        <w:jc w:val="center"/>
        <w:rPr>
          <w:rFonts w:ascii="Times New Roman" w:hAnsi="Times New Roman" w:eastAsia="Calibri" w:cs="Times New Roman"/>
          <w:b/>
        </w:rPr>
      </w:pPr>
      <w:r>
        <w:rPr>
          <w:rFonts w:eastAsia="Calibri" w:cs="Times New Roman" w:ascii="Times New Roman" w:hAnsi="Times New Roman"/>
          <w:b/>
        </w:rPr>
      </w:r>
    </w:p>
    <w:p>
      <w:pPr>
        <w:pStyle w:val="Normal"/>
        <w:spacing w:lineRule="auto" w:line="240" w:before="0" w:after="0"/>
        <w:ind w:firstLine="567"/>
        <w:jc w:val="center"/>
        <w:rPr>
          <w:rFonts w:ascii="Times New Roman" w:hAnsi="Times New Roman" w:eastAsia="Calibri" w:cs="Times New Roman"/>
          <w:b/>
        </w:rPr>
      </w:pPr>
      <w:r>
        <w:rPr>
          <w:rFonts w:eastAsia="Calibri" w:cs="Times New Roman" w:ascii="Times New Roman" w:hAnsi="Times New Roman"/>
          <w:b/>
        </w:rPr>
        <w:t>А.Р.Мукушева, М.А.Серикова</w:t>
      </w:r>
    </w:p>
    <w:p>
      <w:pPr>
        <w:pStyle w:val="Normal"/>
        <w:spacing w:lineRule="auto" w:line="240" w:before="0" w:after="0"/>
        <w:ind w:firstLine="567"/>
        <w:jc w:val="center"/>
        <w:rPr>
          <w:rFonts w:ascii="Times New Roman" w:hAnsi="Times New Roman" w:eastAsia="Calibri" w:cs="Times New Roman"/>
          <w:sz w:val="24"/>
          <w:szCs w:val="24"/>
        </w:rPr>
      </w:pPr>
      <w:r>
        <w:rPr>
          <w:rFonts w:eastAsia="Calibri" w:cs="Times New Roman" w:ascii="Times New Roman" w:hAnsi="Times New Roman"/>
          <w:i/>
          <w:sz w:val="20"/>
          <w:szCs w:val="20"/>
        </w:rPr>
        <w:t>Евразийский национальный университет им. Л.Н.Гумилева, Астана, Казахстан</w:t>
      </w:r>
      <w:r>
        <w:rPr>
          <w:rFonts w:eastAsia="Calibri" w:cs="Times New Roman" w:ascii="Times New Roman" w:hAnsi="Times New Roman"/>
          <w:sz w:val="24"/>
          <w:szCs w:val="24"/>
        </w:rPr>
        <w:t>,</w:t>
      </w:r>
    </w:p>
    <w:p>
      <w:pPr>
        <w:pStyle w:val="Normal"/>
        <w:spacing w:lineRule="auto" w:line="240" w:before="0" w:after="0"/>
        <w:ind w:firstLine="567"/>
        <w:jc w:val="center"/>
        <w:rPr>
          <w:rFonts w:ascii="Times New Roman" w:hAnsi="Times New Roman" w:eastAsia="Calibri" w:cs="Times New Roman"/>
          <w:lang w:val="en-US"/>
        </w:rPr>
      </w:pPr>
      <w:r>
        <w:rPr>
          <w:rFonts w:eastAsia="Calibri" w:cs="Times New Roman" w:ascii="Times New Roman" w:hAnsi="Times New Roman"/>
          <w:lang w:val="en-US"/>
        </w:rPr>
        <w:t>e-mail:</w:t>
      </w:r>
      <w:r>
        <w:rPr>
          <w:rFonts w:eastAsia="Calibri" w:cs="Times New Roman" w:ascii="Calibri" w:hAnsi="Calibri"/>
          <w:lang w:val="en-US"/>
        </w:rPr>
        <w:t xml:space="preserve"> </w:t>
      </w:r>
      <w:hyperlink r:id="rId7">
        <w:r>
          <w:rPr>
            <w:rStyle w:val="Style3"/>
            <w:rFonts w:eastAsia="Calibri" w:cs="Times New Roman" w:ascii="Times New Roman" w:hAnsi="Times New Roman"/>
            <w:lang w:val="en-US"/>
          </w:rPr>
          <w:t>suleimenova.ar@bk.ru</w:t>
        </w:r>
      </w:hyperlink>
    </w:p>
    <w:p>
      <w:pPr>
        <w:pStyle w:val="Normal"/>
        <w:spacing w:lineRule="auto" w:line="240" w:before="0" w:after="0"/>
        <w:ind w:firstLine="567"/>
        <w:jc w:val="center"/>
        <w:rPr>
          <w:rFonts w:ascii="Times New Roman" w:hAnsi="Times New Roman" w:eastAsia="Calibri" w:cs="Times New Roman"/>
          <w:lang w:val="en-US"/>
        </w:rPr>
      </w:pPr>
      <w:r>
        <w:rPr>
          <w:rFonts w:eastAsia="Calibri" w:cs="Times New Roman" w:ascii="Times New Roman" w:hAnsi="Times New Roman"/>
          <w:lang w:val="en-US"/>
        </w:rPr>
      </w:r>
    </w:p>
    <w:p>
      <w:pPr>
        <w:pStyle w:val="Normal"/>
        <w:spacing w:lineRule="auto" w:line="24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Государственный аудит управления кадровыми ресурсами является важным аспектом в развитии кадрового потенциала государства. Кадровые ресурсы представляют собой механизм, отвечающий за построение четкой архитектуры управленческой структуры государственных служащих Республики Казахстан. Усиление роли кадровых ресурсов в государственном управлении позволит решить стратегические цели поставленные перед государством. </w:t>
      </w:r>
    </w:p>
    <w:p>
      <w:pPr>
        <w:pStyle w:val="Normal"/>
        <w:spacing w:lineRule="auto" w:line="24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В современном обществе, где постоянно происходят глобальные изменения,  важно учитывать факторы, влияющие на внутреннюю среду, в частности в свете развития кадрового потенциала страны, который в свою очередь может оказывать немаловажную роль на государственный аудит кадровых ресурсов. </w:t>
      </w:r>
    </w:p>
    <w:p>
      <w:pPr>
        <w:pStyle w:val="Normal"/>
        <w:spacing w:lineRule="auto" w:line="24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Высокий уровень развития кадровых ресурсов способствует устойчивому развитию национальной экономики страны. Важную роль следует уделить государственному аудиту кадровых ресурсов, ведь только государственный аудит позволит оценить эффективность использования работы кадровых ресурсов. Следует отметить, что на сегодняшний день отсутствуют механизмы по выработке четкой стратегии проведения аудита эффективности кадровых ресурсов, что в свою очередь позволяет сделать выводы, о том, что существует ряд проблем в решении этих сложных задач.</w:t>
      </w:r>
    </w:p>
    <w:p>
      <w:pPr>
        <w:pStyle w:val="Normal"/>
        <w:spacing w:lineRule="auto" w:line="24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Целью поставленной в настоящей статье является изучение имеющихся ключевых вызовов в области исследования государственного аудита управления кадровыми ресурсами в Казахстане и путей их преодоления. В соответствии с целью в статье представлены проведенный анализ текущего состояния системы аудита управления кадровыми ресурсами в Казахстане, выявлены ключевые проблемы и недостатки в проведении аудиторских проверок кадровой политики государственных органов и рассмотрена возможность разработки рекомендаций по совершенствованию методов аудита и совершенствованию системы ключевых показателей эффективности (KPI).</w:t>
      </w:r>
    </w:p>
    <w:p>
      <w:pPr>
        <w:pStyle w:val="Normal"/>
        <w:spacing w:lineRule="auto" w:line="24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В постоянно меняющихся условиях, важно учитывать все факторы, влияющие на развитие кадровых ресурсов страны с целью эффективного управления в соответствии со стратегическими целями нашей страны.</w:t>
      </w:r>
    </w:p>
    <w:p>
      <w:pPr>
        <w:pStyle w:val="Normal"/>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b/>
          <w:sz w:val="24"/>
          <w:szCs w:val="24"/>
        </w:rPr>
        <w:t xml:space="preserve">        </w:t>
      </w:r>
      <w:r>
        <w:rPr>
          <w:rFonts w:eastAsia="Calibri" w:cs="Times New Roman" w:ascii="Times New Roman" w:hAnsi="Times New Roman"/>
          <w:b/>
          <w:sz w:val="24"/>
          <w:szCs w:val="24"/>
        </w:rPr>
        <w:t xml:space="preserve">Ключевые слова: </w:t>
      </w:r>
      <w:r>
        <w:rPr>
          <w:rFonts w:eastAsia="Calibri" w:cs="Times New Roman" w:ascii="Times New Roman" w:hAnsi="Times New Roman"/>
          <w:sz w:val="24"/>
          <w:szCs w:val="24"/>
        </w:rPr>
        <w:t>аудит, кадровые ресурсы, аудит эффективности кадровых ресурсов</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ind w:firstLine="567"/>
        <w:jc w:val="center"/>
        <w:rPr>
          <w:rFonts w:ascii="Times New Roman" w:hAnsi="Times New Roman" w:eastAsia="Calibri" w:cs="Times New Roman"/>
          <w:b/>
          <w:lang w:val="kk-KZ"/>
        </w:rPr>
      </w:pPr>
      <w:r>
        <w:rPr>
          <w:rFonts w:eastAsia="Calibri" w:cs="Times New Roman" w:ascii="Times New Roman" w:hAnsi="Times New Roman"/>
          <w:b/>
          <w:lang w:val="kk-KZ"/>
        </w:rPr>
        <w:t>STATE AUDIT OF HUMAN RESOURCE MANAGEMENT IN KAZAKHSTAN: KEY</w:t>
      </w:r>
      <w:r>
        <w:rPr>
          <w:rFonts w:eastAsia="Calibri" w:cs="Times New Roman" w:ascii="Times New Roman" w:hAnsi="Times New Roman"/>
          <w:lang w:val="kk-KZ"/>
        </w:rPr>
        <w:t xml:space="preserve"> </w:t>
      </w:r>
      <w:r>
        <w:rPr>
          <w:rFonts w:eastAsia="Calibri" w:cs="Times New Roman" w:ascii="Times New Roman" w:hAnsi="Times New Roman"/>
          <w:b/>
          <w:lang w:val="kk-KZ"/>
        </w:rPr>
        <w:t>CHALLENGES AND WAYS TO OVERCOME THEM</w:t>
      </w:r>
    </w:p>
    <w:p>
      <w:pPr>
        <w:pStyle w:val="Normal"/>
        <w:spacing w:lineRule="auto" w:line="240" w:before="0" w:after="0"/>
        <w:ind w:firstLine="567"/>
        <w:jc w:val="center"/>
        <w:rPr>
          <w:rFonts w:ascii="Times New Roman" w:hAnsi="Times New Roman" w:eastAsia="Calibri" w:cs="Times New Roman"/>
          <w:b/>
          <w:sz w:val="24"/>
          <w:szCs w:val="24"/>
          <w:lang w:val="kk-KZ"/>
        </w:rPr>
      </w:pPr>
      <w:r>
        <w:rPr>
          <w:rFonts w:eastAsia="Calibri" w:cs="Times New Roman" w:ascii="Times New Roman" w:hAnsi="Times New Roman"/>
          <w:b/>
          <w:sz w:val="24"/>
          <w:szCs w:val="24"/>
          <w:lang w:val="kk-KZ"/>
        </w:rPr>
      </w:r>
    </w:p>
    <w:p>
      <w:pPr>
        <w:pStyle w:val="Normal"/>
        <w:spacing w:lineRule="auto" w:line="240" w:before="0" w:after="0"/>
        <w:ind w:firstLine="567"/>
        <w:jc w:val="center"/>
        <w:rPr>
          <w:rFonts w:ascii="Times New Roman" w:hAnsi="Times New Roman" w:eastAsia="Calibri" w:cs="Times New Roman"/>
          <w:b/>
          <w:sz w:val="24"/>
          <w:szCs w:val="24"/>
          <w:lang w:val="kk-KZ"/>
        </w:rPr>
      </w:pPr>
      <w:r>
        <w:rPr>
          <w:rFonts w:eastAsia="Calibri" w:cs="Times New Roman" w:ascii="Times New Roman" w:hAnsi="Times New Roman"/>
          <w:b/>
          <w:sz w:val="24"/>
          <w:szCs w:val="24"/>
          <w:lang w:val="kk-KZ"/>
        </w:rPr>
        <w:t>A.R.Mukusheva, M.A.Serikova</w:t>
      </w:r>
    </w:p>
    <w:p>
      <w:pPr>
        <w:pStyle w:val="Normal"/>
        <w:spacing w:lineRule="auto" w:line="240" w:before="0" w:after="0"/>
        <w:ind w:firstLine="567"/>
        <w:jc w:val="center"/>
        <w:rPr>
          <w:rFonts w:ascii="Times New Roman" w:hAnsi="Times New Roman" w:eastAsia="Calibri" w:cs="Times New Roman"/>
          <w:i/>
          <w:i/>
          <w:sz w:val="20"/>
          <w:szCs w:val="20"/>
          <w:lang w:val="en-US"/>
        </w:rPr>
      </w:pPr>
      <w:r>
        <w:rPr>
          <w:rFonts w:eastAsia="Calibri" w:cs="Times New Roman" w:ascii="Times New Roman" w:hAnsi="Times New Roman"/>
          <w:i/>
          <w:sz w:val="20"/>
          <w:szCs w:val="20"/>
          <w:lang w:val="en-US"/>
        </w:rPr>
        <w:t>L.N. Gumilyov Eurasian National University,</w:t>
      </w:r>
      <w:r>
        <w:rPr>
          <w:rFonts w:eastAsia="Calibri" w:cs="Times New Roman" w:ascii="Times New Roman" w:hAnsi="Times New Roman"/>
          <w:sz w:val="24"/>
          <w:szCs w:val="24"/>
          <w:lang w:val="en-US"/>
        </w:rPr>
        <w:t xml:space="preserve"> </w:t>
      </w:r>
      <w:r>
        <w:rPr>
          <w:rFonts w:eastAsia="Calibri" w:cs="Times New Roman" w:ascii="Times New Roman" w:hAnsi="Times New Roman"/>
          <w:i/>
          <w:sz w:val="20"/>
          <w:szCs w:val="20"/>
          <w:lang w:val="en-US"/>
        </w:rPr>
        <w:t>Astana, Kazakhstan,</w:t>
      </w:r>
    </w:p>
    <w:p>
      <w:pPr>
        <w:pStyle w:val="Normal"/>
        <w:spacing w:lineRule="auto" w:line="240" w:before="0" w:after="0"/>
        <w:ind w:firstLine="567"/>
        <w:jc w:val="center"/>
        <w:rPr>
          <w:rFonts w:ascii="Times New Roman" w:hAnsi="Times New Roman" w:eastAsia="Calibri" w:cs="Times New Roman"/>
          <w:lang w:val="en-US"/>
        </w:rPr>
      </w:pPr>
      <w:r>
        <w:rPr>
          <w:rFonts w:eastAsia="Calibri" w:cs="Times New Roman" w:ascii="Times New Roman" w:hAnsi="Times New Roman"/>
          <w:lang w:val="en-US"/>
        </w:rPr>
        <w:t xml:space="preserve">e-mail: </w:t>
      </w:r>
      <w:hyperlink r:id="rId8">
        <w:r>
          <w:rPr>
            <w:rStyle w:val="Style3"/>
            <w:rFonts w:eastAsia="Calibri" w:cs="Times New Roman" w:ascii="Times New Roman" w:hAnsi="Times New Roman"/>
            <w:lang w:val="en-US"/>
          </w:rPr>
          <w:t>suleimenova.ar@bk.ru</w:t>
        </w:r>
      </w:hyperlink>
    </w:p>
    <w:p>
      <w:pPr>
        <w:pStyle w:val="Normal"/>
        <w:spacing w:lineRule="auto" w:line="240" w:before="0" w:after="0"/>
        <w:jc w:val="both"/>
        <w:rPr>
          <w:rFonts w:ascii="Times New Roman" w:hAnsi="Times New Roman" w:eastAsia="Calibri" w:cs="Times New Roman"/>
          <w:sz w:val="24"/>
          <w:szCs w:val="24"/>
          <w:lang w:val="en-US"/>
        </w:rPr>
      </w:pPr>
      <w:r>
        <w:rPr>
          <w:rFonts w:eastAsia="Calibri" w:cs="Times New Roman" w:ascii="Times New Roman" w:hAnsi="Times New Roman"/>
          <w:sz w:val="24"/>
          <w:szCs w:val="24"/>
          <w:lang w:val="en-US"/>
        </w:rPr>
      </w:r>
    </w:p>
    <w:p>
      <w:pPr>
        <w:pStyle w:val="Normal"/>
        <w:spacing w:lineRule="auto" w:line="240" w:before="0" w:after="0"/>
        <w:ind w:firstLine="567"/>
        <w:jc w:val="both"/>
        <w:rPr>
          <w:rFonts w:ascii="Times New Roman" w:hAnsi="Times New Roman" w:eastAsia="Calibri" w:cs="Times New Roman"/>
          <w:b/>
          <w:sz w:val="24"/>
          <w:szCs w:val="24"/>
          <w:lang w:val="en-US"/>
        </w:rPr>
      </w:pPr>
      <w:r>
        <w:rPr>
          <w:rFonts w:eastAsia="Calibri" w:cs="Times New Roman" w:ascii="Times New Roman" w:hAnsi="Times New Roman"/>
          <w:sz w:val="24"/>
          <w:szCs w:val="24"/>
          <w:lang w:val="en-US"/>
        </w:rPr>
        <w:t>State audit of human resources management is an important aspect in the development of the state's human resources potential. Human resources are a mechanism responsible for building a clear architecture of the management structure of civil servants of the Republic of Kazakhstan. Strengthening the role of human resources in public administration will allow achieving the strategic goals set for the state.</w:t>
      </w:r>
    </w:p>
    <w:p>
      <w:pPr>
        <w:pStyle w:val="Normal"/>
        <w:spacing w:lineRule="auto" w:line="240" w:before="0" w:after="0"/>
        <w:ind w:firstLine="567"/>
        <w:jc w:val="both"/>
        <w:rPr>
          <w:rFonts w:ascii="Times New Roman" w:hAnsi="Times New Roman" w:eastAsia="Calibri" w:cs="Times New Roman"/>
          <w:sz w:val="24"/>
          <w:szCs w:val="24"/>
          <w:lang w:val="en-US"/>
        </w:rPr>
      </w:pPr>
      <w:r>
        <w:rPr>
          <w:rFonts w:eastAsia="Calibri" w:cs="Times New Roman" w:ascii="Times New Roman" w:hAnsi="Times New Roman"/>
          <w:sz w:val="24"/>
          <w:szCs w:val="24"/>
          <w:lang w:val="en-US"/>
        </w:rPr>
        <w:t>In a modern society where global changes are constantly taking place, it is important to take into account the factors influencing the internal environment, in particular in light of the development of the country's human resources potential, which in turn can have a significant role in the state audit of human resources.</w:t>
      </w:r>
    </w:p>
    <w:p>
      <w:pPr>
        <w:pStyle w:val="Normal"/>
        <w:spacing w:lineRule="auto" w:line="240" w:before="0" w:after="0"/>
        <w:ind w:firstLine="567"/>
        <w:jc w:val="both"/>
        <w:rPr>
          <w:rFonts w:ascii="Times New Roman" w:hAnsi="Times New Roman" w:eastAsia="Calibri" w:cs="Times New Roman"/>
          <w:sz w:val="24"/>
          <w:szCs w:val="24"/>
          <w:lang w:val="en-US"/>
        </w:rPr>
      </w:pPr>
      <w:r>
        <w:rPr>
          <w:rFonts w:eastAsia="Calibri" w:cs="Times New Roman" w:ascii="Times New Roman" w:hAnsi="Times New Roman"/>
          <w:sz w:val="24"/>
          <w:szCs w:val="24"/>
          <w:lang w:val="en-US"/>
        </w:rPr>
        <w:t>A high level of development of human resources contributes to the sustainable development of the national economy of the country. An important role should be given to the state audit of human resources, because only a state audit will allow us to assess the efficiency of using human resources. It should be noted that today there are no mechanisms for developing a clear strategy for conducting an audit of the efficiency of human resources, which in turn allows us to conclude that there are a number of problems in solving these complex tasks.</w:t>
      </w:r>
    </w:p>
    <w:p>
      <w:pPr>
        <w:pStyle w:val="Normal"/>
        <w:spacing w:lineRule="auto" w:line="240" w:before="0" w:after="0"/>
        <w:ind w:firstLine="567"/>
        <w:rPr>
          <w:rFonts w:ascii="Times New Roman" w:hAnsi="Times New Roman" w:eastAsia="Calibri" w:cs="Times New Roman"/>
          <w:sz w:val="24"/>
          <w:szCs w:val="24"/>
          <w:lang w:val="en-US"/>
        </w:rPr>
      </w:pPr>
      <w:r>
        <w:rPr>
          <w:rFonts w:eastAsia="Calibri" w:cs="Times New Roman" w:ascii="Times New Roman" w:hAnsi="Times New Roman"/>
          <w:sz w:val="24"/>
          <w:szCs w:val="24"/>
          <w:lang w:val="en-US"/>
        </w:rPr>
        <w:t>The purpose of this article is to study the existing key challenges in the field of research of state audit of human resources management in Kazakhstan and ways to overcome them. In accordance with the purpose, the article presents the analysis of the current state of the human resources management audit system in Kazakhstan, identifies key problems and shortcomings in conducting audits of the personnel policy of state bodies and considers the possibility of developing recommendations for improving audit methods and improving the system of key performance indicators (KPI).</w:t>
      </w:r>
    </w:p>
    <w:p>
      <w:pPr>
        <w:pStyle w:val="Normal"/>
        <w:spacing w:lineRule="auto" w:line="240" w:before="0" w:after="0"/>
        <w:ind w:firstLine="567"/>
        <w:rPr>
          <w:rFonts w:ascii="Times New Roman" w:hAnsi="Times New Roman" w:eastAsia="Calibri" w:cs="Times New Roman"/>
          <w:sz w:val="24"/>
          <w:szCs w:val="24"/>
          <w:lang w:val="en-US"/>
        </w:rPr>
      </w:pPr>
      <w:r>
        <w:rPr>
          <w:rFonts w:eastAsia="Calibri" w:cs="Times New Roman" w:ascii="Times New Roman" w:hAnsi="Times New Roman"/>
          <w:sz w:val="24"/>
          <w:szCs w:val="24"/>
          <w:lang w:val="en-US"/>
        </w:rPr>
        <w:t>In a constantly changing environment, it is important to take into account all factors that influence the development of the country's human resources in order to effectively manage in accordance with the strategic goals of our country.</w:t>
      </w:r>
    </w:p>
    <w:p>
      <w:pPr>
        <w:pStyle w:val="Normal"/>
        <w:spacing w:lineRule="auto" w:line="240" w:before="0" w:after="0"/>
        <w:ind w:firstLine="567"/>
        <w:rPr>
          <w:rFonts w:ascii="Times New Roman" w:hAnsi="Times New Roman" w:eastAsia="Calibri" w:cs="Times New Roman"/>
          <w:b/>
          <w:sz w:val="24"/>
          <w:szCs w:val="24"/>
          <w:lang w:val="en-US"/>
        </w:rPr>
      </w:pPr>
      <w:r>
        <w:rPr>
          <w:rFonts w:eastAsia="Calibri" w:cs="Times New Roman" w:ascii="Times New Roman" w:hAnsi="Times New Roman"/>
          <w:b/>
          <w:sz w:val="24"/>
          <w:szCs w:val="24"/>
          <w:lang w:val="en-US"/>
        </w:rPr>
        <w:t xml:space="preserve">Keywords: </w:t>
      </w:r>
      <w:r>
        <w:rPr>
          <w:rFonts w:eastAsia="Calibri" w:cs="Times New Roman" w:ascii="Times New Roman" w:hAnsi="Times New Roman"/>
          <w:sz w:val="24"/>
          <w:szCs w:val="24"/>
          <w:lang w:val="en-US"/>
        </w:rPr>
        <w:t>audit, human resources, human resource efficiency audit</w:t>
      </w:r>
    </w:p>
    <w:p>
      <w:pPr>
        <w:pStyle w:val="Normal"/>
        <w:spacing w:lineRule="auto" w:line="240" w:before="0" w:after="0"/>
        <w:ind w:firstLine="567"/>
        <w:rPr>
          <w:rFonts w:ascii="Times New Roman" w:hAnsi="Times New Roman" w:eastAsia="Calibri" w:cs="Times New Roman"/>
          <w:b/>
          <w:sz w:val="24"/>
          <w:szCs w:val="24"/>
          <w:lang w:val="en-US"/>
        </w:rPr>
      </w:pPr>
      <w:r>
        <w:rPr>
          <w:rFonts w:eastAsia="Calibri" w:cs="Times New Roman" w:ascii="Times New Roman" w:hAnsi="Times New Roman"/>
          <w:b/>
          <w:sz w:val="24"/>
          <w:szCs w:val="24"/>
          <w:lang w:val="en-US"/>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Calibri" w:cs="Times New Roman" w:ascii="Times New Roman" w:hAnsi="Times New Roman"/>
          <w:b/>
          <w:sz w:val="24"/>
          <w:szCs w:val="24"/>
        </w:rPr>
        <w:t>Кіріспе</w:t>
      </w:r>
      <w:r>
        <w:rPr>
          <w:rFonts w:eastAsia="Calibri" w:cs="Times New Roman" w:ascii="Times New Roman" w:hAnsi="Times New Roman"/>
          <w:b/>
          <w:sz w:val="24"/>
          <w:szCs w:val="24"/>
          <w:lang w:val="en-US"/>
        </w:rPr>
        <w:t>.</w:t>
      </w:r>
      <w:r>
        <w:rPr>
          <w:rFonts w:eastAsia="Calibri" w:cs="Times New Roman" w:ascii="Times New Roman" w:hAnsi="Times New Roman"/>
          <w:b/>
          <w:sz w:val="24"/>
          <w:szCs w:val="24"/>
          <w:lang w:val="kk-KZ"/>
        </w:rPr>
        <w:t xml:space="preserve"> </w:t>
      </w:r>
      <w:r>
        <w:rPr>
          <w:rFonts w:eastAsia="Times New Roman" w:cs="Times New Roman" w:ascii="Times New Roman" w:hAnsi="Times New Roman"/>
          <w:sz w:val="24"/>
          <w:szCs w:val="24"/>
          <w:lang w:eastAsia="ru-RU"/>
        </w:rPr>
        <w:t>Қазіргі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заманғы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әлеуметтік</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eastAsia="ru-RU"/>
        </w:rPr>
        <w:t>экономикалық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жағдайлар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Қазақстан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Республикасының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мемлекеттік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органдарында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кадр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ресурстарын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жоғары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сапалы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басқаруды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талап</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етеді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Мемлекеттік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бағдарламаларды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іске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асырудың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тиімділігін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және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еліміздің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халықаралық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аренадағы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бәсекеге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қабілеттілігін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анықтайтын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негізгі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фактор</w:t>
      </w:r>
      <w:r>
        <w:rPr>
          <w:rFonts w:eastAsia="Times New Roman" w:cs="Times New Roman" w:ascii="Times New Roman" w:hAnsi="Times New Roman"/>
          <w:sz w:val="24"/>
          <w:szCs w:val="24"/>
          <w:lang w:val="en-US" w:eastAsia="ru-RU"/>
        </w:rPr>
        <w:t xml:space="preserve"> - </w:t>
      </w:r>
      <w:r>
        <w:rPr>
          <w:rFonts w:eastAsia="Times New Roman" w:cs="Times New Roman" w:ascii="Times New Roman" w:hAnsi="Times New Roman"/>
          <w:sz w:val="24"/>
          <w:szCs w:val="24"/>
          <w:lang w:eastAsia="ru-RU"/>
        </w:rPr>
        <w:t>кадрлық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ресурстар</w:t>
      </w:r>
      <w:r>
        <w:rPr>
          <w:rFonts w:eastAsia="Times New Roman" w:cs="Times New Roman" w:ascii="Times New Roman" w:hAnsi="Times New Roman"/>
          <w:sz w:val="24"/>
          <w:szCs w:val="24"/>
          <w:lang w:val="en-US" w:eastAsia="ru-RU"/>
        </w:rPr>
        <w:t>.</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Жаһандану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бәсекелестіктің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күшеюі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жағдайында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мемлекеттік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қызметшілерді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басқару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жүйесін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жетілдіру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қажеттілігі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артып</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отыр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бұл</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осы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жұмыстың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тиімділігін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объективті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бағалай</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алатын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құралдарды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әзірлеуді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және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енгізуді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талап</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етеді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Осындай</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құралдардың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бірі</w:t>
      </w:r>
      <w:r>
        <w:rPr>
          <w:rFonts w:eastAsia="Times New Roman" w:cs="Times New Roman" w:ascii="Times New Roman" w:hAnsi="Times New Roman"/>
          <w:sz w:val="24"/>
          <w:szCs w:val="24"/>
          <w:lang w:val="en-US" w:eastAsia="ru-RU"/>
        </w:rPr>
        <w:t xml:space="preserve"> – </w:t>
      </w:r>
      <w:r>
        <w:rPr>
          <w:rFonts w:eastAsia="Times New Roman" w:cs="Times New Roman" w:ascii="Times New Roman" w:hAnsi="Times New Roman"/>
          <w:sz w:val="24"/>
          <w:szCs w:val="24"/>
          <w:lang w:eastAsia="ru-RU"/>
        </w:rPr>
        <w:t>мемлекеттік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органдардың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кадрлық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ресурстарын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басқару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саласындағы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қызметіне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бақылауды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қамтамасыз</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ететін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мемлекеттік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аудит</w:t>
      </w:r>
      <w:r>
        <w:rPr>
          <w:rFonts w:eastAsia="Times New Roman" w:cs="Times New Roman" w:ascii="Times New Roman" w:hAnsi="Times New Roman"/>
          <w:sz w:val="24"/>
          <w:szCs w:val="24"/>
          <w:lang w:val="en-US" w:eastAsia="ru-RU"/>
        </w:rPr>
        <w:t xml:space="preserve"> [1-3].</w:t>
      </w:r>
    </w:p>
    <w:p>
      <w:pPr>
        <w:pStyle w:val="Normal"/>
        <w:spacing w:lineRule="auto" w:line="240" w:before="0" w:after="0"/>
        <w:ind w:firstLine="708"/>
        <w:jc w:val="both"/>
        <w:rPr>
          <w:rFonts w:ascii="Times New Roman" w:hAnsi="Times New Roman" w:eastAsia="Times New Roman" w:cs="Times New Roman"/>
          <w:bCs/>
          <w:sz w:val="24"/>
          <w:szCs w:val="24"/>
          <w:lang w:val="en-US" w:eastAsia="ru-RU"/>
        </w:rPr>
      </w:pPr>
      <w:r>
        <w:rPr>
          <w:rFonts w:eastAsia="Times New Roman" w:cs="Times New Roman" w:ascii="Times New Roman" w:hAnsi="Times New Roman"/>
          <w:bCs/>
          <w:sz w:val="24"/>
          <w:szCs w:val="24"/>
          <w:lang w:eastAsia="ru-RU"/>
        </w:rPr>
        <w:t>Қазақстандағы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sz w:val="24"/>
          <w:szCs w:val="24"/>
          <w:lang w:eastAsia="ru-RU"/>
        </w:rPr>
        <w:t>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ресурстарын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басқарудың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аудитін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зерттеудің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өзектілігі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қызметтің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тиімділігін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арттыру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процестерді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оңтайландыру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кадрлықи</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капиталды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пайдаланудағы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жауапкершілікті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арттыру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қажеттілігімен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түсіндіріледі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Ұлт</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жоспары</w:t>
      </w:r>
      <w:r>
        <w:rPr>
          <w:rFonts w:eastAsia="Times New Roman" w:cs="Times New Roman" w:ascii="Times New Roman" w:hAnsi="Times New Roman"/>
          <w:bCs/>
          <w:sz w:val="24"/>
          <w:szCs w:val="24"/>
          <w:lang w:val="en-US" w:eastAsia="ru-RU"/>
        </w:rPr>
        <w:t xml:space="preserve"> - 100 </w:t>
      </w:r>
      <w:r>
        <w:rPr>
          <w:rFonts w:eastAsia="Times New Roman" w:cs="Times New Roman" w:ascii="Times New Roman" w:hAnsi="Times New Roman"/>
          <w:bCs/>
          <w:sz w:val="24"/>
          <w:szCs w:val="24"/>
          <w:lang w:eastAsia="ru-RU"/>
        </w:rPr>
        <w:t>нақты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қызметті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дамыту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тұжырымдамасы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сияқты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стратегиялық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бастамаларды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жүзеге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асыру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тұрғысында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персоналды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сапалы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басқару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мәселелері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бірінші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орынға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шығады</w:t>
      </w:r>
      <w:r>
        <w:rPr>
          <w:rFonts w:eastAsia="Times New Roman" w:cs="Times New Roman" w:ascii="Times New Roman" w:hAnsi="Times New Roman"/>
          <w:bCs/>
          <w:sz w:val="24"/>
          <w:szCs w:val="24"/>
          <w:lang w:val="en-US" w:eastAsia="ru-RU"/>
        </w:rPr>
        <w:t>.</w:t>
      </w:r>
    </w:p>
    <w:p>
      <w:pPr>
        <w:pStyle w:val="Normal"/>
        <w:spacing w:lineRule="auto" w:line="240" w:before="0" w:after="0"/>
        <w:ind w:firstLine="708"/>
        <w:jc w:val="both"/>
        <w:rPr>
          <w:rFonts w:ascii="Times New Roman" w:hAnsi="Times New Roman" w:eastAsia="Times New Roman" w:cs="Times New Roman"/>
          <w:bCs/>
          <w:sz w:val="24"/>
          <w:szCs w:val="24"/>
          <w:lang w:val="en-US" w:eastAsia="ru-RU"/>
        </w:rPr>
      </w:pPr>
      <w:r>
        <w:rPr>
          <w:rFonts w:eastAsia="Times New Roman" w:cs="Times New Roman" w:ascii="Times New Roman" w:hAnsi="Times New Roman"/>
          <w:bCs/>
          <w:sz w:val="24"/>
          <w:szCs w:val="24"/>
          <w:lang w:eastAsia="ru-RU"/>
        </w:rPr>
        <w:t>Білікті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кадрлардың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тапшылығы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іріктеу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жоғарылату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рәсімдерінің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жеткіліксіз</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ашықтығы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сондай</w:t>
      </w:r>
      <w:r>
        <w:rPr>
          <w:rFonts w:eastAsia="Times New Roman" w:cs="Times New Roman" w:ascii="Times New Roman" w:hAnsi="Times New Roman"/>
          <w:bCs/>
          <w:sz w:val="24"/>
          <w:szCs w:val="24"/>
          <w:lang w:val="en-US" w:eastAsia="ru-RU"/>
        </w:rPr>
        <w:t>-</w:t>
      </w:r>
      <w:r>
        <w:rPr>
          <w:rFonts w:eastAsia="Times New Roman" w:cs="Times New Roman" w:ascii="Times New Roman" w:hAnsi="Times New Roman"/>
          <w:bCs/>
          <w:sz w:val="24"/>
          <w:szCs w:val="24"/>
          <w:lang w:eastAsia="ru-RU"/>
        </w:rPr>
        <w:t>ақ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қызметшілерді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ынталандыру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қызметін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бағалау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жүйесінің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жетілмегендігі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сияқты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заманауи</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сын</w:t>
      </w:r>
      <w:r>
        <w:rPr>
          <w:rFonts w:eastAsia="Times New Roman" w:cs="Times New Roman" w:ascii="Times New Roman" w:hAnsi="Times New Roman"/>
          <w:bCs/>
          <w:sz w:val="24"/>
          <w:szCs w:val="24"/>
          <w:lang w:val="en-US" w:eastAsia="ru-RU"/>
        </w:rPr>
        <w:t>-</w:t>
      </w:r>
      <w:r>
        <w:rPr>
          <w:rFonts w:eastAsia="Times New Roman" w:cs="Times New Roman" w:ascii="Times New Roman" w:hAnsi="Times New Roman"/>
          <w:bCs/>
          <w:sz w:val="24"/>
          <w:szCs w:val="24"/>
          <w:lang w:eastAsia="ru-RU"/>
        </w:rPr>
        <w:t>қатерлер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еліміздің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стратегиялық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мақсаттарына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қол</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жеткізуге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кері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әсерін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тигізуі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мүмкін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Персоналды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басқару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мәселелеріне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жеткіліксіз</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көңіл</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бөлу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бюрократиялық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жүктеменің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артуына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еңбек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өнімділігінің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төмендеуіне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органдардың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институционалдық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әлеуетінің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әлсіреуіне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әкеледі</w:t>
      </w:r>
      <w:r>
        <w:rPr>
          <w:rFonts w:eastAsia="Times New Roman" w:cs="Times New Roman" w:ascii="Times New Roman" w:hAnsi="Times New Roman"/>
          <w:bCs/>
          <w:sz w:val="24"/>
          <w:szCs w:val="24"/>
          <w:lang w:val="en-US" w:eastAsia="ru-RU"/>
        </w:rPr>
        <w:t>.</w:t>
      </w:r>
    </w:p>
    <w:p>
      <w:pPr>
        <w:pStyle w:val="Normal"/>
        <w:spacing w:lineRule="auto" w:line="240" w:before="0" w:after="0"/>
        <w:ind w:firstLine="708"/>
        <w:jc w:val="both"/>
        <w:rPr>
          <w:rFonts w:ascii="Times New Roman" w:hAnsi="Times New Roman" w:eastAsia="Times New Roman" w:cs="Times New Roman"/>
          <w:bCs/>
          <w:sz w:val="24"/>
          <w:szCs w:val="24"/>
          <w:lang w:val="en-US" w:eastAsia="ru-RU"/>
        </w:rPr>
      </w:pPr>
      <w:r>
        <w:rPr>
          <w:rFonts w:eastAsia="Times New Roman" w:cs="Times New Roman" w:ascii="Times New Roman" w:hAnsi="Times New Roman"/>
          <w:bCs/>
          <w:sz w:val="24"/>
          <w:szCs w:val="24"/>
          <w:lang w:eastAsia="ru-RU"/>
        </w:rPr>
        <w:t>Осы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тұрғыда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val="kk-KZ" w:eastAsia="ru-RU"/>
        </w:rPr>
        <w:t>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ресурстарды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басқарудың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аудиті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саясаттың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тиімділігін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жүйелі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талдауды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қамтамасыз</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етудің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негізгі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құралы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болып</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табылады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Оның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рөлі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бұзушылықтарды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анықтау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ғана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емес</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сонымен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қатар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персоналды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басқару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тиімділігін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арттыру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бойынша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деректерге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негізделген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ұсыныстарды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қалыптастыру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болып</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табылады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Аудит</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тетіктерін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әзірлеу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шешімдердің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стратегиялық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басымдықтарға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сәйкестігін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объективті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бағалауға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w:t>
      </w:r>
      <w:r>
        <w:rPr>
          <w:rFonts w:eastAsia="Times New Roman" w:cs="Times New Roman" w:ascii="Times New Roman" w:hAnsi="Times New Roman"/>
          <w:bCs/>
          <w:sz w:val="24"/>
          <w:szCs w:val="24"/>
          <w:lang w:val="kk-KZ" w:eastAsia="ru-RU"/>
        </w:rPr>
        <w:t>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ресурстарын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тиімсіз</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бөлумен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байланысты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тәуекелдерді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анықтауға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оларды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барынша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азайту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тетіктерін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әзірлеуге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мүмкіндік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береді</w:t>
      </w:r>
      <w:r>
        <w:rPr>
          <w:rFonts w:eastAsia="Times New Roman" w:cs="Times New Roman" w:ascii="Times New Roman" w:hAnsi="Times New Roman"/>
          <w:bCs/>
          <w:sz w:val="24"/>
          <w:szCs w:val="24"/>
          <w:lang w:val="en-US" w:eastAsia="ru-RU"/>
        </w:rPr>
        <w:t>.</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eastAsia="ru-RU"/>
        </w:rPr>
        <w:t>Сонымен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қатар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заманауи</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технологиялар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аудит</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әдістері</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соның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ішінде</w:t>
      </w:r>
      <w:r>
        <w:rPr>
          <w:rFonts w:eastAsia="Times New Roman" w:cs="Times New Roman" w:ascii="Times New Roman" w:hAnsi="Times New Roman"/>
          <w:bCs/>
          <w:sz w:val="24"/>
          <w:szCs w:val="24"/>
          <w:lang w:val="en-US" w:eastAsia="ru-RU"/>
        </w:rPr>
        <w:t xml:space="preserve"> HR </w:t>
      </w:r>
      <w:r>
        <w:rPr>
          <w:rFonts w:eastAsia="Times New Roman" w:cs="Times New Roman" w:ascii="Times New Roman" w:hAnsi="Times New Roman"/>
          <w:bCs/>
          <w:sz w:val="24"/>
          <w:szCs w:val="24"/>
          <w:lang w:eastAsia="ru-RU"/>
        </w:rPr>
        <w:t>процестерін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цифрландыру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үлкен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деректер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жасанды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интеллект</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пайдалану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басқару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шешімдерінің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ашықтығы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негізділігін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арттыру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үшін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жаңа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мүмкіндіктер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туғызады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аудитте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аналитикалық</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құралдарды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пайдалану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кадрлар</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қажеттілігін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болжауды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жақсартуға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жекелендірілген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оқыту</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бағдарламаларын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әзірлеуге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және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мемлекеттік</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қызметтің</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жалпы</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бәсекеге</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қабілеттілігін</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арттыруға</w:t>
      </w:r>
      <w:r>
        <w:rPr>
          <w:rFonts w:eastAsia="Times New Roman" w:cs="Times New Roman" w:ascii="Times New Roman" w:hAnsi="Times New Roman"/>
          <w:bCs/>
          <w:sz w:val="24"/>
          <w:szCs w:val="24"/>
          <w:lang w:val="en-US" w:eastAsia="ru-RU"/>
        </w:rPr>
        <w:t xml:space="preserve"> </w:t>
      </w:r>
      <w:r>
        <w:rPr>
          <w:rFonts w:eastAsia="Times New Roman" w:cs="Times New Roman" w:ascii="Times New Roman" w:hAnsi="Times New Roman"/>
          <w:bCs/>
          <w:sz w:val="24"/>
          <w:szCs w:val="24"/>
          <w:lang w:eastAsia="ru-RU"/>
        </w:rPr>
        <w:t>көмектеседі</w:t>
      </w:r>
      <w:r>
        <w:rPr>
          <w:rFonts w:eastAsia="Times New Roman" w:cs="Times New Roman" w:ascii="Times New Roman" w:hAnsi="Times New Roman"/>
          <w:bCs/>
          <w:sz w:val="24"/>
          <w:szCs w:val="24"/>
          <w:lang w:val="en-US" w:eastAsia="ru-RU"/>
        </w:rPr>
        <w:t>.</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Бастапқы мақсат - адам ресурстарын басқарудың мемлекеттік аудиті саласындағы негізгі міндеттер мен шешімдерді зерделеу - нақты нәтижеге әкелуі керек: Қазақстан Республикасының мемлекеттік органдары үшін салалық стандартты кадрлық аудиттің тұжырымдамалық моделін әзірлеу. Бұл модель Есеп комитеті мен мүдделі министрліктер үшін бөлшектелген аудиттен адами капиталды пайдалану тиімділігін кешенді бағалауға көшуге мүмкіндік беретін практикалық құрал болады.</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Күтілетін ғылыми серпіліс үлкен деректерге негізделген болжамды талдауды мемлекеттік кадрлық аудит жүйесіне біріктіру әдістемесін әзірлеу болып табылады, ол бұзушылықтарды анықтаудан HR тәуекелдерін болжауға көшуге мүмкіндік береді. Бұл мемлекеттік бағдарламалар бойынша оқытуға инвестиция мен қызметкерлердің ауысуы көрсеткіштері арасындағы корреляция сияқты кадрлық процестердегі жасырын заңдылықтарды анықтауға негізделген қазақстандық тәжірибе үшін түбегейлі жаңа аудит функциясы. Ұсынылған модельдің тиімділігі мемлекеттік органдардың стратегиялық мақсаттарына сәйкестендірілген динамикалық KPI енгізу және екі жыл ішінде пилоттық агенттіктердегі кадрлардың тұрақтамауын 5-7%-ға қысқарту сияқты нақты көрсеткіштер арқылы бағаланатын болады. Аудиттің цифрландыруын өлшеу үшін мамандандырылған бағдарламалық платформалардың арқасында HR тәуекелінің автоматтандырылған есептерінің үлесі және деректерді жинау мен талдау уақытын 30%-ға қысқарту сияқты көрсеткіштер қолданылады.</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 xml:space="preserve">Зерттеудің күтілетін нәтижесі Қазақстанның ерекшеліктеріне бейімделген кадрлық ресурстарын басқарудың мемлекеттік аудитін жүргізудің кешенді әдістемесін әзірлеу болып табылады. Осы тұжырымдарды іс жүзінде енгізу мемлекеттік қызметшілер үшін жақсартылған KPI жүйесін енгізумен қатар кадрлық саясаттың тиімділігін бағалаудың бірыңғай стандарттарын жасауға мүмкіндік береді. Жасанды интеллект элементтері бар мамандандырылған платформаларды енгізу арқылы аудит процестерін цифрландыру болжамдық аналитикаға және кадрлықи капиталдың объективті мониторингіне көшуді жеңілдетеді. Ұлттық оқу орталығын құру арқылы құрылған аудиторлардың біліктілігін үздіксіз арттыру жүйесі кадрлық аудиттің сапасын арттыруға мүмкіндік береді. Кері байланыс тетіктерін енгізу және аудиттің ашықтығын арттыру HR шешімдері үшін басқарушылық жауапкершілікті күшейтеді. </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Осылайша, кадрлық ресурстарын басқару тиімділігін тексеру мәселелерін зерттеу қазіргі заманғы талаптарға жауап беріп қана қоймайды, сонымен қатар кәсіби, құзыретті және нәтижеге бағытталған мемлекеттік аппаратты қалыптастырудың негізін қалайды.</w:t>
      </w:r>
    </w:p>
    <w:p>
      <w:pPr>
        <w:pStyle w:val="Normal"/>
        <w:spacing w:lineRule="auto" w:line="240" w:before="0" w:after="0"/>
        <w:ind w:firstLine="708"/>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t>Зерттеудің міндеттері:</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1. Қазақстандағы кадрлық ресурстарын басқару аудит жүйесінің ағымдағы жағдайына талдау жүргізу;</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2. Мемлекеттік органдардың кадр саясатына аудит жүргізудегі негізгі проблемалар мен кемшіліктерді анықтау;</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3. Аудит әдістерін жетілдіру және қызметтің негізгі көрсеткіштері жүйесін (KPI) жетілдіру бойынша ұсыныстар әзірлеу.</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Зерттеу объектісі  Қазақстанның мемлекеттік органдарындағы кадрлық ресурстарын мемлекеттік басқару жүйесі.</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Зерттеу пәні мемлекеттік органдарда кадрлық ресурстарын басқару тиімділігіне аудит жүргізудің әдіснамалық аспектілері болып табылады.</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Мақалада қолданылған зерттеу әдістеріне мыналар жатады:</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 xml:space="preserve">• </w:t>
      </w:r>
      <w:r>
        <w:rPr>
          <w:rFonts w:eastAsia="Times New Roman" w:cs="Times New Roman" w:ascii="Times New Roman" w:hAnsi="Times New Roman"/>
          <w:bCs/>
          <w:sz w:val="24"/>
          <w:szCs w:val="24"/>
          <w:lang w:val="kk-KZ" w:eastAsia="ru-RU"/>
        </w:rPr>
        <w:t>қолданыстағы аудит тәжірибесін жүйелі және салыстырмалы талдау;</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 xml:space="preserve">• </w:t>
      </w:r>
      <w:r>
        <w:rPr>
          <w:rFonts w:eastAsia="Times New Roman" w:cs="Times New Roman" w:ascii="Times New Roman" w:hAnsi="Times New Roman"/>
          <w:bCs/>
          <w:sz w:val="24"/>
          <w:szCs w:val="24"/>
          <w:lang w:val="kk-KZ" w:eastAsia="ru-RU"/>
        </w:rPr>
        <w:t>ұсыныстарды қалыптастырудың проблемалық зерттеу әдісі;</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 xml:space="preserve">• </w:t>
      </w:r>
      <w:r>
        <w:rPr>
          <w:rFonts w:eastAsia="Times New Roman" w:cs="Times New Roman" w:ascii="Times New Roman" w:hAnsi="Times New Roman"/>
          <w:bCs/>
          <w:sz w:val="24"/>
          <w:szCs w:val="24"/>
          <w:lang w:val="kk-KZ" w:eastAsia="ru-RU"/>
        </w:rPr>
        <w:t>кадрлық ресурстарын пайдалануды статистикалық талдау.</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Осы мақаланың мазмұны кадрлық ресурстарының мемлекеттік аудитінің әдіснамалық тәсілдерін әзірлеуге бағытталған. Зерттеу нәтижелерін мемлекеттік қызметтің ашықтығы мен тиімділігін арттыру, сондай-ақ мемлекеттік органдардағы персоналды басқаруды оңтайландыру үшін пайдалануға болады. Ұсынылған ұсыныстарды іске асыру персоналды басқару үдерісін жақсартуға және мемлекеттік бағдарламаларды іске асыру тиімділігін арттыруға мүмкіндік береді.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b/>
          <w:sz w:val="24"/>
          <w:szCs w:val="24"/>
          <w:lang w:val="kk-KZ"/>
        </w:rPr>
        <w:t xml:space="preserve">Материалдар мен әдістер. </w:t>
      </w:r>
      <w:r>
        <w:rPr>
          <w:rFonts w:eastAsia="Calibri" w:cs="Times New Roman" w:ascii="Times New Roman" w:hAnsi="Times New Roman"/>
          <w:sz w:val="24"/>
          <w:szCs w:val="24"/>
          <w:lang w:val="kk-KZ"/>
        </w:rPr>
        <w:t>Материалдар мен тәсілдер. Қазақстан Республикасының Президенті Қасым-Жомарт Кемелұлы Тоқаевтың 2024 жылғы 2 қыркүйектегі Қазақстан халқына жолдауында: «Еліміздің кадрлық әлеуетін дәйекті түрде арттыру маңызды.  Экономиканы білікті кадрлармен қамтамасыз ету - ең өзекті мәселе. Адал, қажырлы еңбек арқылы жетістікке жеткен кадрлықдар әрқашан құрмет пен құрметке бөленуі керек. Бұл біздің «Жауапты азамат - адал еңбек - лайықты табыс» қағидатымызға толық сәйкес келеді.</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Ешқандай жаман жұмыс жоқ; Ең бастысы, әрбір азамат өз міндетін адал атқарса, жауапкершілікті терең сезінеді. Сонда ғана еліміз ілгерілеу жолында биіктерге жетеді. Біздің қоғамда адал да жауапты еңбек міндетті түрде бағаланады деген түсінік қалыптасуы керек. Бұл мақсатқа азаматтарға құрметті атақтар беру де қызмет етеді» [4].</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 Республикасы Президентінің жолдауында айтылған кадр саясаты саласындағы басымдықтар кадрлық ресурстарын басқару тиімділігін арттырудың стратегиялық қажеттілігін көрсетеді. Алға қойылған мақсаттарға жету персоналмен жұмыстың ашық, есеп беретін және тиімді жүйесін қалыптастырмайынша мүмкін емес, бұл өз кезегінде заманауи бақылау және аудит тетіктерін енгізуді талап етеді.</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Кадрлық ресурстарын басқарудың мемлекеттік аудиті - бұл кадрлық үдерістердегі бұзушылықтар мен кемшіліктерді анықтау құралы ғана емес, кадр саясатының елдің ұзақ мерзімді стратегиялық бағдарларына сәйкестігін жүйелі түрде бағалау тетігі. Ол мемлекеттік органдардың меритократия қағидаттарын қаншалықты тиімді жүзеге асырып жатқанын бағалауға, қызметкерлердің кәсіби өсуі мен мотивациясына жағдай туғызып, кадрлықи капиталды ұтымды пайдалануды қамтамасыз етуге мүмкіндік береді.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Мемлекеттік аудиттің негізгі аспектілерінің бірі кадрларды іріктеу, дамыту және сақтау жүйесінің тиімділігін бақылау болып табылады. Цифрлық трансформация және мемлекеттік қызметшілердің құзыреттеріне қойылатын талаптардың өзгеруі жағдайында персоналды басқарудағы дәстүрлі тәсілдер енді кадрлық ресурстарын басқару жүйесінің жаңа міндеттерге сай болуын толық қамтамасыз ете алмайды. Бұл аналитикалық құралдарды, үлкен деректер технологияларын және персонал қажеттілігін болжау әдістерін енгізуді өзекті етеді.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Осылайша, кадрлық ресурстарын басқарудың мемлекеттік аудиті тек нормативтік талаптардан ауытқуларды анықтауға ғана емес, сонымен қатар кадр саясатының тиімділігін арттыру бойынша стратегиялық ұсыныстарды қалыптастыруға бағытталуы тиіс. Қазақстандағы кадрлық ресурстарын басқару жүйесінің алдында тұрған негізгі қиындықтарды, сондай-ақ оларды еңсерудің ықтимал жолдарын егжей-тегжейлі қарастырайық.</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Кадрлық ресурстарын басқарудың мемлекеттік аудиті мемлекеттік аппараттың тиімді жұмыс істеуінің құрамдас бөлігі болып табылады. Соңғы жылдары зерттеушілер Қазақстандағы кадрлық ресурстарын басқарудағы проблемаларды анықтауға және оларды оңтайландырудың шешімдерін ұсынуға назар аударды. Ғылыми әдебиеттерде авторлар мемлекеттік аудиттің әртүрлі аспектілерін, кадрлық ресурстарын басқаруды және цифрландырудың елдегі кадрлық саясатқа әсерін көрсететін негізгі мәселелерді қарастырады.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Bratton, J. &amp; Gold, J. адам ресурстарын мемлекеттік басқару функцияларын орындау үшін қажетті қызметкерлердің кәсіби білімдерінің, дағдыларының, құзыреттерінің және әлеуетінің жиынтығы ретінде анықтайды [5].</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Lawler, E. E. &amp; Boudreau, J. W. адам ресурстарын қызметкерлерді ғана емес, сонымен бірге олардың өзара әрекеттесу, оқыту және өзгермелі жағдайларға бейімделу жүйелерін қамтитын стратегиялық актив ретінде қарастырады [6].</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Қазақстандағы кадрлық ресурстарын басқарудың мемлекеттік аудиті мемлекеттік органдарда кадрлық әлеуетін тиімді пайдалануды қамтамасыз етудің маңызды құралы болып табылады.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Саунин А.Н. кадрлық ресурстарын басқару контекстінде мемлекеттік аудиттің теориялық негіздері мен практикалық аспектілеріне назар аударады. Автор еңбек нарығындағы және мемлекеттік құрылымдардағы өзгермелі жағдайларға байланысты неғұрлым икемді және бейімделген бақылау әдістерін енгізу қажеттілігі туралы дәлелдер келтіре отырып, мемлекеттік органдарда аудит жүргізудің қолданыстағы әдістерін талдайды. Саунин Қазақстанда аудитті мемлекеттік сектордағы кадрлық ресурстарын басқарудың нақты тәжірибесімен байланыстыратын кешенді тәсілдер жоқ екенін атап өтті. </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Жұмыс мемлекеттік аудиторлардың біліктілігін арттырудың және кадрлық үдерістердің мониторингін жақсартудың маңыздылығын көрсетеді [7].</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Климанов В.В., Казакова С.М., Яговкин В.А. зерттеулерінде қаржылық аудит призмасы арқылы кадрлық ресурстарын бақылауға қатысты мәселелер талқыланады. Авторлар кадрлық шығындарды бюджеттеу және қызметкерлерді оқыту мен біліктілігін арттыру үшін мемлекеттік қаражатты пайдалану тиімділігі сияқты қаржылық аспектілерді есепке алмай кадр саясатын оңтайландыру мүмкін емес деп санайды. Авторлар персонал шығындарын бағалауды да, персоналмен жұмыс тиімділігін де қамтуы тиіс аудитке кешенді тәсілдің маңыздылығын атап көрсетеді [8].</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Алибекова Б.А., Алдынғарова Д.Т. өз мақалаларында кадрлық ресурстарын басқару контекстінде қолданыстағы аудит әдістеріне талдау жасайды. Авторлар екі негізгі аспектіні атап көрсетеді: біріншісі – халықаралық стандарттарды Қазақстанның ерекшеліктеріне бейімдеу қажеттілігі, екіншісі - заңнамалық өзгерістер мен елдегі әлеуметтік-экономикалық жағдай сияқты түрлі факторлардың аудитті жүргізуге әсері. Олар персонал саясаты аудитінің сапасын арттыру үшін аудиторлық кадрларды даярлауды жақсарту және жаңа ақпараттық технологияларды енгізу қажеттігін атап көрсетеді [9].</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Боқаев Б.Н., Төребекова З.Т., Жаров Е.Қ., Бактиярова Б.Н. өз зерттеулерінде Қазақстанның мемлекеттік қызметіндегі кадрлық ресурстарын тиімді басқару үшін кадрлық стратегия мен саясатты әзірлеу қажеттігін атап көрсетеді. Авторлар кадрлықи капиталды басқару тетіктері лауазымдарға тағайындау және жоғарылату рәсімдерін қамтиды, бұл жүйелі көзқарас пен үздіксіз жетілдіруді талап етеді [10].</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 Республикасындағы мемлекеттік аудитті жүзеге асыру тұжырымдамасына» сәйкес мемлекеттік аудит тек қаржылық аспектілерді ғана емес, сонымен қатар олардың қызметінің барлық салаларын, оның ішінде кадрлық ресурстарын басқаруды қамтитын аудиттелетін субъектілер қызметінің тиімділігін кешенді және тәуелсіз бағалау ретінде қарастырылады. Құжат тиімді ұсынудың маңыздылығын көрсетеді анықталған кемшіліктерге негізделген ұсыныстар мен тәуекелдерді басқару бойынша ұсыныстар [11].</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«Мемлекеттік органдардағы кадр қызметінің мәртебесін жақсарту» зерттеуінде Қазақстанның мемлекеттік қызметіндегі қайта құрулар, оның ішінде кадр қызметі құрылымын автоматтандыру және орталықтандыру қарастырылған. Авторлар мемлекеттік органдардың алдында тұрған нақты мәселелерді шешу үшін сенімді және тиімді мемлекеттік аппаратты қалыптастыру қажеттігін атап көрсетеді [12].</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Шаймерденова Т.А., Жетпісбаева М.Қ. «Қазақстандағы мемлекеттік қызметшілердің мотивациялық аспектілері экономиканы цифрландыру жағдайында» атты мақаласында персоналды ынталандыру призмасы арқылы мемлекеттік басқарудың сапасын арттыру мәселелерін қарастырады. Авторлар цифрландыру жағдайында кадрлық әлеуетін дамытуға және кадр саясатын заманауи шындыққа бейімдеуге ерекше назар аудару керектігін атап өтті [13].</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Осылайша, бар әдебиеттер Қазақстанның мемлекеттік қызметіндегі кадрлық ресурстарын басқаруға жүйелі көзқарас қажеттігін көрсетеді. Негізгі міндеттерге HR тиімді стратегияларын әзірлеу және енгізу, аудиторларды сертификаттау жүйесін жетілдіру және кадр саясатын цифрландыру шарттарына бейімдеу қажеттілігі жатады. Бұл қиындықтарды еңсеру заманауи технологияларды енгізу, қызметкерлердің біліктілігін арттыру және аудит нәтижелері бойынша тиімді ұсыныстар әзірлеу арқылы мүмкін болады.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b/>
          <w:bCs/>
          <w:sz w:val="24"/>
          <w:szCs w:val="24"/>
          <w:lang w:val="kk-KZ"/>
        </w:rPr>
        <w:t>Нәтижелер мен талқылау</w:t>
      </w:r>
      <w:r>
        <w:rPr>
          <w:rFonts w:eastAsia="Calibri" w:cs="Times New Roman" w:ascii="Times New Roman" w:hAnsi="Times New Roman"/>
          <w:b/>
          <w:sz w:val="24"/>
          <w:szCs w:val="24"/>
          <w:lang w:val="kk-KZ"/>
        </w:rPr>
        <w:t xml:space="preserve">. </w:t>
      </w:r>
      <w:r>
        <w:rPr>
          <w:rFonts w:eastAsia="Calibri" w:cs="Times New Roman" w:ascii="Times New Roman" w:hAnsi="Times New Roman"/>
          <w:sz w:val="24"/>
          <w:szCs w:val="24"/>
          <w:lang w:val="kk-KZ"/>
        </w:rPr>
        <w:t>Қазақстандағы кадрлық ресурстарын басқару аудиті жүйесін талдау мемлекеттік басқарудың тиімділігін арттыруға бағытталған терең құрылымдық өзгерістердің қажеттілігін көрсетеді. Мемлекеттік қызметті жаңғырту және меритократия қағидаттарын енгізу жағдайында персоналды тексерудегі дәстүрлі тәсілдер енді кадрлық ресурстарын басқару сапасының толық көрінісін бермейді. Қолданыстағы аудит тетіктері нормативтік талаптардың сақталуына көбірек бағытталған, ал аудиттің стратегиялық мақсаты кадрлық саясаттың тиімділігін кешенді бағалау, жүйелі проблемаларды анықтау және оларды жою шараларын ұсыну болып табылады.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Ағымдағы аудиттің негізгі шектеулерінің бірі мемлекеттік қызметшілердің қызметін бағалауда объективтіліктің болмауы болып табылады. Нақты өнімділік көрсеткіштерінің болмауы, сондай-ақ жұмыс нәтижелері мен мотивация жүйесі арасындағы әлсіз байланыс кадрлық процестердің бюрократизациялану қаупін тудырады. Осының салдарынан нәтижелерді бағалау көбінесе формальды сипатқа ие, ал кадрлық шешімдер стратегиялық мақсаттарға жетудегі қызметкерлердің нақты үлесін есепке алмай қабылданады. Сонымен қатар, мемлекеттік басқарудың әртүрлі деңгейлерінде кадр саясатын үйлестірудің жоқтығы маңызды мәселе болып қалуда, бұл кадрлық ресурстарын бөлудегі теңгерімсіздікке және жалпы мемлекеттік қызмет жүйесінің тиімділігінің төмендеуіне алып келеді.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Заманауи технологиялар HR аудитін жақсарту үшін жаңа мүмкіндіктер ашады, бірақ олардың әлеуеті әлі де толық пайдаланылмайды. Негізгі басқару процестерін цифрландыру контекстінде HR аудиті персонал қажеттіліктерін болжауға, персоналды басқарудағы жасырын тенденцияларды анықтауға және шешім қабылдау процесін оңтайландыруға мүмкіндік беретін аналитикалық құралдар мен үлкен деректер технологияларын біріктіруі керек. Жасанды интеллект пен машиналық оқыту жүйелерін енгізу құзыреттерді дәлірек бағалауды қамтамасыз ете алады, персонал рәсімдерінің ашықтығын арттырады және қызметкерлердің жұмысын бағалаудағы субъективтілікті азайтады.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Сонымен қатар, жоғарылатудың ашықтығын қамтамасыз ететін, тәлімгерлік рөлін күшейтетін және мемлекеттік қызметке сенім деңгейін арттыратын мемлекеттік қызметшілердің мансаптық өсуі мен біліктілігін арттыру мониторингінің бірыңғай жүйесін құру қажет. Маңызды аспект персоналды басқару тиімділігі туралы объективті деректер негізінде жеке жауапкершілікті енгізуді талап ететін кадрлық шешімдер үшін басшылардың жауапкершілігін күшейту болып табылады. Бұл тұрғыда мемлекеттік аудит тек бақылау функциясын орындап қана қоймай, сонымен қатар кадр саясатын жетілдіруге, тиімді тәжірибені анықтауға және мемлекеттік аппарат жұмысының өнімділігін төмендететін факторларды жоюға бағытталған стратегиялық құралға айналуы тиіс.</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Кадрлық ресурстарын басқару саласындағы мемлекеттік аудитті күшейту формальды бақылаудан кадр саясатының тиімділігін кешенді талдауға көшуді талап етеді. </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Цифрлық технологияларды интеграциялау, қызметтің тиімділігін бағалаудың ашық тетіктерін дамыту және персоналды басқарудың стратегиялық бағдарланған жүйесін қалыптастыру Қазақстанның әлеуметтік-экономикалық дамуының басым міндеттерін тиімді іске асыруға қабілетті кәсіби, құзыретті және уәжделген мемлекеттік аппаратты құруға мүмкіндік береді.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Бүгінгі таңда Қазақстан Республикасының мемлекеттік органдарында 83 мыңнан астам мемлекеттік қызметші жұмыс істейді. Мемлекеттік қызмет істері және сыбайлас жемқорлыққа қарсы іс-қимыл агенттігінің мәліметтері бойынша, тек 2023 жылдың өзінде біліктілікті арттырудың мемлекеттік бағдарламалары бойынша оқуды аяқтаған қызметкерлер саны мемлекеттік қызметшілердің жалпы санының шамамен 22%-ын құрады, бұл кадрларды оқытуға жүйелі түрде қарау қажеттілігін көрсетеді. Дегенмен, тексерулер мемлекеттік бағдарламаларды жүзеге асыру барысында анықталған проблемалардың 30%-дан астамы кадрлардың біліктілігінің жеткіліксіздігі мен ресурстарды тиімсіз басқаруға байланысты екенін көрсетті [14]. Осы орайда материалдық мотивациясының маңызы зор. </w:t>
      </w:r>
      <w:r>
        <w:rPr>
          <w:rFonts w:eastAsia="Times New Roman" w:cs="Times New Roman" w:ascii="Times New Roman" w:hAnsi="Times New Roman"/>
          <w:sz w:val="24"/>
          <w:szCs w:val="24"/>
          <w:lang w:val="kk-KZ" w:eastAsia="ru-RU"/>
        </w:rPr>
        <w:t>2020-2024 жж. Қазақстандағы орташа айлық атаулы жалақы бойынша ақпарат 1 кестеде көрсетілген.</w:t>
      </w:r>
    </w:p>
    <w:p>
      <w:pPr>
        <w:pStyle w:val="Normal"/>
        <w:spacing w:lineRule="auto" w:line="240" w:before="0" w:after="0"/>
        <w:jc w:val="both"/>
        <w:rPr>
          <w:rFonts w:ascii="Times New Roman" w:hAnsi="Times New Roman" w:eastAsia="Calibri" w:cs="Times New Roman"/>
          <w:sz w:val="24"/>
          <w:szCs w:val="24"/>
          <w:highlight w:val="yellow"/>
          <w:lang w:val="kk-KZ"/>
        </w:rPr>
      </w:pPr>
      <w:r>
        <w:rPr>
          <w:rFonts w:eastAsia="Calibri" w:cs="Times New Roman" w:ascii="Times New Roman" w:hAnsi="Times New Roman"/>
          <w:sz w:val="24"/>
          <w:szCs w:val="24"/>
          <w:highlight w:val="yellow"/>
          <w:lang w:val="kk-KZ"/>
        </w:rPr>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1 - кесте.  2020-2024 жж. Қазақстандағы орташа айлық атаулы жалақы</w:t>
      </w:r>
    </w:p>
    <w:p>
      <w:pPr>
        <w:pStyle w:val="Normal"/>
        <w:spacing w:lineRule="auto" w:line="240" w:before="0" w:after="0"/>
        <w:jc w:val="center"/>
        <w:rPr>
          <w:rFonts w:ascii="Calibri" w:hAnsi="Calibri" w:eastAsia="Calibri" w:cs="Times New Roman"/>
          <w:sz w:val="24"/>
          <w:szCs w:val="24"/>
          <w:highlight w:val="yellow"/>
          <w:lang w:val="kk-KZ"/>
        </w:rPr>
      </w:pPr>
      <w:r>
        <w:rPr>
          <w:rFonts w:eastAsia="Calibri" w:cs="Times New Roman" w:ascii="Calibri" w:hAnsi="Calibri"/>
          <w:sz w:val="24"/>
          <w:szCs w:val="24"/>
          <w:highlight w:val="yellow"/>
          <w:lang w:val="kk-KZ"/>
        </w:rPr>
      </w:r>
    </w:p>
    <w:tbl>
      <w:tblPr>
        <w:tblW w:w="9352" w:type="dxa"/>
        <w:jc w:val="left"/>
        <w:tblInd w:w="93" w:type="dxa"/>
        <w:tblLayout w:type="fixed"/>
        <w:tblCellMar>
          <w:top w:w="0" w:type="dxa"/>
          <w:left w:w="108" w:type="dxa"/>
          <w:bottom w:w="0" w:type="dxa"/>
          <w:right w:w="108" w:type="dxa"/>
        </w:tblCellMar>
        <w:tblLook w:val="04a0" w:noHBand="0" w:noVBand="1" w:firstColumn="1" w:lastRow="0" w:lastColumn="0" w:firstRow="1"/>
      </w:tblPr>
      <w:tblGrid>
        <w:gridCol w:w="3375"/>
        <w:gridCol w:w="1133"/>
        <w:gridCol w:w="1134"/>
        <w:gridCol w:w="1254"/>
        <w:gridCol w:w="1262"/>
        <w:gridCol w:w="1193"/>
      </w:tblGrid>
      <w:tr>
        <w:trPr>
          <w:trHeight w:val="253" w:hRule="atLeast"/>
        </w:trPr>
        <w:tc>
          <w:tcPr>
            <w:tcW w:w="337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 </w:t>
            </w:r>
            <w:r>
              <w:rPr>
                <w:rFonts w:eastAsia="Times New Roman" w:cs="Times New Roman" w:ascii="Times New Roman" w:hAnsi="Times New Roman"/>
                <w:b/>
                <w:bCs/>
                <w:lang w:val="kk-KZ" w:eastAsia="ru-RU"/>
              </w:rPr>
              <w:t>Көрсеткіштер</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2020 ж.</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2021 ж.</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2022 ж.</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2023 ж.</w:t>
            </w:r>
          </w:p>
        </w:tc>
        <w:tc>
          <w:tcPr>
            <w:tcW w:w="11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2024 ж.</w:t>
            </w:r>
          </w:p>
        </w:tc>
      </w:tr>
      <w:tr>
        <w:trPr>
          <w:trHeight w:val="491" w:hRule="atLeast"/>
        </w:trPr>
        <w:tc>
          <w:tcPr>
            <w:tcW w:w="337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Орташа айлық номиналды жалақы</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 </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 </w:t>
            </w:r>
          </w:p>
        </w:tc>
        <w:tc>
          <w:tcPr>
            <w:tcW w:w="12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 </w:t>
            </w:r>
          </w:p>
        </w:tc>
        <w:tc>
          <w:tcPr>
            <w:tcW w:w="126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 </w:t>
            </w:r>
          </w:p>
        </w:tc>
        <w:tc>
          <w:tcPr>
            <w:tcW w:w="11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r>
          </w:p>
        </w:tc>
      </w:tr>
      <w:tr>
        <w:trPr>
          <w:trHeight w:val="253" w:hRule="atLeast"/>
        </w:trPr>
        <w:tc>
          <w:tcPr>
            <w:tcW w:w="337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   теңге</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213 003</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250 311</w:t>
            </w:r>
          </w:p>
        </w:tc>
        <w:tc>
          <w:tcPr>
            <w:tcW w:w="12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val="kk-KZ" w:eastAsia="ru-RU"/>
              </w:rPr>
              <w:t>309 69</w:t>
            </w:r>
            <w:r>
              <w:rPr>
                <w:rFonts w:eastAsia="Times New Roman" w:cs="Times New Roman" w:ascii="Times New Roman" w:hAnsi="Times New Roman"/>
                <w:lang w:eastAsia="ru-RU"/>
              </w:rPr>
              <w:t>7</w:t>
            </w:r>
          </w:p>
        </w:tc>
        <w:tc>
          <w:tcPr>
            <w:tcW w:w="126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Cs/>
                <w:lang w:eastAsia="ru-RU"/>
              </w:rPr>
            </w:pPr>
            <w:r>
              <w:rPr>
                <w:rFonts w:eastAsia="Times New Roman" w:cs="Times New Roman" w:ascii="Times New Roman" w:hAnsi="Times New Roman"/>
                <w:bCs/>
                <w:lang w:eastAsia="ru-RU"/>
              </w:rPr>
              <w:t>364 295</w:t>
            </w:r>
          </w:p>
        </w:tc>
        <w:tc>
          <w:tcPr>
            <w:tcW w:w="11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b/>
                <w:bCs/>
                <w:lang w:eastAsia="ru-RU"/>
              </w:rPr>
            </w:pPr>
            <w:r>
              <w:rPr>
                <w:rFonts w:eastAsia="Calibri" w:cs="Times New Roman" w:ascii="Times New Roman" w:hAnsi="Times New Roman"/>
                <w:color w:val="474747"/>
                <w:shd w:fill="FFFFFF" w:val="clear"/>
              </w:rPr>
              <w:t> </w:t>
            </w:r>
            <w:r>
              <w:rPr>
                <w:rFonts w:eastAsia="Calibri" w:cs="Times New Roman" w:ascii="Times New Roman" w:hAnsi="Times New Roman"/>
                <w:color w:val="474747"/>
                <w:shd w:fill="FFFFFF" w:val="clear"/>
              </w:rPr>
              <w:t>403 251</w:t>
            </w:r>
          </w:p>
        </w:tc>
      </w:tr>
      <w:tr>
        <w:trPr>
          <w:trHeight w:val="253" w:hRule="atLeast"/>
        </w:trPr>
        <w:tc>
          <w:tcPr>
            <w:tcW w:w="337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АҚШ доллары</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516</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588</w:t>
            </w:r>
          </w:p>
        </w:tc>
        <w:tc>
          <w:tcPr>
            <w:tcW w:w="12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673</w:t>
            </w:r>
          </w:p>
        </w:tc>
        <w:tc>
          <w:tcPr>
            <w:tcW w:w="126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Cs/>
                <w:lang w:eastAsia="ru-RU"/>
              </w:rPr>
            </w:pPr>
            <w:r>
              <w:rPr>
                <w:rFonts w:eastAsia="Times New Roman" w:cs="Times New Roman" w:ascii="Times New Roman" w:hAnsi="Times New Roman"/>
                <w:bCs/>
                <w:lang w:eastAsia="ru-RU"/>
              </w:rPr>
              <w:t>798</w:t>
            </w:r>
          </w:p>
        </w:tc>
        <w:tc>
          <w:tcPr>
            <w:tcW w:w="11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bCs/>
                <w:lang w:eastAsia="ru-RU"/>
              </w:rPr>
            </w:pPr>
            <w:r>
              <w:rPr>
                <w:rFonts w:eastAsia="Times New Roman" w:cs="Times New Roman" w:ascii="Times New Roman" w:hAnsi="Times New Roman"/>
                <w:bCs/>
                <w:lang w:eastAsia="ru-RU"/>
              </w:rPr>
              <w:t>854</w:t>
            </w:r>
          </w:p>
        </w:tc>
      </w:tr>
      <w:tr>
        <w:trPr>
          <w:trHeight w:val="109" w:hRule="atLeast"/>
        </w:trPr>
        <w:tc>
          <w:tcPr>
            <w:tcW w:w="33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Ең төменгі жалақы</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42 500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42 500</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60 000</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70 000</w:t>
            </w:r>
          </w:p>
        </w:tc>
        <w:tc>
          <w:tcPr>
            <w:tcW w:w="11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85000</w:t>
            </w:r>
          </w:p>
        </w:tc>
      </w:tr>
      <w:tr>
        <w:trPr>
          <w:trHeight w:val="109" w:hRule="atLeast"/>
        </w:trPr>
        <w:tc>
          <w:tcPr>
            <w:tcW w:w="9351"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val="kk-KZ" w:eastAsia="ru-RU"/>
              </w:rPr>
            </w:pPr>
            <w:r>
              <w:rPr>
                <w:rFonts w:eastAsia="Calibri" w:cs="Times New Roman" w:ascii="Times New Roman" w:hAnsi="Times New Roman"/>
                <w:shd w:fill="FFFFFF" w:val="clear"/>
                <w:lang w:val="kk-KZ"/>
              </w:rPr>
              <w:t xml:space="preserve">        </w:t>
            </w:r>
            <w:r>
              <w:rPr>
                <w:rFonts w:eastAsia="Calibri" w:cs="Times New Roman" w:ascii="Times New Roman" w:hAnsi="Times New Roman"/>
                <w:shd w:fill="FFFFFF" w:val="clear"/>
              </w:rPr>
              <w:t>Ескерту: дереккөздер негізінде авторлармен құрастырылған [1</w:t>
            </w:r>
            <w:r>
              <w:rPr>
                <w:rFonts w:eastAsia="Calibri" w:cs="Times New Roman" w:ascii="Times New Roman" w:hAnsi="Times New Roman"/>
                <w:shd w:fill="FFFFFF" w:val="clear"/>
                <w:lang w:val="kk-KZ"/>
              </w:rPr>
              <w:t>3</w:t>
            </w:r>
            <w:r>
              <w:rPr>
                <w:rFonts w:eastAsia="Calibri" w:cs="Times New Roman" w:ascii="Times New Roman" w:hAnsi="Times New Roman"/>
                <w:shd w:fill="FFFFFF" w:val="clear"/>
              </w:rPr>
              <w:t>]</w:t>
            </w:r>
          </w:p>
        </w:tc>
      </w:tr>
    </w:tbl>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Ұсынылған деректер бес жыл ішінде Қазақстандағы үй шаруашылықтары табысының тұрақты оң үрдісін көрсетеді. Номиналды орташа айлық жалақы 2020 жылғы 213 000 теңгеден 2024 жылы 403 000 теңгеге дейін, ал доллармен есептегенде 516-дан 854 АҚШ долларына дейін өсіп, ұлттық валютада да айтарлықтай өсуді көрсетті. Сонымен қатар, ең төменгі жалақының тұрақты өсіп, осы кезеңде екі есеге 42 500 теңгеден 85 000 теңгеге дейін ұлғаюы мемлекеттің азаматтардың әл-ауқатын арттыруға бағытталған мақсатты әлеуметтік саясатын көрсетеді.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Қазақстандағы ең маңызды көрсеткіш жұмыспен қамтылу – елдегі еңбекке қабілетті тұрғындардың жұмыспен қамтамасыз етілу көрсеткіші. 2021-2024жж. жұмыспен қамтылған халық саны 2 кестеде көрсетілген.</w:t>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center"/>
        <w:rPr>
          <w:rFonts w:ascii="Times New Roman" w:hAnsi="Times New Roman" w:eastAsia="Calibri" w:cs="Times New Roman"/>
          <w:b/>
          <w:lang w:val="kk-KZ"/>
        </w:rPr>
      </w:pPr>
      <w:r>
        <w:rPr>
          <w:rFonts w:eastAsia="Times New Roman" w:cs="Times New Roman" w:ascii="Times New Roman" w:hAnsi="Times New Roman"/>
          <w:b/>
          <w:lang w:val="kk-KZ" w:eastAsia="ru-RU"/>
        </w:rPr>
        <w:t xml:space="preserve">2 - кесте.  2021-2024жж. </w:t>
      </w:r>
      <w:r>
        <w:rPr>
          <w:rFonts w:eastAsia="Calibri" w:cs="Times New Roman" w:ascii="Times New Roman" w:hAnsi="Times New Roman"/>
          <w:b/>
          <w:lang w:val="kk-KZ"/>
        </w:rPr>
        <w:t>жұмыспен қамтылған халық саны, мың адам</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tbl>
      <w:tblPr>
        <w:tblW w:w="9211" w:type="dxa"/>
        <w:jc w:val="left"/>
        <w:tblInd w:w="93" w:type="dxa"/>
        <w:tblLayout w:type="fixed"/>
        <w:tblCellMar>
          <w:top w:w="0" w:type="dxa"/>
          <w:left w:w="108" w:type="dxa"/>
          <w:bottom w:w="0" w:type="dxa"/>
          <w:right w:w="108" w:type="dxa"/>
        </w:tblCellMar>
        <w:tblLook w:val="04a0" w:noHBand="0" w:noVBand="1" w:firstColumn="1" w:lastRow="0" w:lastColumn="0" w:firstRow="1"/>
      </w:tblPr>
      <w:tblGrid>
        <w:gridCol w:w="3598"/>
        <w:gridCol w:w="1403"/>
        <w:gridCol w:w="1404"/>
        <w:gridCol w:w="1403"/>
        <w:gridCol w:w="1403"/>
      </w:tblGrid>
      <w:tr>
        <w:trPr>
          <w:trHeight w:val="450" w:hRule="atLeast"/>
        </w:trPr>
        <w:tc>
          <w:tcPr>
            <w:tcW w:w="35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Аумақтар</w:t>
            </w:r>
          </w:p>
        </w:tc>
        <w:tc>
          <w:tcPr>
            <w:tcW w:w="1403" w:type="dxa"/>
            <w:vMerge w:val="restart"/>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2021 ж. </w:t>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c>
        <w:tc>
          <w:tcPr>
            <w:tcW w:w="1404" w:type="dxa"/>
            <w:vMerge w:val="restart"/>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2022 ж. </w:t>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c>
        <w:tc>
          <w:tcPr>
            <w:tcW w:w="1403" w:type="dxa"/>
            <w:vMerge w:val="restart"/>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2023 ж. </w:t>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c>
        <w:tc>
          <w:tcPr>
            <w:tcW w:w="1403" w:type="dxa"/>
            <w:vMerge w:val="restart"/>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2024 ж. </w:t>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c>
      </w:tr>
      <w:tr>
        <w:trPr>
          <w:trHeight w:val="450" w:hRule="atLeast"/>
        </w:trPr>
        <w:tc>
          <w:tcPr>
            <w:tcW w:w="35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tc>
        <w:tc>
          <w:tcPr>
            <w:tcW w:w="1403"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tc>
        <w:tc>
          <w:tcPr>
            <w:tcW w:w="1404"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tc>
        <w:tc>
          <w:tcPr>
            <w:tcW w:w="1403"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tc>
        <w:tc>
          <w:tcPr>
            <w:tcW w:w="1403"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Қазақстан Республикасы</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8 732,0</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8 807,1</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8 971,5</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9 081,9</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Абай</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287,1</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292,5</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Ақмола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398,0</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397,0</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421,4</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407,1</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Ақтөбе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416,4</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419,8</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424,7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434,9</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Алматы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974,0</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973,0</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697,7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704,8</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Атырау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314,5</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317,7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326,7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335,1</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З-Казахстанская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321,0</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322,3</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330,9</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333,3</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Жамбыл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503,8</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502,7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539,5</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543,7</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Жетісу</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319,7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309,3</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Қарағанды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641,8</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643,4</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534,8</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535,8</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Қостанай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466,3</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475,2</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453,8</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449,5</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Қызылорда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329,4</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330,1</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330,1</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331,5</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Маңғыстау</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308,4</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331,7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332,7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336,7</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Оңтүстік Қазақстан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Павлодар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387,1</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383,7</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384,2</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385,2</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С-Казахстанская </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289,3</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287,3</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279,1</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274,5</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Түркістан</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779,4</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777,6</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792,2</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800,6</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Ұлытау</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100,9</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100,9</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Шығыс Қазақстан</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669,5</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668,3</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366,5</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368,8</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Астана қаласы</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563,4</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580,3</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625,5</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658,7</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Алматы қаласы</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959,3</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982,8</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998,0</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1 045,5</w:t>
            </w:r>
          </w:p>
        </w:tc>
      </w:tr>
      <w:tr>
        <w:trPr>
          <w:trHeight w:val="235" w:hRule="atLeast"/>
        </w:trPr>
        <w:tc>
          <w:tcPr>
            <w:tcW w:w="359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eastAsia="ru-RU"/>
              </w:rPr>
              <w:t>Шымкент қаласы</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410,3</w:t>
            </w:r>
          </w:p>
        </w:tc>
        <w:tc>
          <w:tcPr>
            <w:tcW w:w="14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414,3</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426,1</w:t>
            </w:r>
          </w:p>
        </w:tc>
        <w:tc>
          <w:tcPr>
            <w:tcW w:w="14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433,5</w:t>
            </w:r>
          </w:p>
        </w:tc>
      </w:tr>
      <w:tr>
        <w:trPr>
          <w:trHeight w:val="235" w:hRule="atLeast"/>
        </w:trPr>
        <w:tc>
          <w:tcPr>
            <w:tcW w:w="9211" w:type="dxa"/>
            <w:gridSpan w:val="5"/>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val="kk-KZ" w:eastAsia="ru-RU"/>
              </w:rPr>
            </w:pPr>
            <w:r>
              <w:rPr>
                <w:rFonts w:eastAsia="Calibri" w:cs="Times New Roman" w:ascii="Times New Roman" w:hAnsi="Times New Roman"/>
                <w:shd w:fill="FFFFFF" w:val="clear"/>
                <w:lang w:val="kk-KZ"/>
              </w:rPr>
              <w:t xml:space="preserve">        </w:t>
            </w:r>
            <w:r>
              <w:rPr>
                <w:rFonts w:eastAsia="Calibri" w:cs="Times New Roman" w:ascii="Times New Roman" w:hAnsi="Times New Roman"/>
                <w:shd w:fill="FFFFFF" w:val="clear"/>
              </w:rPr>
              <w:t>Ескерту: дереккөздер негізінде авторлармен құрастырылған [1</w:t>
            </w:r>
            <w:r>
              <w:rPr>
                <w:rFonts w:eastAsia="Calibri" w:cs="Times New Roman" w:ascii="Times New Roman" w:hAnsi="Times New Roman"/>
                <w:shd w:fill="FFFFFF" w:val="clear"/>
                <w:lang w:val="kk-KZ"/>
              </w:rPr>
              <w:t>5</w:t>
            </w:r>
            <w:r>
              <w:rPr>
                <w:rFonts w:eastAsia="Calibri" w:cs="Times New Roman" w:ascii="Times New Roman" w:hAnsi="Times New Roman"/>
                <w:shd w:fill="FFFFFF" w:val="clear"/>
              </w:rPr>
              <w:t>]</w:t>
            </w:r>
          </w:p>
        </w:tc>
      </w:tr>
    </w:tbl>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Мемлекеттік кадрлық аудит жүйесінің негізгі проблемаларының бірі кадр қызметінің қызметін бағалаудың жеткіліксіз жүйелілігі мен кешенділігі болып табылады. Қазіргі уақытта жүйе персоналды басқарудағы проблемаларды анықтау және жою процестерін толық қамти алмайды. Атап айтқанда, 2023 жылғы есеп бойынша, HR аудитінің 40%-дан астамы ережелер мен процедуралардың сақталмауын анықтаған.</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Мәселе сонымен қатар кадрлық саясатты тексеретін аудиторлардың біліктілігінің жеткіліксіздігінде. Соңғы жылдары бірнеше аудиторларды оқыту және дамыту бағдарламалары іске қосылғанымен, 2023 жылы кадрлық ресурстары бойынша аудиторлық қызметкерлердің тек 16%-ы ғана жаңа аудит стандарттары бойынша арнайы оқытудан өтті.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Қазақстандағы кадрлық ресурстарын басқару тиімділігінің мемлекеттік аудитінің мәселелерін талдау осы процестің тиімділігіне айтарлықтай әсер ететін бірқатар жүйелік қиындықтарды анықтайды. Аудиторлардың біліктілігінің жоқтығы өзекті мәселелердің бірі болып табылады, бұл мемлекеттік органдардағы кадрлық үдерістерге терең және объективті баға беруді қиындатады. Мемлекеттік қызмет жүйесін жедел жаңғырту, цифрлық басқару қағидаттарын енгізу және кадр саясатына стратегиялық бағдарланған тәсілге көшу жағдайында аудиттің дәстүрлі әдістері қазіргі талаптарға сай емес. Дегенмен, басқару процестерінің күрделене түсуіне қарамастан, HR аудиті кадрлық ресурстарын басқару жүйесіндегі негізгі дисфункцияларды анықтай алмай, негізінен формальды болып қала береді.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Кадрларды басқару, кадрлық ресурстарын стратегиялық жоспарлау және мінез-құлық экономикасы саласында аудиторлардың жеткіліксіз дайындығы аудиттің тек нормативтік талаптарды сақтаумен шектелуіне, кадрлық саясаттың нақты тиімділігін және оның мемлекеттің стратегиялық мақсаттарына қол жеткізуге әсерін бағалауға мүмкіндік бермеуіне әкеледі. Мемлекеттік басқарудағы заманауи тенденциялар құзыреттіліктерді, еңбек өнімділігін және қызметкерлерді тартуды тереңірек талдауды талап етеді, бірақ аудиторлар арасында қажетті білім мен құралдардың болмауы аудиторлық есептердің аналитикалық құндылығының төмен болуына әкеледі. Сонымен қатар, персоналдың тиімділігін бағалаудың бірыңғай әдістемелік стандарттарының болмауы тексерулердің субъективтілігіне, олардың мемлекеттік қызмет жүйесін жетілдірудегі практикалық маңыздылығын төмендетуге әкеледі.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Көп жағдайда кадрлық процестерді тексеруге қатысатын мамандардың классикалық қаржылық, экономикалық немесе заңгерлік білімі бар, бұл оларға мемлекеттік органдардың кадрлық құрылымы шеңберіндегі күрделі жүйелік өзара іс-қимылдарды талдау үшін жеткілікті құралдармен қамтамасыз етілмейді. Мемлекеттік қызметті цифрландыру және үлкен деректер технологияларын енгізу жағдайында HR аудиті болжамды талдауды, кадрлық сценарийлерді модельдеуді және кадрлық капиталының макроэкономикалық көрсеткіштерге әсерін бағалауды қамтитын кешенді аналитикалық тәсілдерге негізделуі керек. Алайда іс жүзінде мұндай тәсілдер әлі де кең тараған жоқ, бұл мемлекеттік кадр саясатын жетілдіру құралы ретіндегі аудиттің әлеуетін айтарлықтай шектейді.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Сонымен қатар, аудитордың біліктілігінің жоқтығы кадрлық ресурстарының тиімділігін бағалау процесін автоматтандыру және стандарттау мүмкін болатын кешенді цифрлық шешімдердің жоқтығынан шиеленісіп отыр. Үздік әлемдік тәжірибеде мемлекеттік қызметшілер қызметінің негізгі көрсеткіштеріне нақты уақыт режимінде мониторинг жүргізуге, құзыреттердегі олқылықтарды анықтауға және ұзақ мерзімді стратегиялық мақсаттар негізінде персонал қажеттілігін болжауға мүмкіндік беретін персонал деректерін талдаудың біріктірілген жүйелері қолданылады. Дегенмен, Қазақстанда кадрлық аудит негізінен құжаттарды тексерудің дәстүрлі әдістеріне және сараптамалық қорытындыларға негізделуін жалғастыруда, бұл процесті көп еңбекті қажет ететін, субъективті және тиімсіз етеді.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Бұл мәселені шешу үш негізгі бағытты қамтитын кешенді тәсілді қажет етеді. Біріншіден, кадрлық ресурстарын басқару, мінез-құлық экономикасы, цифрлық аналитика және HR стратегиялық менеджменті бойынша мамандандырылған курстармен толықтыра отырып, аудиторларды даярлау және олардың біліктілігін арттыру жүйесін реформалау қажет. Бұл аудиторларға HR процестерін тереңірек түсінуге ғана емес, сонымен қатар персонал қызметін бағалаудың заманауи әдістерін, соның ішінде KPI талдауын, құзыреттілік үлгілерін және еңбек өнімділігін индекстеуді қолдануға мүмкіндік береді. Екіншіден, халықаралық стандарттарға негізделген және кадрлық ресурстарын басқару тиімділігін бағалаудың кешенді сандық және сапалық көрсеткіштерін қамтитын персонал аудитінің бірыңғай әдістемесін әзірлеу қажет. Үшіншіден, бағалаудың субъективтілігін барынша азайтуға, деректерді жинау мен өңдеуді автоматтандыруға, персонал қажеттілігін болжау дәлдігін арттыруға мүмкіндік беретін аудит процестеріне цифрлық технологияларды біріктіру қажет.</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Мемлекеттік кадрлық басқару аудиторларының біліктілігінің жеткіліксіздігі мәселесі мемлекеттік саясат деңгейінде жүйелі шешімдерді талап ететін күрделі мәселе болып табылады. Заманауи аналитикалық әдістерге, цифрлық технологияларға және мамандарды тереңдетіп оқытуға негізделген персонал аудитінің жаңа моделін қалыптастыру аудиторлық тексерулердің сапасын айтарлықтай арттыруға, мемлекеттік қызметтің кадрлық әлеуетін нығайтуға және Қазақстанда кадрлық ресурстарын басқарудың неғұрлым тиімді жүйесін құруға мүмкіндік береді №</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Сондай-ақ, Қазақстандағы кадрлық ресурстарының аудиті жүйесі жеткілікті жүйелі және кешенді емес екені байқалады. Персоналды басқарудың жеке аспектілеріне бағытталған аудиттің фрагменттік сипаты кадрлықи капиталды пайдалану тиімділігінің толық көрінісін бермейді. Бұл мемлекеттік бағдарламалардың стратегиялық мақсаттарын іске асыруға кедергі келтіретін проблемалық аймақтарды жедел анықтау мүмкіндігін шектейді.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Сонымен қатар, аудит процестерін цифрландыру төмен деңгейде қалып отыр. Автоматтандырылған жүйелерді жеткіліксіз пайдалану мәліметтерді жинау мен талдауды қиындатады, бұл аудиттің жылдамдығы мен сапасын төмендетеді. Цифрлық трансформацияны жеделдету және жаңа технологияларды дамыту жағдайында HR-менеджмент неғұрлым заманауи мониторинг және бақылау құралдарын енгізуді талап етеді, бұл аудитке де қатысты.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Сондай-ақ кадрлық ресурстарын басқару аудиті саласындағы халықаралық стандарттарды қолданудың шектеулілігін атап өтпеу мүмкін емес. Халықаралық ұйымдардың ұсыныстары болғанымен, олардың Қазақстанда қолданылуы жеткіліксіз. Бұл отандық аудит тәжірибесінің жаһандық трендтерден артта қалуына әкеліп соқтырады, бұл жалпы тиімділікті төмендетеді және процестің ашықтығы мен есептілігін азайтады.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Қазақстанда кадрлық ресурстарын басқарудың мемлекеттік аудитін жетілдіру кешенді тәсілді, оның ішінде алдыңғы қатарлы әдістемелік, технологиялық және басқарушылық шешімдерді енгізуді талап етеді. Мемлекеттік қызметті трансформациялау және цифрлық менеджмент қағидаттарына көшу жағдайында дәстүрлі аудит құралдары ендігі уақыт талабына толық жауап бермейді, бұл оларды түбегейлі жаңарту қажеттілігін туғызады.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Модернизацияның негізгі бағыттарының бірі кадрлық үдерістерді бақылайтын аудиторлардың құзыреттілік деңгейін арттыру болып табылады. Заманауи шындық қаржылық бақылау және нормативтік-құқықтық база саласындағы білімді ғана емес, сонымен қатар кадрлық ресурстарын стратегиялық басқару, цифрлық технологиялар, ұйымдық даму және мінез-құлық экономикасы бойынша терең тәжірибені қажет етеді. Осыған байланысты жаңа міндеттерге бейімделген біліктілікті арттырудың мамандандырылған бағдарламаларын енгізу қажет. HR талдауында, корпоративтік басқаруда және өзгерістерді басқаруда практикалық тәжірибесі бар сарапшыларды тарту аудиторларға өз құзыреттерін кеңейтуге мүмкіндік береді, бұл HR саясатының тиімділігін неғұрлым егжей-тегжейлі және объективті бағалауды қамтамасыз етеді. Кадрларды басқару саласындағы аудиторларды сертификаттау бағдарламаларын әзірлеу және енгізу халықаралық стандарттарға сәйкес келетін HR аудитінің кәсіби институтын қалыптастыруға негіз болады.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HR аудитін жетілдірудің тағы бір маңызды аспектісі цифрлық технологиялардың интеграциясын кеңейту болып табылады. Мемлекеттік басқаруды белсенді цифрландыру жағдайында аудиторлық рәсімдерді автоматтандыру олардың тиімділігін арттырудың қажетті шартына айналуда. Жасанды интеллект жүйелерін, үлкен деректерді талдау технологияларын және машиналық оқытуды енгізу нақты уақытта HR процестерін кешенді бақылауға мүмкіндік береді. Бұл, өз кезегінде, жасырын тенденцияларды анықтауға, кадрлардың тұрақсыздығы деңгейін бағалауға, персонал қажеттіліктерін болжауға және кадрлық ресурстарын басқарудағы проблемалық аймақтарды автоматты түрде диагностикалауға мүмкіндік береді. Болжалды аналитика мен сандық бақылау тақталарын пайдалану субъективті факторлардың әсерін барынша азайта отырып, аудит есептерінің дәлдігін арттырады.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Мемлекеттік қызмет қызметінің негізгі көрсеткіштерінің (KPI) жетілдірілген жүйесін әзірлеуге және енгізуге ерекше назар аудару қажет. Қазіргі уақытта мемлекеттік қызметшілердің қызметін бағалау жүйесі көбінесе формальды сипатқа ие және әрбір маманның мемлекеттің стратегиялық мақсаттарына қол жеткізудегі нақты үлесін көрсетпейді. Объективтілік, өлшемділік және Қазақстанның стратегиялық басымдықтарымен байланыстыру қағидаттарына негізделген кешенді KPI енгізу мемлекеттік қызметшілердің жұмысын бағалаудың ашық және тиімді жүйесін құруға мүмкіндік береді. Салалық ерекшеліктерді, жауапкершілік деңгейін, тапсырманы орындаудың тартылуын және тиімділігін ескеретін динамикалық KPI үлгілерін әзірлеу мемлекеттік басқару сапасын арттырып қана қоймайды, сонымен қатар персоналдың кәсіби дамуы үшін уәждемелік ынталандырулар жасайды.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Кадрлық ресурстарын басқарудың мемлекеттік аудит жүйесін жаңғырту үш негізгі элементке негізделуі тиіс: аудиторлардың кәсіби құзыреттілігін күшейту, аудиторлық рәсімдерді цифрландыру және мемлекеттік қызметшілердің қызметін бағалау жүйесін жетілдіру. Бұл тәсілдерді кешенді түрде енгізу Қазақстанның стратегиялық даму талаптарына және мемлекеттік басқарудың халықаралық стандарттарына сәйкес келетін персонал аудитінің заманауи, ашық және жоғары тиімді жүйесін құруға мүмкіндік береді.</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Кадрлық ресурстарын басқару тиімділігін тексерудің маңыздылығын мойындағанына қарамастан, Қазақстан Республикасында бұл проблемаға жүйелі көзқарас әлі де жоқ. Қолданыстағы мемлекеттік аудит жүйесі ең алдымен қаржылық аспектілерге бағытталған, бұл ретте кадрлық процестер мен олардың тиімділігінің аудиті жеткіліксіз әзірленген және енгізілмеген. Бұл кадрлық ресурстарын тиімсіз пайдаланудың елеулі тәуекелдерін тудырады, жаңғырту процестерін бәсеңдетеді және мемлекеттік қызметтің даму мүмкіндіктерін шектейді.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 Республикасында мемлекеттік аудитті жүзеге асыру тұжырымдамасы Қазақстан Республикасы Президентінің 2012 жылғы 14 желтоқсандағы «Қазақстан-2050» Стратегиясы қалыптасқан мемлекеттің жаңа саяси бағыты» атты Қазақстан халқына Жолдауына сәйкес әзірленді, онда: «Бізге Мемлекет басшысы 2012 жылғы 3 қыркүйектегі ең озық әлемдік тәжірибе негізінде мемлекеттік аудиттің кешенді жүйесін құру қажет» делінген Қазақстан Республикасы.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Осы Тұжырымдама мемлекеттік қаржылық бақылауды кезең-кезеңімен реформалаудың және оның функционалдық бағыттарын одан әрі кеңейте отырып, мемлекеттік аудитті енгізудің пайымдауын және негізгі тәсілдерін айқындайды. Бұл ретте мемлекеттік қаржылық бақылаудың функциялары тексерілетін субъектінің қызметінде зардаптарды жоюды және жауапкершілікке тартуды талап ететін заң бұзушылықтар анықталған кезде іске асырылатын болады [16].</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Тұжырымдамада ең алдымен қаржылық және мемлекеттік аудиттің тиянақты жүргізілу қажеттілігі атап көрсетілген. Бұл заң талаптарының сақталуын тексеруді ғана емес, сонымен қатар басқару процестерінің тиімділігін бағалауды да қамтиды. Маңызды міндет - жүйедегі мүмкін болатын кемшіліктерді анықтау және жою, бұл бюджеттік қаражатты неғұрлым ұтымды пайдалануға және тәуекелдерді азайтуға ықпал етеді.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Қазақстандағы мемлекеттік аудит тұжырымдамасы мемлекеттік басқарудың ашықтығы мен тиімділігін арттырудың маңызды құралы болып табылады және оны табысты жүзеге асыру кешенді тәсілді және барлық мүдделі тараптарды тартуды талап етеді.</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Тұжырымдамада көрсетілген мемлекеттік аудитті дамытудың маңызды бағыттарының бірі </w:t>
      </w:r>
      <w:r>
        <w:rPr>
          <w:rFonts w:eastAsia="Calibri" w:cs="Times New Roman" w:ascii="Times New Roman" w:hAnsi="Times New Roman"/>
          <w:sz w:val="24"/>
          <w:szCs w:val="24"/>
          <w:lang w:val="kk-KZ"/>
        </w:rPr>
        <w:t xml:space="preserve">кадрлық </w:t>
      </w:r>
      <w:r>
        <w:rPr>
          <w:rFonts w:eastAsia="Times New Roman" w:cs="Times New Roman" w:ascii="Times New Roman" w:hAnsi="Times New Roman"/>
          <w:sz w:val="24"/>
          <w:szCs w:val="24"/>
          <w:lang w:val="kk-KZ" w:eastAsia="ru-RU"/>
        </w:rPr>
        <w:t xml:space="preserve"> ресурстарын басқару тиімділігін бақылау болып табылады, өйткені мемлекеттік бағдарламалар мен стратегиялық бастамаларды іске асырудың табыстылығын айқындайтын </w:t>
      </w:r>
      <w:r>
        <w:rPr>
          <w:rFonts w:eastAsia="Calibri" w:cs="Times New Roman" w:ascii="Times New Roman" w:hAnsi="Times New Roman"/>
          <w:sz w:val="24"/>
          <w:szCs w:val="24"/>
          <w:lang w:val="kk-KZ"/>
        </w:rPr>
        <w:t xml:space="preserve">кадрлық </w:t>
      </w:r>
      <w:r>
        <w:rPr>
          <w:rFonts w:eastAsia="Times New Roman" w:cs="Times New Roman" w:ascii="Times New Roman" w:hAnsi="Times New Roman"/>
          <w:sz w:val="24"/>
          <w:szCs w:val="24"/>
          <w:lang w:val="kk-KZ" w:eastAsia="ru-RU"/>
        </w:rPr>
        <w:t xml:space="preserve"> капиталы болып табылады. Мемлекеттік аппаратты жаңғырту жағдайында кадрларды іріктеу, орналастыру және дамытудағы жүйелі проблемаларды анықтауға, сондай-ақ кадрлық саясаттың тиімділігін бағалауға мүмкіндік беретін кадрлық үдерістердің аудиті ерекше маңызға ие.</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Мемлекеттік органдарда </w:t>
      </w:r>
      <w:r>
        <w:rPr>
          <w:rFonts w:eastAsia="Calibri" w:cs="Times New Roman" w:ascii="Times New Roman" w:hAnsi="Times New Roman"/>
          <w:sz w:val="24"/>
          <w:szCs w:val="24"/>
          <w:lang w:val="kk-KZ"/>
        </w:rPr>
        <w:t>кадрлық</w:t>
      </w:r>
      <w:r>
        <w:rPr>
          <w:rFonts w:eastAsia="Times New Roman" w:cs="Times New Roman" w:ascii="Times New Roman" w:hAnsi="Times New Roman"/>
          <w:sz w:val="24"/>
          <w:szCs w:val="24"/>
          <w:lang w:val="kk-KZ" w:eastAsia="ru-RU"/>
        </w:rPr>
        <w:t xml:space="preserve">  ресурстарын тиімді басқару ашықтық, есеп берушілік және қызметті объективті бағалау принциптеріне негізделуі керек. Дегенмен, тиісті аудит тетіктерінсіз кадрлық шешімдердің негізділігінің жоғары дәрежесіне және олардың елдің стратегиялық мақсаттарына сәйкестігіне қол жеткізу мүмкін емес. Осы тұрғыда кадрлықи ресурстарды басқарудың мемлекеттік аудиті кадрлық ресурстары жүйесіндегі кемшіліктерді анықтаудың, мемлекеттік қызметшілердің құзыреттілік деңгейін бағалаудың және олардың қызметінің тиімділігін бақылаудың негізгі құралына айналады.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Зерттеуді эмпирикалық негізде нығайту мақсатында Қазақстан Республикасының ресми статистикалық деректері талданды. Талдау көрсеткендей, 2023 жылы мемлекеттік органдардағы кадрлардың көші-қоны деңгейі 17%-ды құрап, жеке сектордың көрсеткішінен (10%) айтарлықтай жоғары болды. Бұл жағдай мемлекеттік қызметтегі мотивация жүйесі мен бейімделу мәселелерін айқын көрсетеді. </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Сонымен қатар, Еңбек және халықты әлеуметтік қорғау министрлігінің мәліметтері бойынша, мемлекеттік органдардың тек 35%-ы ғана персоналдың тиімділігін бағалау үшін KPI жүйесін іс жүзінде қолданады, бұл басқарудың субъективтілігі мен нәтижелердің төмендігінің бір себебі болып табылады  [17].</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Халықаралық салыстырмалы талдау OECD және БҰҰ-нің ұсыныстары негізінде жүргізілді. Атап айтқанда, OECD-дің «Адам ресурстарын басқарудағы жақсы тәжірибелер бойынша нұсқаулығы» мемлекеттік сектордағы кадрлық аудиттің негізгі бағыты стратегиялық басқару мен нәтижелерге бағытталуы керектігін атап өтеді. Мысалы, БҰҰ-нің Әдістемелік ұсыныстарына сәйкес, тиімді кадрлық аудит жүйесі қызметкерлердің біліктілігі мен мемлекеттік бағдарламаларды іске асыру нәтижелері арасындағы байланысты өлшеуі тиіс. </w:t>
      </w:r>
    </w:p>
    <w:p>
      <w:pPr>
        <w:pStyle w:val="Normal"/>
        <w:spacing w:lineRule="auto" w:line="240" w:before="0" w:after="0"/>
        <w:jc w:val="both"/>
        <w:rPr>
          <w:rFonts w:ascii="Times New Roman" w:hAnsi="Times New Roman" w:eastAsia="Times New Roman" w:cs="Times New Roman"/>
          <w:color w:val="0F1115"/>
          <w:sz w:val="24"/>
          <w:szCs w:val="24"/>
          <w:lang w:val="kk-KZ" w:eastAsia="ru-RU"/>
        </w:rPr>
      </w:pPr>
      <w:r>
        <w:rPr>
          <w:rFonts w:eastAsia="Times New Roman" w:cs="Times New Roman" w:ascii="Times New Roman" w:hAnsi="Times New Roman"/>
          <w:color w:val="0F1115"/>
          <w:sz w:val="24"/>
          <w:szCs w:val="24"/>
          <w:lang w:val="kk-KZ" w:eastAsia="ru-RU"/>
        </w:rPr>
        <w:t>Халықаралық ұйымдардың кадрлық аудит стандарттары 3 кестеде көрсетілген.</w:t>
      </w:r>
    </w:p>
    <w:p>
      <w:pPr>
        <w:pStyle w:val="Normal"/>
        <w:spacing w:lineRule="auto" w:line="240" w:before="0" w:after="0"/>
        <w:jc w:val="both"/>
        <w:rPr>
          <w:rFonts w:ascii="Times New Roman" w:hAnsi="Times New Roman" w:eastAsia="Calibri" w:cs="Times New Roman"/>
          <w:sz w:val="24"/>
          <w:szCs w:val="24"/>
          <w:highlight w:val="yellow"/>
          <w:lang w:val="kk-KZ"/>
        </w:rPr>
      </w:pPr>
      <w:r>
        <w:rPr>
          <w:rFonts w:eastAsia="Calibri" w:cs="Times New Roman" w:ascii="Times New Roman" w:hAnsi="Times New Roman"/>
          <w:sz w:val="24"/>
          <w:szCs w:val="24"/>
          <w:highlight w:val="yellow"/>
          <w:lang w:val="kk-KZ"/>
        </w:rPr>
      </w:r>
    </w:p>
    <w:p>
      <w:pPr>
        <w:pStyle w:val="Normal"/>
        <w:shd w:val="clear" w:color="auto" w:fill="FFFFFF"/>
        <w:spacing w:lineRule="auto" w:line="240" w:before="0" w:after="0"/>
        <w:jc w:val="center"/>
        <w:rPr>
          <w:rFonts w:ascii="Times New Roman" w:hAnsi="Times New Roman" w:eastAsia="Times New Roman" w:cs="Times New Roman"/>
          <w:b/>
          <w:color w:val="0F1115"/>
          <w:lang w:val="kk-KZ" w:eastAsia="ru-RU"/>
        </w:rPr>
      </w:pPr>
      <w:r>
        <w:rPr>
          <w:rFonts w:eastAsia="Times New Roman" w:cs="Times New Roman" w:ascii="Times New Roman" w:hAnsi="Times New Roman"/>
          <w:b/>
          <w:lang w:val="kk-KZ" w:eastAsia="ru-RU"/>
        </w:rPr>
        <w:t xml:space="preserve">3 - кесте.  </w:t>
      </w:r>
      <w:r>
        <w:rPr>
          <w:rFonts w:eastAsia="Times New Roman" w:cs="Times New Roman" w:ascii="Times New Roman" w:hAnsi="Times New Roman"/>
          <w:b/>
          <w:color w:val="0F1115"/>
          <w:lang w:val="kk-KZ" w:eastAsia="ru-RU"/>
        </w:rPr>
        <w:t>Халықаралық ұйымдардың кадрлық аудит стандарттары</w:t>
      </w:r>
    </w:p>
    <w:p>
      <w:pPr>
        <w:pStyle w:val="Normal"/>
        <w:shd w:val="clear" w:color="auto" w:fill="FFFFFF"/>
        <w:spacing w:lineRule="auto" w:line="240" w:before="0" w:after="0"/>
        <w:rPr>
          <w:rFonts w:ascii="Times New Roman" w:hAnsi="Times New Roman" w:eastAsia="Times New Roman" w:cs="Times New Roman"/>
          <w:color w:val="0F1115"/>
          <w:lang w:val="kk-KZ" w:eastAsia="ru-RU"/>
        </w:rPr>
      </w:pPr>
      <w:r>
        <w:rPr>
          <w:rFonts w:eastAsia="Times New Roman" w:cs="Times New Roman" w:ascii="Times New Roman" w:hAnsi="Times New Roman"/>
          <w:color w:val="0F1115"/>
          <w:lang w:val="kk-KZ" w:eastAsia="ru-RU"/>
        </w:rPr>
      </w:r>
    </w:p>
    <w:tbl>
      <w:tblPr>
        <w:tblW w:w="9266" w:type="dxa"/>
        <w:jc w:val="left"/>
        <w:tblInd w:w="150" w:type="dxa"/>
        <w:tblLayout w:type="fixed"/>
        <w:tblCellMar>
          <w:top w:w="0" w:type="dxa"/>
          <w:left w:w="108" w:type="dxa"/>
          <w:bottom w:w="0" w:type="dxa"/>
          <w:right w:w="108" w:type="dxa"/>
        </w:tblCellMar>
        <w:tblLook w:val="04a0" w:noHBand="0" w:noVBand="1" w:firstColumn="1" w:lastRow="0" w:lastColumn="0" w:firstRow="1"/>
      </w:tblPr>
      <w:tblGrid>
        <w:gridCol w:w="2239"/>
        <w:gridCol w:w="2394"/>
        <w:gridCol w:w="2239"/>
        <w:gridCol w:w="2393"/>
      </w:tblGrid>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rPr>
              <w:t>Критерийлер</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rPr>
              <w:t>OECD тәжірибесі</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rPr>
              <w:t>БҰҰ стандарттары</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rPr>
              <w:t>Қазақстанның ағымдағы жүйесі</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Кадрлық саясатты бағалау</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Интеграцияланған бағалау</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Аумақтық тәсіл</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Фрагментарлық бағалау</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Тиімділік көрсеткіштері</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NPM көрсеткіштері</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BSC жүйесі</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Негізгі KPI</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Аудиттік есептілік</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Ашық есеп беру</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Интеграцияланған мониторинг</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Дәстүрлі есеп беру</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Нәтижелерді талдау</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Салыстырмалы талдау</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Бенчмаркинг</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rPr>
              <w:t>Сараптамалық бағалау</w:t>
            </w:r>
          </w:p>
        </w:tc>
      </w:tr>
      <w:tr>
        <w:trPr/>
        <w:tc>
          <w:tcPr>
            <w:tcW w:w="9265"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lang w:val="kk-KZ"/>
              </w:rPr>
            </w:pPr>
            <w:r>
              <w:rPr>
                <w:rFonts w:eastAsia="Calibri" w:cs="Times New Roman" w:ascii="Times New Roman" w:hAnsi="Times New Roman"/>
                <w:shd w:fill="FFFFFF" w:val="clear"/>
                <w:lang w:val="kk-KZ"/>
              </w:rPr>
              <w:t xml:space="preserve">        </w:t>
            </w:r>
            <w:r>
              <w:rPr>
                <w:rFonts w:eastAsia="Calibri" w:cs="Times New Roman" w:ascii="Times New Roman" w:hAnsi="Times New Roman"/>
                <w:shd w:fill="FFFFFF" w:val="clear"/>
              </w:rPr>
              <w:t>Ескерту: дереккөздер негізінде авторлармен құрастырылған [1</w:t>
            </w:r>
            <w:r>
              <w:rPr>
                <w:rFonts w:eastAsia="Calibri" w:cs="Times New Roman" w:ascii="Times New Roman" w:hAnsi="Times New Roman"/>
                <w:shd w:fill="FFFFFF" w:val="clear"/>
                <w:lang w:val="kk-KZ"/>
              </w:rPr>
              <w:t>8</w:t>
            </w:r>
            <w:r>
              <w:rPr>
                <w:rFonts w:eastAsia="Calibri" w:cs="Times New Roman" w:ascii="Times New Roman" w:hAnsi="Times New Roman"/>
                <w:shd w:fill="FFFFFF" w:val="clear"/>
              </w:rPr>
              <w:t>]</w:t>
            </w:r>
          </w:p>
        </w:tc>
      </w:tr>
    </w:tbl>
    <w:p>
      <w:pPr>
        <w:pStyle w:val="Normal"/>
        <w:spacing w:lineRule="auto" w:line="240" w:before="0" w:after="0"/>
        <w:jc w:val="both"/>
        <w:rPr>
          <w:rFonts w:ascii="Times New Roman" w:hAnsi="Times New Roman" w:eastAsia="Calibri" w:cs="Times New Roman"/>
          <w:highlight w:val="yellow"/>
          <w:lang w:val="kk-KZ"/>
        </w:rPr>
      </w:pPr>
      <w:r>
        <w:rPr>
          <w:rFonts w:eastAsia="Calibri" w:cs="Times New Roman" w:ascii="Times New Roman" w:hAnsi="Times New Roman"/>
          <w:highlight w:val="yellow"/>
          <w:lang w:val="kk-KZ"/>
        </w:rPr>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Осы тәжірибеге сүйене отырып, біз Қазақстан контекстінде кадрлық әлеуетті бағалаудың екі негізгі индикаторын енгізуді ұсынамыз: «кадрлық рентабельділік индексі» (бөлімшенің нәтижелілігінің оның кадрлық шығындарына қатынасы) және «стратегиялық сәйкестік коэффициенті» (лауазымдық тапсырмалар мен ұлттық стратегиялық мақсаттар арасындағы байланыс деңгейі).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Практикалық негіздемені нығайту үшін Қазақстан Республикасының бірнеше министрліктерінде енгізілген «Кадрлық резерв» жобасының нәтижелері зерттелді. Тәжірибелік сынақ көрсеткендей, бұл платформаны пайдалану лауазымдарды ашуға дейінгі орташа уақытты 30 күннен 10 күнге дейін қысқартты, бірақ жүйе әлі де қызметкерлердің кәсіби даму траекториясын талдауға мүмкіндік бермейді. Осы проблемаларды шешу үшін біз жасанды интеллект негізіндегі «Кадрлық сценарийлерді болжау модулін» енгізуді ұсынамыз, ол үлкен деректерді талдай отырып, салалық министрліктерде біліктілік тапшылығының ықтималдығын 85% дәлдікпен болжауға мүмкіндік береді.</w:t>
      </w:r>
    </w:p>
    <w:p>
      <w:pPr>
        <w:pStyle w:val="Normal"/>
        <w:shd w:val="clear" w:color="auto" w:fill="FFFFFF"/>
        <w:spacing w:lineRule="auto" w:line="240" w:before="0" w:after="0"/>
        <w:jc w:val="both"/>
        <w:rPr>
          <w:rFonts w:ascii="Times New Roman" w:hAnsi="Times New Roman" w:eastAsia="Times New Roman" w:cs="Times New Roman"/>
          <w:color w:val="0F1115"/>
          <w:sz w:val="24"/>
          <w:szCs w:val="24"/>
          <w:lang w:val="kk-KZ" w:eastAsia="ru-RU"/>
        </w:rPr>
      </w:pPr>
      <w:r>
        <w:rPr>
          <w:rFonts w:eastAsia="Times New Roman" w:cs="Times New Roman" w:ascii="Times New Roman" w:hAnsi="Times New Roman"/>
          <w:color w:val="0F1115"/>
          <w:sz w:val="24"/>
          <w:szCs w:val="24"/>
          <w:lang w:val="kk-KZ" w:eastAsia="ru-RU"/>
        </w:rPr>
        <w:t>Мемлекеттік сектордағы кадрлық аудиттің тиімділік көрсеткіштері 4 кестеде көрсетілген.</w:t>
      </w:r>
    </w:p>
    <w:p>
      <w:pPr>
        <w:pStyle w:val="Normal"/>
        <w:shd w:val="clear" w:color="auto" w:fill="FFFFFF"/>
        <w:spacing w:lineRule="auto" w:line="240" w:before="0" w:after="0"/>
        <w:rPr>
          <w:rFonts w:ascii="Times New Roman" w:hAnsi="Times New Roman" w:eastAsia="Times New Roman" w:cs="Times New Roman"/>
          <w:color w:val="0F1115"/>
          <w:sz w:val="24"/>
          <w:szCs w:val="24"/>
          <w:lang w:val="kk-KZ" w:eastAsia="ru-RU"/>
        </w:rPr>
      </w:pPr>
      <w:r>
        <w:rPr>
          <w:rFonts w:eastAsia="Times New Roman" w:cs="Times New Roman" w:ascii="Times New Roman" w:hAnsi="Times New Roman"/>
          <w:color w:val="0F1115"/>
          <w:sz w:val="24"/>
          <w:szCs w:val="24"/>
          <w:lang w:val="kk-KZ" w:eastAsia="ru-RU"/>
        </w:rPr>
      </w:r>
    </w:p>
    <w:p>
      <w:pPr>
        <w:pStyle w:val="Normal"/>
        <w:shd w:val="clear" w:color="auto" w:fill="FFFFFF"/>
        <w:spacing w:lineRule="auto" w:line="240" w:before="0" w:after="0"/>
        <w:ind w:firstLine="708"/>
        <w:jc w:val="center"/>
        <w:rPr>
          <w:rFonts w:ascii="Times New Roman" w:hAnsi="Times New Roman" w:eastAsia="Times New Roman" w:cs="Times New Roman"/>
          <w:b/>
          <w:color w:val="0F1115"/>
          <w:lang w:val="kk-KZ" w:eastAsia="ru-RU"/>
        </w:rPr>
      </w:pPr>
      <w:r>
        <w:rPr>
          <w:rFonts w:eastAsia="Times New Roman" w:cs="Times New Roman" w:ascii="Times New Roman" w:hAnsi="Times New Roman"/>
          <w:b/>
          <w:color w:val="0F1115"/>
          <w:lang w:val="kk-KZ" w:eastAsia="ru-RU"/>
        </w:rPr>
        <w:t>4 кесте - Кадрлық аудиттің жаңа әдістемесінің индикаторлары</w:t>
      </w:r>
    </w:p>
    <w:p>
      <w:pPr>
        <w:pStyle w:val="Normal"/>
        <w:shd w:val="clear" w:color="auto" w:fill="FFFFFF"/>
        <w:spacing w:lineRule="auto" w:line="240" w:before="0" w:after="0"/>
        <w:rPr>
          <w:rFonts w:ascii="Times New Roman" w:hAnsi="Times New Roman" w:eastAsia="Times New Roman" w:cs="Times New Roman"/>
          <w:color w:val="0F1115"/>
          <w:sz w:val="24"/>
          <w:szCs w:val="24"/>
          <w:lang w:val="kk-KZ" w:eastAsia="ru-RU"/>
        </w:rPr>
      </w:pPr>
      <w:r>
        <w:rPr>
          <w:rFonts w:eastAsia="Times New Roman" w:cs="Times New Roman" w:ascii="Times New Roman" w:hAnsi="Times New Roman"/>
          <w:color w:val="0F1115"/>
          <w:sz w:val="24"/>
          <w:szCs w:val="24"/>
          <w:lang w:val="kk-KZ" w:eastAsia="ru-RU"/>
        </w:rPr>
      </w:r>
    </w:p>
    <w:tbl>
      <w:tblPr>
        <w:tblW w:w="9266" w:type="dxa"/>
        <w:jc w:val="left"/>
        <w:tblInd w:w="150" w:type="dxa"/>
        <w:tblLayout w:type="fixed"/>
        <w:tblCellMar>
          <w:top w:w="0" w:type="dxa"/>
          <w:left w:w="108" w:type="dxa"/>
          <w:bottom w:w="0" w:type="dxa"/>
          <w:right w:w="108" w:type="dxa"/>
        </w:tblCellMar>
        <w:tblLook w:val="04a0" w:noHBand="0" w:noVBand="1" w:firstColumn="1" w:lastRow="0" w:lastColumn="0" w:firstRow="1"/>
      </w:tblPr>
      <w:tblGrid>
        <w:gridCol w:w="2239"/>
        <w:gridCol w:w="2394"/>
        <w:gridCol w:w="2239"/>
        <w:gridCol w:w="2393"/>
      </w:tblGrid>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eastAsia="ru-RU"/>
              </w:rPr>
            </w:pPr>
            <w:r>
              <w:rPr>
                <w:rFonts w:eastAsia="Times New Roman" w:cs="Times New Roman" w:ascii="Times New Roman" w:hAnsi="Times New Roman"/>
                <w:b/>
                <w:bCs/>
                <w:lang w:eastAsia="ru-RU"/>
              </w:rPr>
              <w:t>Индикаторлар</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eastAsia="ru-RU"/>
              </w:rPr>
            </w:pPr>
            <w:r>
              <w:rPr>
                <w:rFonts w:eastAsia="Times New Roman" w:cs="Times New Roman" w:ascii="Times New Roman" w:hAnsi="Times New Roman"/>
                <w:b/>
                <w:bCs/>
                <w:lang w:eastAsia="ru-RU"/>
              </w:rPr>
              <w:t>Өлшем бірлігі</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eastAsia="ru-RU"/>
              </w:rPr>
            </w:pPr>
            <w:r>
              <w:rPr>
                <w:rFonts w:eastAsia="Times New Roman" w:cs="Times New Roman" w:ascii="Times New Roman" w:hAnsi="Times New Roman"/>
                <w:b/>
                <w:bCs/>
                <w:lang w:eastAsia="ru-RU"/>
              </w:rPr>
              <w:t>Базистік мән (2023)</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lang w:eastAsia="ru-RU"/>
              </w:rPr>
            </w:pPr>
            <w:r>
              <w:rPr>
                <w:rFonts w:eastAsia="Times New Roman" w:cs="Times New Roman" w:ascii="Times New Roman" w:hAnsi="Times New Roman"/>
                <w:b/>
                <w:bCs/>
                <w:lang w:eastAsia="ru-RU"/>
              </w:rPr>
              <w:t>Мақсатты мән (2025)</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Кадрлық саясаттың тиімділік индексі</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балл</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5,8</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7,5</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Стратегиялық сәйкестік коэффициенті</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65</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85</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Аудиттік ұсыныстарды орындау индексі</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балл</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6,2</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8,0</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Цифрлық аудиттің қамту деңгейі</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40</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75</w:t>
            </w:r>
          </w:p>
        </w:tc>
      </w:tr>
      <w:tr>
        <w:trPr/>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t>Кадрлық тәуекелдерді болжау дәлдігі</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w:t>
            </w:r>
          </w:p>
        </w:tc>
        <w:tc>
          <w:tcPr>
            <w:tcW w:w="2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60</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85</w:t>
            </w:r>
          </w:p>
        </w:tc>
      </w:tr>
      <w:tr>
        <w:trPr/>
        <w:tc>
          <w:tcPr>
            <w:tcW w:w="9265"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rPr>
            </w:pPr>
            <w:r>
              <w:rPr>
                <w:rFonts w:eastAsia="Calibri" w:cs="Times New Roman" w:ascii="Times New Roman" w:hAnsi="Times New Roman"/>
                <w:shd w:fill="FFFFFF" w:val="clear"/>
                <w:lang w:val="kk-KZ"/>
              </w:rPr>
              <w:t xml:space="preserve">        </w:t>
            </w:r>
            <w:r>
              <w:rPr>
                <w:rFonts w:eastAsia="Calibri" w:cs="Times New Roman" w:ascii="Times New Roman" w:hAnsi="Times New Roman"/>
                <w:shd w:fill="FFFFFF" w:val="clear"/>
              </w:rPr>
              <w:t>Ескерту: дереккөздер негізінде авторлармен құрастырылған [1</w:t>
            </w:r>
            <w:r>
              <w:rPr>
                <w:rFonts w:eastAsia="Calibri" w:cs="Times New Roman" w:ascii="Times New Roman" w:hAnsi="Times New Roman"/>
                <w:shd w:fill="FFFFFF" w:val="clear"/>
                <w:lang w:val="kk-KZ"/>
              </w:rPr>
              <w:t>8</w:t>
            </w:r>
            <w:r>
              <w:rPr>
                <w:rFonts w:eastAsia="Calibri" w:cs="Times New Roman" w:ascii="Times New Roman" w:hAnsi="Times New Roman"/>
                <w:shd w:fill="FFFFFF" w:val="clear"/>
              </w:rPr>
              <w:t>]</w:t>
            </w:r>
          </w:p>
        </w:tc>
      </w:tr>
    </w:tbl>
    <w:p>
      <w:pPr>
        <w:pStyle w:val="Normal"/>
        <w:spacing w:lineRule="auto" w:line="240" w:before="0" w:after="0"/>
        <w:jc w:val="both"/>
        <w:rPr>
          <w:rFonts w:ascii="Times New Roman" w:hAnsi="Times New Roman" w:eastAsia="Calibri" w:cs="Times New Roman"/>
          <w:sz w:val="24"/>
          <w:szCs w:val="24"/>
          <w:highlight w:val="yellow"/>
          <w:lang w:val="kk-KZ"/>
        </w:rPr>
      </w:pPr>
      <w:r>
        <w:rPr>
          <w:rFonts w:eastAsia="Calibri" w:cs="Times New Roman" w:ascii="Times New Roman" w:hAnsi="Times New Roman"/>
          <w:sz w:val="24"/>
          <w:szCs w:val="24"/>
          <w:highlight w:val="yellow"/>
          <w:lang w:val="kk-KZ"/>
        </w:rPr>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Зерттеудің ғылыми жаңалығы мемлекеттік кадрлық аудиттің заманауи үлгісін әзірлеу болып табылады, ол үш негізгі инновацияны біріктіреді: 1) кадрлық шешімдердің ұлттық стратегиялық басымдықтарға әсерін өлшейтін индикаторлар жиынтығы; 2) халықаралық стандарттарға негізделген кадрлық тәуекелдерді басқарудың бірыңғай әдістемесі; 3) мемлекеттік органдардың кадрлық саясатының сапасын салыстырмалы талдауға мүмкіндік беретін бірегей цифрлық белгілер жүйесі. Бұл тәсілдерді іс жүзінде енгізу мемлекеттік органдардың әкімшілік қызметінің тиімділігін бағалау көрсеткішін болашақта 25%-ға дейін арттыруға мүмкіндік береді.</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Кадрлық процестерді бағалау бағытында мемлекеттік аудиттің функционалдық мүмкіндіктерін кеңейту мемлекеттік басқару жүйесін жетілдірудің және уақыт сындарына тиімді жауап беруге қабілетті кәсіби мемлекеттік аппаратты қалыптастырудың ажырамас шарты болып табылады.</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Қазақстанда кадрлық ресурстарын басқарудың мемлекеттік аудитін жетілдіру тиімді мемлекеттік басқарудың маңызды құрамдас бөлігі болып табылады. Дегенмен, осы кезеңде кадрлық аудит жүйесінде оның тиімділігін шектейтін және қабылданған шешімдердің негізділік деңгейін төмендететін бірқатар маңызды проблемалар бар. Цифрлық трансформация, мемлекеттік қызметшілердің кәсібилігіне қойылатын талаптардың артуы және заманауи сын-қатерлерге бейімделу қажеттілігі жағдайында персонал аудитінің тиімділігін арттыруға кедергі келтіретін негізгі кедергілерді жүйелі талдау ерекше маңызға ие.</w:t>
      </w:r>
    </w:p>
    <w:p>
      <w:pPr>
        <w:pStyle w:val="Normal"/>
        <w:tabs>
          <w:tab w:val="clear" w:pos="708"/>
          <w:tab w:val="left" w:pos="851" w:leader="none"/>
        </w:tabs>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ab/>
        <w:t xml:space="preserve">1. Аудиторлардың біліктілігінің жеткіліксіздігі. Ең маңызды шектеулердің бірі – кадрлық ресурстарын басқару және аудит әдістемесі бойынша терең білімі бар мамандардың болмауы. Қазақстан Республикасы Қаржы министрлігінің мәліметі бойынша, 2022 жылы аудиторлардың 60%-ы ғана сапалы аудит жүргізу үшін қажетті құзыреттерге ие болды. Кәсіби дайындықтың жоқтығы кадр саясаты саласындағы көптеген жүйелі проблемалардың назардан тыс қалып отырғанын және оларды жою бойынша ұсыныстардың үстірт екендігін білдіреді </w:t>
      </w:r>
      <w:r>
        <w:rPr>
          <w:rFonts w:eastAsia="Calibri" w:cs="Times New Roman" w:ascii="Times New Roman" w:hAnsi="Times New Roman"/>
          <w:sz w:val="24"/>
          <w:szCs w:val="24"/>
          <w:lang w:val="kk-KZ"/>
        </w:rPr>
        <w:t>[19].</w:t>
      </w:r>
      <w:r>
        <w:rPr>
          <w:rFonts w:eastAsia="Times New Roman" w:cs="Times New Roman" w:ascii="Times New Roman" w:hAnsi="Times New Roman"/>
          <w:sz w:val="24"/>
          <w:szCs w:val="24"/>
          <w:lang w:val="kk-KZ" w:eastAsia="ru-RU"/>
        </w:rPr>
        <w:t xml:space="preserve"> Осының салдарынан персоналды басқарудағы көптеген мәселелер назардан тыс қалады немесе шешімдер үстірт болып қалады, бұл реформалардың тиімділігін төмендетеді.</w:t>
      </w:r>
    </w:p>
    <w:p>
      <w:pPr>
        <w:pStyle w:val="Normal"/>
        <w:tabs>
          <w:tab w:val="clear" w:pos="708"/>
          <w:tab w:val="left" w:pos="851" w:leader="none"/>
        </w:tabs>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ab/>
        <w:t>2. Цифрландырудың төмен деңгейі.</w:t>
      </w:r>
      <w:r>
        <w:rPr>
          <w:rFonts w:eastAsia="Times New Roman" w:cs="Times New Roman" w:ascii="Times New Roman" w:hAnsi="Times New Roman"/>
          <w:sz w:val="24"/>
          <w:szCs w:val="24"/>
          <w:lang w:val="kk-KZ" w:eastAsia="ru-RU"/>
        </w:rPr>
        <w:t xml:space="preserve"> Мемлекеттік басқаруды дамытудың қазіргі кезеңі цифрлық технологияларды белсенді енгізуді талап етеді, бірақ кадрлық аудитті автоматтандыру деңгейі жеткіліксіз болып қалуда. Қазақстан Республикасы Цифрлық даму, инновациялар және аэроғарыш өнеркәсібі министрлігінің мәліметі бойынша 2023 жылға қарай мемлекеттік органдардың 40%-ы ғана кадрлық ресурстарын басқару мен аудиттің автоматтандырылған жүйелерін енгізген </w:t>
      </w:r>
      <w:r>
        <w:rPr>
          <w:rFonts w:eastAsia="Calibri" w:cs="Times New Roman" w:ascii="Times New Roman" w:hAnsi="Times New Roman"/>
          <w:sz w:val="24"/>
          <w:szCs w:val="24"/>
          <w:lang w:val="kk-KZ"/>
        </w:rPr>
        <w:t>[20].</w:t>
      </w:r>
      <w:r>
        <w:rPr>
          <w:rFonts w:eastAsia="Times New Roman" w:cs="Times New Roman" w:ascii="Times New Roman" w:hAnsi="Times New Roman"/>
          <w:sz w:val="24"/>
          <w:szCs w:val="24"/>
          <w:lang w:val="kk-KZ" w:eastAsia="ru-RU"/>
        </w:rPr>
        <w:t xml:space="preserve"> Бұл деректерді жинау және талдау процесін баяулатады, бұл аудит уақытының ұлғаюына және олардың сапасының төмендеуіне әкеледі.</w:t>
      </w:r>
    </w:p>
    <w:p>
      <w:pPr>
        <w:pStyle w:val="Normal"/>
        <w:tabs>
          <w:tab w:val="clear" w:pos="708"/>
          <w:tab w:val="left" w:pos="851" w:leader="none"/>
        </w:tabs>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ab/>
        <w:t>3. Кадрлық ресурстарының тиімділігін адекватты түрде бағаламау.</w:t>
      </w:r>
      <w:r>
        <w:rPr>
          <w:rFonts w:eastAsia="Times New Roman" w:cs="Times New Roman" w:ascii="Times New Roman" w:hAnsi="Times New Roman"/>
          <w:sz w:val="24"/>
          <w:szCs w:val="24"/>
          <w:lang w:val="kk-KZ" w:eastAsia="ru-RU"/>
        </w:rPr>
        <w:t xml:space="preserve"> Кадрлықи капиталды тиімді басқару қызметкерлердің қызметін бағалаудың объективті әдістерінсіз мүмкін емес. Алайда, Еңбек және халықты әлеуметтік қорғау министрлігінің статистикалық мәліметтеріне сәйкес, 2023 жылы мемлекеттік органдардың 35%-ы ғана персонал қызметін бағалау үшін қызметтің негізгі көрсеткіштерінің (KPI) жүйесін пайдаланған </w:t>
      </w:r>
      <w:r>
        <w:rPr>
          <w:rFonts w:eastAsia="Calibri" w:cs="Times New Roman" w:ascii="Times New Roman" w:hAnsi="Times New Roman"/>
          <w:sz w:val="24"/>
          <w:szCs w:val="24"/>
          <w:lang w:val="kk-KZ"/>
        </w:rPr>
        <w:t>[21].</w:t>
      </w:r>
      <w:r>
        <w:rPr>
          <w:rFonts w:eastAsia="Times New Roman" w:cs="Times New Roman" w:ascii="Times New Roman" w:hAnsi="Times New Roman"/>
          <w:sz w:val="24"/>
          <w:szCs w:val="24"/>
          <w:lang w:val="kk-KZ" w:eastAsia="ru-RU"/>
        </w:rPr>
        <w:t xml:space="preserve"> Қазіргі заманғы бағалау құралдарының орнына көптеген бөлімдер жұмыс уақытын есепке алу сияқты ресми критерийлерге негізделген ескірген тәсілдерді сақтайды, бұл қызметкерлердің мемлекеттің стратегиялық мақсаттарына қол жеткізудегі үлесін толық бағалауға мүмкіндік бермейді.</w:t>
      </w:r>
    </w:p>
    <w:p>
      <w:pPr>
        <w:pStyle w:val="Normal"/>
        <w:tabs>
          <w:tab w:val="clear" w:pos="708"/>
          <w:tab w:val="left" w:pos="851" w:leader="none"/>
        </w:tabs>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ab/>
        <w:t>4. Ашықтық пен есеп беруді бұзу.</w:t>
      </w:r>
      <w:r>
        <w:rPr>
          <w:rFonts w:eastAsia="Times New Roman" w:cs="Times New Roman" w:ascii="Times New Roman" w:hAnsi="Times New Roman"/>
          <w:sz w:val="24"/>
          <w:szCs w:val="24"/>
          <w:lang w:val="kk-KZ" w:eastAsia="ru-RU"/>
        </w:rPr>
        <w:t xml:space="preserve"> HR процестерінің аудиті көбінесе есеп берудегі және мемлекеттік органдар арасындағы үйлестірудің әлсіз жақтарын анықтайды. Жоғарғы есеп палатасының мәліметі бойынша, 2022 жылы кадрлық аудитте 123 заң бұзушылық фактісі тіркелді, оның 65 пайызы есеп беру және департаменттер арасындағы ақпарат алмасу мәселелеріне қатысты </w:t>
      </w:r>
      <w:r>
        <w:rPr>
          <w:rFonts w:eastAsia="Calibri" w:cs="Times New Roman" w:ascii="Times New Roman" w:hAnsi="Times New Roman"/>
          <w:sz w:val="24"/>
          <w:szCs w:val="24"/>
          <w:lang w:val="kk-KZ"/>
        </w:rPr>
        <w:t>[22].</w:t>
      </w:r>
      <w:r>
        <w:rPr>
          <w:rFonts w:eastAsia="Times New Roman" w:cs="Times New Roman" w:ascii="Times New Roman" w:hAnsi="Times New Roman"/>
          <w:sz w:val="24"/>
          <w:szCs w:val="24"/>
          <w:lang w:val="kk-KZ" w:eastAsia="ru-RU"/>
        </w:rPr>
        <w:t xml:space="preserve"> Бұзушылықтар арасында кадрлық өзгерістер туралы уақтылы хабарланбау және ведомстволар арасындағы үйлестірудің жеткіліксіздігі жатады. Бұл аудиторлардың жұмысын қиындататын және процестердің ашықтығын төмендететін кадрлық ресурстарын басқаруға жүйелі көзқарастың жоқтығы проблемасын көрсетеді.</w:t>
      </w:r>
    </w:p>
    <w:p>
      <w:pPr>
        <w:pStyle w:val="Normal"/>
        <w:tabs>
          <w:tab w:val="clear" w:pos="708"/>
          <w:tab w:val="left" w:pos="851" w:leader="none"/>
        </w:tabs>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ab/>
        <w:t>5. HR қызметінің төмен тиімділігі.</w:t>
      </w:r>
      <w:r>
        <w:rPr>
          <w:rFonts w:eastAsia="Times New Roman" w:cs="Times New Roman" w:ascii="Times New Roman" w:hAnsi="Times New Roman"/>
          <w:sz w:val="24"/>
          <w:szCs w:val="24"/>
          <w:lang w:val="kk-KZ" w:eastAsia="ru-RU"/>
        </w:rPr>
        <w:t xml:space="preserve"> Тағы бір күрделі мәселе – мемлекеттік органдардағы кадрлардың көп ауысуы. Еңбек министрлігінің мәліметі бойынша, 2023 жылы мемлекеттік органдардағы ауыс-түйіс деңгейі 17%-ды құрады, бұл жеке сектордағы осындай көрсеткіштен (10%) жоғары </w:t>
      </w:r>
      <w:r>
        <w:rPr>
          <w:rFonts w:eastAsia="Calibri" w:cs="Times New Roman" w:ascii="Times New Roman" w:hAnsi="Times New Roman"/>
          <w:sz w:val="24"/>
          <w:szCs w:val="24"/>
          <w:lang w:val="kk-KZ"/>
        </w:rPr>
        <w:t>[23].</w:t>
      </w:r>
      <w:r>
        <w:rPr>
          <w:rFonts w:eastAsia="Times New Roman" w:cs="Times New Roman" w:ascii="Times New Roman" w:hAnsi="Times New Roman"/>
          <w:sz w:val="24"/>
          <w:szCs w:val="24"/>
          <w:lang w:val="kk-KZ" w:eastAsia="ru-RU"/>
        </w:rPr>
        <w:t xml:space="preserve"> Бұл мемлекеттік қызмет қызметкерлерінің қанағаттану деңгейінің төмендігін және дарындылықты сақтау тетіктерінің әлсіз дамуын көрсетеді. Кадрлық саясат аудиті көбінесе мұндай проблемаларды дер кезінде анықтай алмайды, өйткені олар персонал жұмысының сапасын жақсартуға емес, процедуралардың сақталуын бақылауға бағытталған.</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Ағымдағы жағдай кадрлық ресурстарын басқарудың мемлекеттік аудитінің тәсілдерін жаңғыртуды талап етеді. Бұл саладағы реформаның маңызды бағыты аудиторлардың біліктілігін арттыру, цифрлық технологиялар мен автоматтандырылған жүйелерді белсенді енгізу, кадрлық ресурстарын бағалаудың тиімді KPI әзірлеу, кадр саясатының ашықтығы мен есептілігін қамтамасыз ету шараларын күшейту болуы тиіс. Бар кедергілерді кешенді түрде жою мемлекеттік органдардың қызметін айтарлықтай жақсартады және Қазақстанның стратегиялық даму мақсаттарына жауап беретін кәсіби мемлекеттік аппараттың қалыптасуын қамтамасыз етеді.</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Мемлекеттік басқару саласындағы заманауи сын-қатерлер кадрлық ресурстарының аудитіне қатысты тәсілдерді жан-жақты қарастыруды және жетілдіруді талап етеді. Кадрлық саясаттың ашықтығын, тиімділігін және тиімділігін қамтамасыз ету үшін анықталған проблемаларды жоюға бағытталған инновациялық құралдарды енгізу қажет. Осы тұрғыда келесі бағыттар мемлекеттік аудитті реформалаудың негізгі басымдықтарына айналады:</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Жоғары білікті аудиторлық корпусты қалыптастыру кадрлық ресурстарын басқару саласындағы тиімді бақылаудың негізі болып табылады. Мамандандырылған білім беру бағдарламаларын, біліктілікті арттыру курстарын және сертификаттау талаптарын енгізу персоналды басқару, персонал қызметін бағалау және халықаралық аудит стандарттарын қолдану саласында терең білімі бар аудиторлардың кәсіби қоғамдастығын құруға мүмкіндік береді.</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Цифрлық технологияларды персонал аудитіне кіріктіру мемлекеттік қызметшілердің қызметін бақылаудың жылдамдығы мен дәлдігін айтарлықтай арттырады. Үлкен деректерге, жасанды интеллектке және деректерді автоматтандырылған өңдеуге негізделген аналитикалық жүйелерді әзірлеу және енгізу жүйелік кемшіліктерді белсенді түрде анықтауды қамтамасыз етеді және уақтылы және негізделген басқару шешімдерін қабылдауға мүмкіндік береді.</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Барлық мемлекеттік органдар үшін нақты және ашық KPI жүйесін құру кадрлық ресурстарын бағалаудың объективтілігін арттыру жолындағы маңызды қкадрлық болып табылады. Стандартты көрсеткіштер мен тиімділік параметрлерін анықтау мемлекеттік қызметшілердің қызметін бағалауда субъективтілікті болдырмауға көмектеседі және басшылардың өз персоналының жұмысы үшін жауапкершілігін арттырады.</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Аталған шараларды іске асыру кадрлық ресурстарын басқарудың мемлекеттік аудитін жаңғыртуға, оның аналитикалық және болжамдық мәнін арттыруға, мемлекеттік қызметте кадрлық әлеуетті тиімді бөлу мен пайдалануды қамтамасыз етуге мүмкіндік береді. Бұл қкадрлықдар Қазақстан Республикасының стратегиялық мақсаттарына қол жеткізу және заманауи сын-қатерлер мен жаһандық даму талаптарына жауап беретін тиімділігі жоғары мемлекеттік аппаратты қалыптастыру үшін қажет.</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Статистикалық талдау көрсеткендей, кадрлық ресурстарын басқару аудиті саласындағы бар проблемалар аудиторлардың құзыреттілігін арттыруға, технологияларды жаңартуға және тиімділікті бағалаудың неғұрлым сапалы және объективті әдістерін енгізуге бағытталған жүйелі шешімді талап етеді.</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«Мемлекеттік аудит және қаржылық бақылау туралы» Заңның негізгі аспектілерін түсінуге ерекше назар аудару қажет. Бұл заң Қазақстан Республикасында мемлекеттік аудиттің тиімді жүйесін құру мен дамытудың іргелі құжаты болып табылады.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Заңда мемлекеттік ресурстарды пайдалануда адалдық пен жариялылықты қамтамасыз етудің негізі болып табылатын ашықтық пен есеп беру қағидаттарына ерекше мән берілген. Заң бұзушылықтардың алдын алу және анықтау тетіктерін қарастырады, бұл мемлекеттік институттарға сенім деңгейін арттыруға ықпал етеді [24].</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Заңда аудиторлық тексерулерді жүргізуде кәсіби көзқарас қажеттігін де атап көрсетеді. Бұл аудиторлардың біліктілігіне қойылатын талаптарды, сонымен қатар аудиторлық тексерулердің дәлдігі мен тиімділігін арттыру үшін заманауи әдістер мен технологияларды қолдануды қамтиды.</w:t>
      </w:r>
    </w:p>
    <w:p>
      <w:pPr>
        <w:pStyle w:val="Normal"/>
        <w:spacing w:lineRule="auto" w:line="240" w:before="0" w:after="0"/>
        <w:ind w:firstLine="708"/>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Осыған байланысты, кадрлық ресурстарын басқару саласындағы мемлекеттік аудит мемлекеттік басқарудың тиімділігін қамтамасыз етудің ең маңызды құралы болып табылатынын атап өткен жөн, өйткені мемлекеттік функцияларды табысты орындау және стратегиялық мақсаттарға қол жеткізу негізінде кадрлықи капитал жатыр. Жаһандық цифрландыру және мемлекеттік аппаратты трансформациялау жағдайында еңбек ресурстарын ұтымды пайдалану, кадрлық үдерістердің ашықтығы және олардың заманауи сын-қатерлерге сәйкестігі мәселелері өте маңызды болып отыр.</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Осы саладағы мемлекеттік аудиттің негізгі мақсаты еңбек әлеуетін оңтайлы пайдалану қағидаттарынан ауытқуларды анықтау, сондай-ақ жұмысқа қабылдау жүйелерінің, мансаптық өсу мен қызметкерлерді ынталандырудың ұзақ мерзімді мемлекеттік басымдықтарға сәйкестігін бағалау болып табылады. Персонал саны немесе оларды ұстауға жұмсалатын шығындар деңгейі сияқты сандық көрсеткіштерді ғана емес, сонымен қатар кәсібилік деңгейін, қызметкерлердің қанағаттанушылығын және олардың ұйымның мақсаттарына жетуге қосқан үлесін қоса алғанда, сапалы аспектілерді де ескеретін кешенді тәсілді қолдану қажеттілігі ерекше қиын.</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Цифрландыру, жұмыс сипатының өзгеруі және ашықтық талаптарының артуы сияқты заманауи міндеттер мемлекеттік аудиттің инновациялық әдістер мен құралдарды қолдануын талап етеді. Бұл кадрлық саясаттың әлсіз тұстарын анықтауға ғана емес, сыбайлас жемқорлық тәуекелдерін азайтуға, персоналды басқару тиімділігін арттыруға және ашықтық пен есеп берушілік қағидаттарына негізделген жүйені құруға бағытталған ұсыныстар әзірлеуге мүмкіндік береді.</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Кадрлық ресурстарын басқарудың мемлекеттік аудиті уақыт сын-қатерлеріне жауап беруге және тұрақты дамуды қамтамасыз етуге қабілетті заманауи, тиімді және ашық мемлекеттік аппаратты құрудың негізгі элементіне айналуда.</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Calibri" w:cs="Times New Roman" w:ascii="Times New Roman" w:hAnsi="Times New Roman"/>
          <w:b/>
          <w:sz w:val="24"/>
          <w:szCs w:val="24"/>
          <w:lang w:val="kk-KZ"/>
        </w:rPr>
        <w:t xml:space="preserve">Қорытынды. </w:t>
      </w:r>
      <w:r>
        <w:rPr>
          <w:rFonts w:eastAsia="Times New Roman" w:cs="Times New Roman" w:ascii="Times New Roman" w:hAnsi="Times New Roman"/>
          <w:sz w:val="24"/>
          <w:szCs w:val="24"/>
          <w:lang w:val="kk-KZ" w:eastAsia="ru-RU"/>
        </w:rPr>
        <w:t>Қазақстанда кадрлық ресурстарын басқарудың мемлекеттік аудитінде анықталған проблемаларды еңсеру үшін аудиттің тиімділігі мен сапасын арттыруға, сондай-ақ мемлекеттік органдарда кадрлық ресурстарын басқару жүйесін жетілдіруге мүмкіндік беретін бірқатар практикалық шараларды жүзеге асыру қажет.</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1. Аудиторлардың біліктілігін арттыру. Кадр тапшылығын жою және аудит сапасын арттыру үшін аудиторларды үздіксіз оқыту және біліктілігін арттыру бағдарламаларын жасау қажет. Бұл бағдарламалар мыналарды қамтуы керек:</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кадрлық ресурстарын басқарудың жаңа әдістеріне және HR процестерінің аудитіне оқыту;</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INTOSAI және ISSAI әдістемелері сияқты халықаралық стандарттармен және озық тәжірибелермен танысу;</w:t>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сандық технологияларды аудитте қолдану, соның ішінде үлкен деректерді талдау және жасанды интеллект құралдарын пайдалану бойынша мамандандырылған курстар.</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кадрлық ресурстарын басқару және қазіргі заманғы аудит құралдарын мамандандырылған оқытуға бағытталған мемлекеттік аудиторларды даярлаудың ұлттық орталығын құру.</w:t>
      </w:r>
    </w:p>
    <w:p>
      <w:pPr>
        <w:pStyle w:val="Normal"/>
        <w:numPr>
          <w:ilvl w:val="0"/>
          <w:numId w:val="0"/>
        </w:numPr>
        <w:spacing w:lineRule="auto" w:line="240" w:before="0" w:after="0"/>
        <w:ind w:firstLine="708"/>
        <w:jc w:val="both"/>
        <w:outlineLvl w:val="3"/>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 xml:space="preserve">2. HR процестерін тексерудің әдістемелік негізін жасау. </w:t>
      </w:r>
      <w:r>
        <w:rPr>
          <w:rFonts w:eastAsia="Times New Roman" w:cs="Times New Roman" w:ascii="Times New Roman" w:hAnsi="Times New Roman"/>
          <w:sz w:val="24"/>
          <w:szCs w:val="24"/>
          <w:lang w:val="kk-KZ" w:eastAsia="ru-RU"/>
        </w:rPr>
        <w:t>Аудиттің тәсілдерін біріздендіру және бағалаудың объективтілігін арттыру үшін қазақстандық мемлекеттік органдардың ерекшеліктерін ескеретін кадрлық ресурстарын басқару аудитін жүргізудің бірыңғай стандарттары мен әдістерін әзірлеу және енгізу қажет.</w:t>
      </w:r>
    </w:p>
    <w:p>
      <w:pPr>
        <w:pStyle w:val="Normal"/>
        <w:numPr>
          <w:ilvl w:val="0"/>
          <w:numId w:val="0"/>
        </w:numPr>
        <w:spacing w:lineRule="auto" w:line="240" w:before="0" w:after="0"/>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 xml:space="preserve">           </w:t>
      </w:r>
      <w:r>
        <w:rPr>
          <w:rFonts w:eastAsia="Times New Roman" w:cs="Times New Roman" w:ascii="Times New Roman" w:hAnsi="Times New Roman"/>
          <w:bCs/>
          <w:sz w:val="24"/>
          <w:szCs w:val="24"/>
          <w:lang w:val="kk-KZ" w:eastAsia="ru-RU"/>
        </w:rPr>
        <w:t>Ұсыныс: Қызметтің негізгі критерийлерін, өнімділік көрсеткіштерін, қызметкерлердің мотивациясын бағалау әдістерін және кері байланыс жүйелерін сипаттайтын HR процестерін тексеру бойынша нұсқаулықты әзірлеу.</w:t>
      </w:r>
    </w:p>
    <w:p>
      <w:pPr>
        <w:pStyle w:val="Normal"/>
        <w:numPr>
          <w:ilvl w:val="0"/>
          <w:numId w:val="0"/>
        </w:numPr>
        <w:spacing w:lineRule="auto" w:line="240" w:before="0" w:after="0"/>
        <w:ind w:firstLine="708"/>
        <w:jc w:val="both"/>
        <w:outlineLvl w:val="3"/>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 xml:space="preserve">3. Цифрлық технологияларды қолдануды күшейту. </w:t>
      </w:r>
      <w:r>
        <w:rPr>
          <w:rFonts w:eastAsia="Times New Roman" w:cs="Times New Roman" w:ascii="Times New Roman" w:hAnsi="Times New Roman"/>
          <w:sz w:val="24"/>
          <w:szCs w:val="24"/>
          <w:lang w:val="kk-KZ" w:eastAsia="ru-RU"/>
        </w:rPr>
        <w:t>Цифрлық технологияларды енгізу және аудиторлық процестерді автоматтандыруды арттыру, бұл аудиторлардың тиімділігін арттыруға және деректерді талдау сапасын жақсартуға мүмкіндік береді. Үлкен деректер аналитикасын пайдалану HR процестеріндегі үлгілерді анықтауға көмектеседі, ал жасанды интеллект күнделікті тапсырмаларды автоматтандырады.</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мемлекеттік органдардағы кадрлық ресурстары туралы деректерді жинау, сақтау және талдау үшін мамандандырылған цифрлық платформаларды енгізу. Платформаларда қызметкерлердің ауысуын, біліктілік деңгейін бақылау және қызметкерлердің мотивациясын бағалау мүмкіндіктері болуы керек.</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4. Аудиторлар мен мемлекеттік органдар арасындағы ынтымақтастықты жақсарту. Мемлекеттік органдардың қарсылығын азайту үшін аудиторлар мен менеджерлердің өзара тығыз қарым-қатынасына жағдай жасау қажет. Бұған аудит мақсаттары мен міндеттері талқыланатын, сондай-ақ аудиторлық ұсыныстарды сәтті орындау мысалдары талқыланатын тұрақты жиналыстар мен семинарлар арқылы қол жеткізуге болады.</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мемлекеттік аудиторлар мен HR қызметтері арасындағы тұрақты диалог бағдарламасын құру, ол аудиттің нәтижелеріне негізделген HR басқару тиімділігін жақсарту бойынша оқыту мен кеңес беруді қамтиды.</w:t>
      </w:r>
    </w:p>
    <w:p>
      <w:pPr>
        <w:pStyle w:val="Normal"/>
        <w:numPr>
          <w:ilvl w:val="0"/>
          <w:numId w:val="0"/>
        </w:numPr>
        <w:spacing w:lineRule="auto" w:line="240" w:before="0" w:after="0"/>
        <w:ind w:firstLine="708"/>
        <w:jc w:val="both"/>
        <w:outlineLvl w:val="3"/>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 xml:space="preserve">5. Аудиттің ашықтығын арттыру және кері байланыс тетіктерін енгізу. </w:t>
      </w:r>
      <w:r>
        <w:rPr>
          <w:rFonts w:eastAsia="Times New Roman" w:cs="Times New Roman" w:ascii="Times New Roman" w:hAnsi="Times New Roman"/>
          <w:sz w:val="24"/>
          <w:szCs w:val="24"/>
          <w:lang w:val="kk-KZ" w:eastAsia="ru-RU"/>
        </w:rPr>
        <w:t>Аудитке деген сенімді арттыру және нәтижелерді жақсарту үшін аудит процестерінің ашықтығын қамтамасыз ету қажет. Аудиторларға өз ұсыныстарының қалай орындалып жатқаны туралы ақпарат алуға мүмкіндік беретін кері байланыс механизмін енгізу де маңызды элемент болып табылады.</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мемлекеттік мекеме басшыларына аудиторлық ұсыныстардың орындалуы туралы есеп беруге және аудиторларға осы ақпарат негізінде өз тәсілдерін бейімдеуге мүмкіндік беретін кері байланыс жүйесін енгізу.</w:t>
      </w:r>
    </w:p>
    <w:p>
      <w:pPr>
        <w:pStyle w:val="Normal"/>
        <w:numPr>
          <w:ilvl w:val="0"/>
          <w:numId w:val="0"/>
        </w:numPr>
        <w:spacing w:lineRule="auto" w:line="240" w:before="0" w:after="0"/>
        <w:ind w:firstLine="708"/>
        <w:jc w:val="both"/>
        <w:outlineLvl w:val="3"/>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 xml:space="preserve">6. Халықаралық ынтымақтастық пен тәжірибе алмасуды дамыту. </w:t>
      </w:r>
      <w:r>
        <w:rPr>
          <w:rFonts w:eastAsia="Times New Roman" w:cs="Times New Roman" w:ascii="Times New Roman" w:hAnsi="Times New Roman"/>
          <w:sz w:val="24"/>
          <w:szCs w:val="24"/>
          <w:lang w:val="kk-KZ" w:eastAsia="ru-RU"/>
        </w:rPr>
        <w:t>Персоналды басқарудың мемлекеттік аудиті саласындағы озық халықаралық тәжірибені бейімдеу Қазақстанға озық тәжірибені енгізуге және аудит процестерінің сапасын арттыруға мүмкіндік береді.</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жетекші халықаралық ұйымдарда қазақстандық аудиторлардың және басқа елдердің аудиторларының тәжірибе алмасу және HR үдерістері аудитінің озық әдістерін зерделеу үшін тұрақты тағылымдамадан өтуін ұйымдастыру.</w:t>
      </w:r>
    </w:p>
    <w:p>
      <w:pPr>
        <w:pStyle w:val="Normal"/>
        <w:numPr>
          <w:ilvl w:val="0"/>
          <w:numId w:val="0"/>
        </w:numPr>
        <w:spacing w:lineRule="auto" w:line="240" w:before="0" w:after="0"/>
        <w:ind w:firstLine="708"/>
        <w:jc w:val="both"/>
        <w:outlineLvl w:val="3"/>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 xml:space="preserve">7. Аудиторлық органдарды қаржыландыру мүмкіндігі. </w:t>
      </w:r>
      <w:r>
        <w:rPr>
          <w:rFonts w:eastAsia="Times New Roman" w:cs="Times New Roman" w:ascii="Times New Roman" w:hAnsi="Times New Roman"/>
          <w:sz w:val="24"/>
          <w:szCs w:val="24"/>
          <w:lang w:val="kk-KZ" w:eastAsia="ru-RU"/>
        </w:rPr>
        <w:t>Ресурстардың жетіспеушілігі аудитті сапалы жүргізуді қиындатады, сондықтан мемлекеттік аудит органдарының бюджеттік қаржыландыруын қайта қарау қажет.</w:t>
      </w:r>
    </w:p>
    <w:p>
      <w:pPr>
        <w:pStyle w:val="Normal"/>
        <w:numPr>
          <w:ilvl w:val="0"/>
          <w:numId w:val="0"/>
        </w:numPr>
        <w:spacing w:lineRule="auto" w:line="240" w:before="0" w:after="0"/>
        <w:ind w:firstLine="708"/>
        <w:jc w:val="both"/>
        <w:outlineLvl w:val="3"/>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цифрлық құралдарды алуға, қызметкерлерді оқытуға және аудитті қамтуды кеңейту үшін қызметкерлер санын арттыруға баса назар аудара отырып, аудит органдарын қаржыландырудың мақсатты бағдарламасын әзірлеу.</w:t>
      </w:r>
    </w:p>
    <w:p>
      <w:pPr>
        <w:pStyle w:val="Normal"/>
        <w:numPr>
          <w:ilvl w:val="0"/>
          <w:numId w:val="0"/>
        </w:numPr>
        <w:spacing w:lineRule="auto" w:line="240" w:before="0" w:after="0"/>
        <w:ind w:firstLine="708"/>
        <w:jc w:val="both"/>
        <w:outlineLvl w:val="3"/>
        <w:rPr>
          <w:rFonts w:ascii="Times New Roman" w:hAnsi="Times New Roman" w:eastAsia="Times New Roman" w:cs="Times New Roman"/>
          <w:sz w:val="24"/>
          <w:szCs w:val="24"/>
          <w:lang w:val="kk-KZ" w:eastAsia="ru-RU"/>
        </w:rPr>
      </w:pPr>
      <w:r>
        <w:rPr>
          <w:rFonts w:eastAsia="Times New Roman" w:cs="Times New Roman" w:ascii="Times New Roman" w:hAnsi="Times New Roman"/>
          <w:bCs/>
          <w:sz w:val="24"/>
          <w:szCs w:val="24"/>
          <w:lang w:val="kk-KZ" w:eastAsia="ru-RU"/>
        </w:rPr>
        <w:t>8. Біліктілікті арттыру және мансаптық өсу бағдарламаларын әзірлеу. Мемлекеттік аудит мемлекеттік қызметшілерді оқыту бағдарламаларының тиімділігін және олардың мемлекеттік тапсырмаларды орындауға әсерін ескеруі тиіс.</w:t>
      </w:r>
    </w:p>
    <w:p>
      <w:pPr>
        <w:pStyle w:val="Normal"/>
        <w:spacing w:lineRule="auto" w:line="240" w:before="0" w:after="0"/>
        <w:ind w:firstLine="708"/>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Ұсыныс: нәтижелерді кейіннен кадрлық аудит процесіне біріктіре отырып, мемлекеттік қызметшілерді оқыту бағдарламаларының тұрақты мониторингі мен бағалау жүйесін әзірлеу.</w:t>
      </w:r>
    </w:p>
    <w:p>
      <w:pPr>
        <w:pStyle w:val="Normal"/>
        <w:tabs>
          <w:tab w:val="clear" w:pos="708"/>
          <w:tab w:val="left" w:pos="709" w:leader="none"/>
          <w:tab w:val="left" w:pos="851" w:leader="none"/>
        </w:tabs>
        <w:spacing w:lineRule="auto" w:line="240" w:before="0" w:after="0"/>
        <w:jc w:val="center"/>
        <w:rPr>
          <w:rFonts w:ascii="Times New Roman" w:hAnsi="Times New Roman" w:eastAsia="Calibri" w:cs="Times New Roman"/>
          <w:b/>
          <w:sz w:val="24"/>
          <w:szCs w:val="24"/>
          <w:lang w:val="kk-KZ"/>
        </w:rPr>
      </w:pPr>
      <w:r>
        <w:rPr>
          <w:rFonts w:eastAsia="Calibri" w:cs="Times New Roman" w:ascii="Times New Roman" w:hAnsi="Times New Roman"/>
          <w:b/>
          <w:sz w:val="24"/>
          <w:szCs w:val="24"/>
        </w:rPr>
        <w:t>Әдебиеттер</w:t>
      </w:r>
    </w:p>
    <w:p>
      <w:pPr>
        <w:pStyle w:val="Normal"/>
        <w:spacing w:lineRule="auto" w:line="240" w:before="0" w:after="0"/>
        <w:rPr>
          <w:rFonts w:ascii="Times New Roman" w:hAnsi="Times New Roman" w:eastAsia="Calibri" w:cs="Times New Roman"/>
          <w:sz w:val="28"/>
          <w:szCs w:val="24"/>
          <w:lang w:val="kk-KZ"/>
        </w:rPr>
      </w:pPr>
      <w:r>
        <w:rPr>
          <w:rFonts w:eastAsia="Calibri" w:cs="Times New Roman" w:ascii="Times New Roman" w:hAnsi="Times New Roman"/>
          <w:sz w:val="28"/>
          <w:szCs w:val="24"/>
          <w:lang w:val="kk-KZ"/>
        </w:rPr>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 xml:space="preserve">1. </w:t>
      </w:r>
      <w:r>
        <w:rPr>
          <w:rFonts w:eastAsia="Calibri" w:cs="Times New Roman" w:ascii="Times New Roman" w:hAnsi="Times New Roman"/>
          <w:sz w:val="24"/>
          <w:szCs w:val="24"/>
        </w:rPr>
        <w:t>Катковская И. В. Аудит кадровых процессов как инструмент оценки системы управления персоналом организации // Управление персоналом и развитие организаций. - 2017. - № 1. - С. 65</w:t>
      </w:r>
      <w:r>
        <w:rPr>
          <w:rFonts w:eastAsia="Calibri" w:cs="Times New Roman" w:ascii="Times New Roman" w:hAnsi="Times New Roman"/>
          <w:sz w:val="24"/>
          <w:szCs w:val="24"/>
          <w:lang w:val="kk-KZ"/>
        </w:rPr>
        <w:t>-</w:t>
      </w:r>
      <w:r>
        <w:rPr>
          <w:rFonts w:eastAsia="Calibri" w:cs="Times New Roman" w:ascii="Times New Roman" w:hAnsi="Times New Roman"/>
          <w:sz w:val="24"/>
          <w:szCs w:val="24"/>
        </w:rPr>
        <w:t xml:space="preserve">66. </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2</w:t>
      </w:r>
      <w:r>
        <w:rPr>
          <w:rFonts w:eastAsia="Calibri" w:cs="Times New Roman" w:ascii="Times New Roman" w:hAnsi="Times New Roman"/>
          <w:sz w:val="24"/>
          <w:szCs w:val="24"/>
        </w:rPr>
        <w:t xml:space="preserve">. Бахарев В. В., Демененко И. А. Технология кадрового аудита в стратегии управления человеческими ресурсами // Альманах «Крым». - 2022. -№ 31. - С. 18–25. </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3</w:t>
      </w:r>
      <w:r>
        <w:rPr>
          <w:rFonts w:eastAsia="Calibri" w:cs="Times New Roman" w:ascii="Times New Roman" w:hAnsi="Times New Roman"/>
          <w:sz w:val="24"/>
          <w:szCs w:val="24"/>
        </w:rPr>
        <w:t xml:space="preserve">. Сергеев Л. И. Государственный аудит: учебник для вузов. </w:t>
      </w:r>
      <w:r>
        <w:rPr>
          <w:rFonts w:eastAsia="Calibri" w:cs="Times New Roman" w:ascii="Times New Roman" w:hAnsi="Times New Roman"/>
          <w:sz w:val="24"/>
          <w:szCs w:val="24"/>
          <w:lang w:val="kk-KZ"/>
        </w:rPr>
        <w:t>-</w:t>
      </w:r>
      <w:r>
        <w:rPr>
          <w:rFonts w:eastAsia="Calibri" w:cs="Times New Roman" w:ascii="Times New Roman" w:hAnsi="Times New Roman"/>
          <w:sz w:val="24"/>
          <w:szCs w:val="24"/>
        </w:rPr>
        <w:t xml:space="preserve"> 2-е изд., перераб. и доп. - М.: Юрайт, 2025. - 373 с. </w:t>
      </w:r>
      <w:r>
        <w:rPr>
          <w:rFonts w:eastAsia="Calibri" w:cs="Times New Roman" w:ascii="Times New Roman" w:hAnsi="Times New Roman"/>
          <w:sz w:val="24"/>
          <w:szCs w:val="24"/>
          <w:lang w:val="en-US"/>
        </w:rPr>
        <w:t>ISBN</w:t>
      </w:r>
      <w:r>
        <w:rPr>
          <w:rFonts w:eastAsia="Calibri" w:cs="Times New Roman" w:ascii="Times New Roman" w:hAnsi="Times New Roman"/>
          <w:sz w:val="24"/>
          <w:szCs w:val="24"/>
        </w:rPr>
        <w:t xml:space="preserve"> 978-5-534-16434-3</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4.</w:t>
      </w:r>
      <w:r>
        <w:rPr>
          <w:rFonts w:eastAsia="Calibri" w:cs="Times New Roman" w:ascii="Times New Roman" w:hAnsi="Times New Roman"/>
          <w:sz w:val="24"/>
          <w:szCs w:val="24"/>
        </w:rPr>
        <w:t xml:space="preserve"> </w:t>
      </w:r>
      <w:r>
        <w:rPr>
          <w:rFonts w:eastAsia="Calibri" w:cs="Times New Roman" w:ascii="Times New Roman" w:hAnsi="Times New Roman"/>
          <w:sz w:val="24"/>
          <w:szCs w:val="24"/>
          <w:lang w:val="kk-KZ"/>
        </w:rPr>
        <w:t xml:space="preserve">Қазақстан Республикасы Президентінің Қ.-Ж. Қ.Тоқаевтын Қазақстан халқына 2024 жылғы 2 қыркүйектегі жолдауы. URL: </w:t>
      </w:r>
      <w:hyperlink r:id="rId9">
        <w:r>
          <w:rPr>
            <w:rStyle w:val="Style3"/>
            <w:rFonts w:eastAsia="Calibri" w:cs="Times New Roman" w:ascii="Times New Roman" w:hAnsi="Times New Roman"/>
            <w:sz w:val="24"/>
            <w:szCs w:val="24"/>
            <w:lang w:val="kk-KZ"/>
          </w:rPr>
          <w:t xml:space="preserve">https://www.akorda.kz/ru/poslanie-glavy-gosudarstva-kasym-zhomarta-tokaeva-narodu-kazahstana-spravedlivyy-kazahstan-zakon-i-poryadok-ekonomicheskiy-rost-obshchestvennyy-optimizm-285014.- </w:t>
        </w:r>
        <w:r>
          <w:rPr>
            <w:rStyle w:val="Style3"/>
            <w:rFonts w:eastAsia="Calibri" w:cs="Times New Roman" w:ascii="Times New Roman" w:hAnsi="Times New Roman"/>
            <w:sz w:val="24"/>
            <w:szCs w:val="24"/>
            <w:lang w:val="en-US"/>
          </w:rPr>
          <w:t xml:space="preserve"> </w:t>
        </w:r>
        <w:r>
          <w:rPr>
            <w:rStyle w:val="Style3"/>
            <w:rFonts w:eastAsia="Calibri" w:cs="Times New Roman" w:ascii="Times New Roman" w:hAnsi="Times New Roman"/>
            <w:sz w:val="24"/>
            <w:szCs w:val="24"/>
            <w:lang w:val="kk-KZ"/>
          </w:rPr>
          <w:t>Қаралған</w:t>
        </w:r>
      </w:hyperlink>
      <w:r>
        <w:rPr>
          <w:rFonts w:eastAsia="Calibri" w:cs="Times New Roman" w:ascii="Times New Roman" w:hAnsi="Times New Roman"/>
          <w:sz w:val="24"/>
          <w:szCs w:val="24"/>
          <w:lang w:val="kk-KZ"/>
        </w:rPr>
        <w:t xml:space="preserve"> күні: 07.02.2025. </w:t>
      </w:r>
    </w:p>
    <w:p>
      <w:pPr>
        <w:pStyle w:val="Normal"/>
        <w:spacing w:lineRule="auto" w:line="240" w:before="0" w:after="0"/>
        <w:jc w:val="both"/>
        <w:rPr>
          <w:rFonts w:ascii="Times New Roman" w:hAnsi="Times New Roman" w:eastAsia="Calibri" w:cs="Times New Roman"/>
          <w:sz w:val="24"/>
          <w:szCs w:val="24"/>
          <w:lang w:val="en-US"/>
        </w:rPr>
      </w:pPr>
      <w:r>
        <w:rPr>
          <w:rFonts w:eastAsia="Calibri" w:cs="Times New Roman" w:ascii="Times New Roman" w:hAnsi="Times New Roman"/>
          <w:sz w:val="24"/>
          <w:szCs w:val="24"/>
          <w:lang w:val="kk-KZ"/>
        </w:rPr>
        <w:t>5.</w:t>
      </w:r>
      <w:r>
        <w:rPr>
          <w:rFonts w:eastAsia="Calibri" w:cs="Times New Roman" w:ascii="Times New Roman" w:hAnsi="Times New Roman"/>
          <w:sz w:val="24"/>
          <w:szCs w:val="24"/>
          <w:lang w:val="en-US"/>
        </w:rPr>
        <w:t xml:space="preserve">  Bratton, J., Gold, J. Human resource management: Theory and practice. 5th ed. - London: Palgrave Macmillan, 2012. - 592 p.</w:t>
      </w:r>
    </w:p>
    <w:p>
      <w:pPr>
        <w:pStyle w:val="Normal"/>
        <w:shd w:val="clear" w:color="auto" w:fill="FFFFFF"/>
        <w:spacing w:lineRule="auto" w:line="240" w:before="0" w:after="0"/>
        <w:jc w:val="both"/>
        <w:rPr>
          <w:rFonts w:ascii="Montserrat" w:hAnsi="Montserrat" w:eastAsia="Times New Roman" w:cs="Times New Roman"/>
          <w:sz w:val="27"/>
          <w:szCs w:val="27"/>
          <w:lang w:eastAsia="ru-RU"/>
        </w:rPr>
      </w:pPr>
      <w:r>
        <w:rPr>
          <w:rFonts w:eastAsia="Calibri" w:cs="Times New Roman" w:ascii="Times New Roman" w:hAnsi="Times New Roman"/>
          <w:sz w:val="24"/>
          <w:szCs w:val="24"/>
          <w:lang w:val="kk-KZ"/>
        </w:rPr>
        <w:t>6.</w:t>
      </w:r>
      <w:r>
        <w:rPr>
          <w:rFonts w:eastAsia="Calibri" w:cs="Times New Roman" w:ascii="Times New Roman" w:hAnsi="Times New Roman"/>
          <w:sz w:val="24"/>
          <w:szCs w:val="24"/>
          <w:lang w:val="en-US"/>
        </w:rPr>
        <w:t xml:space="preserve">  Lawler, E. E., Boudreau, J. W. Global trends in human resource management: A twenty-year analysis. - Stanford: Stanford University Press, 2015.- </w:t>
      </w:r>
      <w:r>
        <w:rPr>
          <w:rFonts w:eastAsia="Calibri" w:cs="Times New Roman" w:ascii="Times New Roman" w:hAnsi="Times New Roman"/>
          <w:sz w:val="24"/>
          <w:szCs w:val="24"/>
        </w:rPr>
        <w:t xml:space="preserve">216 </w:t>
      </w:r>
      <w:r>
        <w:rPr>
          <w:rFonts w:eastAsia="Calibri" w:cs="Times New Roman" w:ascii="Times New Roman" w:hAnsi="Times New Roman"/>
          <w:sz w:val="24"/>
          <w:szCs w:val="24"/>
          <w:lang w:val="en-US"/>
        </w:rPr>
        <w:t>p</w:t>
      </w:r>
      <w:r>
        <w:rPr>
          <w:rFonts w:eastAsia="Calibri" w:cs="Times New Roman" w:ascii="Times New Roman" w:hAnsi="Times New Roman"/>
          <w:sz w:val="24"/>
          <w:szCs w:val="24"/>
        </w:rPr>
        <w:t>.</w:t>
      </w:r>
      <w:r>
        <w:rPr>
          <w:rFonts w:eastAsia="Times New Roman" w:cs="Times New Roman" w:ascii="Montserrat" w:hAnsi="Montserrat"/>
          <w:sz w:val="27"/>
          <w:szCs w:val="27"/>
          <w:lang w:eastAsia="ru-RU"/>
        </w:rPr>
        <w:t xml:space="preserve"> </w:t>
      </w:r>
      <w:r>
        <w:rPr>
          <w:rFonts w:eastAsia="Times New Roman" w:cs="Times New Roman" w:ascii="Times New Roman" w:hAnsi="Times New Roman"/>
          <w:sz w:val="24"/>
          <w:szCs w:val="24"/>
          <w:lang w:val="en-US" w:eastAsia="ru-RU"/>
        </w:rPr>
        <w:t>ISBN </w:t>
      </w:r>
      <w:r>
        <w:rPr>
          <w:rFonts w:eastAsia="Times New Roman" w:cs="Times New Roman" w:ascii="Times New Roman" w:hAnsi="Times New Roman"/>
          <w:sz w:val="24"/>
          <w:szCs w:val="24"/>
          <w:lang w:eastAsia="ru-RU"/>
        </w:rPr>
        <w:t>9780804791298.</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7</w:t>
      </w:r>
      <w:r>
        <w:rPr>
          <w:rFonts w:eastAsia="Calibri" w:cs="Times New Roman" w:ascii="Times New Roman" w:hAnsi="Times New Roman"/>
          <w:sz w:val="24"/>
          <w:szCs w:val="24"/>
        </w:rPr>
        <w:t xml:space="preserve">. Саунин А. Н. Государственный аудит: учебное пособие. - 2-е изд., стер. - М.: Изд-во МГУ, 2019. - 480 с. </w:t>
      </w:r>
      <w:r>
        <w:rPr>
          <w:rFonts w:eastAsia="Calibri" w:cs="Times New Roman" w:ascii="Times New Roman" w:hAnsi="Times New Roman"/>
          <w:sz w:val="24"/>
          <w:szCs w:val="24"/>
          <w:lang w:val="en-US"/>
        </w:rPr>
        <w:t>ISBN</w:t>
      </w:r>
      <w:r>
        <w:rPr>
          <w:rFonts w:eastAsia="Calibri" w:cs="Times New Roman" w:ascii="Times New Roman" w:hAnsi="Times New Roman"/>
          <w:sz w:val="24"/>
          <w:szCs w:val="24"/>
        </w:rPr>
        <w:t xml:space="preserve"> 978-5-19-011412-6.</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8</w:t>
      </w:r>
      <w:r>
        <w:rPr>
          <w:rFonts w:eastAsia="Calibri" w:cs="Times New Roman" w:ascii="Times New Roman" w:hAnsi="Times New Roman"/>
          <w:sz w:val="24"/>
          <w:szCs w:val="24"/>
        </w:rPr>
        <w:t xml:space="preserve">. Климанов В. В., Казакова С. М., Яговкина В. А. Инструменты межрегионального взаимодействия в системе государственного управления // Регионология. - 2021. - № 2. - С. 250-282.  </w:t>
      </w:r>
      <w:hyperlink r:id="rId10" w:tgtFrame="_new">
        <w:r>
          <w:rPr>
            <w:rStyle w:val="Style3"/>
            <w:rFonts w:eastAsia="Calibri" w:cs="Times New Roman" w:ascii="Times New Roman" w:hAnsi="Times New Roman"/>
            <w:sz w:val="24"/>
            <w:szCs w:val="24"/>
            <w:lang w:val="kk-KZ"/>
          </w:rPr>
          <w:t xml:space="preserve"> </w:t>
        </w:r>
        <w:r>
          <w:rPr>
            <w:rStyle w:val="Style3"/>
            <w:rFonts w:eastAsia="Calibri" w:cs="Times New Roman" w:ascii="Times New Roman" w:hAnsi="Times New Roman"/>
            <w:sz w:val="24"/>
            <w:szCs w:val="24"/>
            <w:lang w:val="en-US"/>
          </w:rPr>
          <w:t>DOI</w:t>
        </w:r>
        <w:r>
          <w:rPr>
            <w:rStyle w:val="Style3"/>
            <w:rFonts w:eastAsia="Calibri" w:cs="Times New Roman" w:ascii="Times New Roman" w:hAnsi="Times New Roman"/>
            <w:sz w:val="24"/>
            <w:szCs w:val="24"/>
          </w:rPr>
          <w:t xml:space="preserve"> 10.15507/2413-1407.115.029.202102.250-282</w:t>
        </w:r>
      </w:hyperlink>
      <w:r>
        <w:rPr>
          <w:rFonts w:eastAsia="Calibri" w:cs="Times New Roman" w:ascii="Times New Roman" w:hAnsi="Times New Roman"/>
          <w:sz w:val="24"/>
          <w:szCs w:val="24"/>
        </w:rPr>
        <w:t>.</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9</w:t>
      </w:r>
      <w:r>
        <w:rPr>
          <w:rFonts w:eastAsia="Calibri" w:cs="Times New Roman" w:ascii="Times New Roman" w:hAnsi="Times New Roman"/>
          <w:sz w:val="24"/>
          <w:szCs w:val="24"/>
        </w:rPr>
        <w:t xml:space="preserve">. Алибекова Б. А., Алдынгарова Д. Т. Государственный аудит финансовой отчетности // Central Asian Economic Review. - 2018. -№ 4. - С. 72–83. </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10</w:t>
      </w:r>
      <w:r>
        <w:rPr>
          <w:rFonts w:eastAsia="Calibri" w:cs="Times New Roman" w:ascii="Times New Roman" w:hAnsi="Times New Roman"/>
          <w:sz w:val="24"/>
          <w:szCs w:val="24"/>
        </w:rPr>
        <w:t xml:space="preserve">. Бокаев Б. Н., Торебекова З. Т., Жаров Е. К., Бактиярова Б. Н. Анализ моделей государственной службы в зарубежных странах и перспективы их адаптации в Республике Казахстан // Государственный аудит. -2024. - № 1 (62).-С. 167-182. DOI </w:t>
      </w:r>
      <w:hyperlink r:id="rId11">
        <w:r>
          <w:rPr>
            <w:rStyle w:val="Style3"/>
            <w:rFonts w:eastAsia="Calibri" w:cs="Times New Roman" w:ascii="Times New Roman" w:hAnsi="Times New Roman"/>
            <w:sz w:val="24"/>
            <w:szCs w:val="24"/>
          </w:rPr>
          <w:t>10.55871/2072-9847-2024-62-1-167-182</w:t>
        </w:r>
      </w:hyperlink>
      <w:r>
        <w:rPr>
          <w:rFonts w:eastAsia="Calibri" w:cs="Times New Roman" w:ascii="Times New Roman" w:hAnsi="Times New Roman"/>
          <w:sz w:val="24"/>
          <w:szCs w:val="24"/>
        </w:rPr>
        <w:t>.</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11</w:t>
      </w:r>
      <w:r>
        <w:rPr>
          <w:rFonts w:eastAsia="Calibri" w:cs="Times New Roman" w:ascii="Times New Roman" w:hAnsi="Times New Roman"/>
          <w:sz w:val="24"/>
          <w:szCs w:val="24"/>
        </w:rPr>
        <w:t xml:space="preserve">. </w:t>
      </w:r>
      <w:r>
        <w:rPr>
          <w:rFonts w:eastAsia="Calibri" w:cs="Times New Roman" w:ascii="Times New Roman" w:hAnsi="Times New Roman"/>
          <w:sz w:val="24"/>
          <w:szCs w:val="24"/>
          <w:lang w:val="kk-KZ"/>
        </w:rPr>
        <w:t xml:space="preserve">2013 жылғы 3 қыркүйектегі Мемлекеттік аудитті жүзеге асыру тұжырымдамасы. URL: </w:t>
      </w:r>
      <w:hyperlink r:id="rId12">
        <w:r>
          <w:rPr>
            <w:rStyle w:val="Style3"/>
            <w:rFonts w:eastAsia="Calibri" w:cs="Times New Roman" w:ascii="Times New Roman" w:hAnsi="Times New Roman"/>
            <w:color w:val="0000FF"/>
            <w:sz w:val="24"/>
            <w:szCs w:val="24"/>
            <w:u w:val="single"/>
            <w:lang w:val="kk-KZ"/>
          </w:rPr>
          <w:t>https://adilet.zan.kz/rus/docs/U1300000634.-</w:t>
        </w:r>
      </w:hyperlink>
      <w:r>
        <w:rPr>
          <w:rFonts w:eastAsia="Calibri" w:cs="Times New Roman" w:ascii="Times New Roman" w:hAnsi="Times New Roman"/>
          <w:sz w:val="24"/>
          <w:szCs w:val="24"/>
          <w:lang w:val="kk-KZ"/>
        </w:rPr>
        <w:t xml:space="preserve">  Қаралған  күні: 07.02.2025.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12. «Мемлекеттік органдардың кадрлық ресурстарын басқару қызметінің мәртебесін арттыру» зерттеу нәтижелері туралы есеп. - Мемлекеттік қызмет саласындағы Astana Hub, 2021 ж.URL: </w:t>
      </w:r>
      <w:hyperlink r:id="rId13" w:tgtFrame="_new">
        <w:r>
          <w:rPr>
            <w:rStyle w:val="Style3"/>
            <w:rFonts w:eastAsia="Calibri" w:cs="Times New Roman" w:ascii="Times New Roman" w:hAnsi="Times New Roman"/>
            <w:color w:val="0000FF"/>
            <w:sz w:val="24"/>
            <w:szCs w:val="24"/>
            <w:u w:val="single"/>
            <w:lang w:val="kk-KZ"/>
          </w:rPr>
          <w:t>https://surl.li/oeswbe</w:t>
        </w:r>
      </w:hyperlink>
      <w:r>
        <w:rPr>
          <w:rFonts w:eastAsia="Calibri" w:cs="Times New Roman" w:ascii="Times New Roman" w:hAnsi="Times New Roman"/>
          <w:sz w:val="24"/>
          <w:szCs w:val="24"/>
          <w:lang w:val="kk-KZ"/>
        </w:rPr>
        <w:t>. - Қаралған  күні:   07.02.2025.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rPr>
        <w:t>1</w:t>
      </w:r>
      <w:r>
        <w:rPr>
          <w:rFonts w:eastAsia="Calibri" w:cs="Times New Roman" w:ascii="Times New Roman" w:hAnsi="Times New Roman"/>
          <w:sz w:val="24"/>
          <w:szCs w:val="24"/>
          <w:lang w:val="kk-KZ"/>
        </w:rPr>
        <w:t>3</w:t>
      </w:r>
      <w:r>
        <w:rPr>
          <w:rFonts w:eastAsia="Calibri" w:cs="Times New Roman" w:ascii="Times New Roman" w:hAnsi="Times New Roman"/>
          <w:sz w:val="24"/>
          <w:szCs w:val="24"/>
        </w:rPr>
        <w:t xml:space="preserve">. Шаймерденова Т. А., Жетписбаева М. К. Мотивационные аспекты государственных служащих в Казахстане в условиях цифровизации экономики // Государственный аудит. – 2024. - № 1 (62). - С. 111-125. DOI </w:t>
      </w:r>
      <w:hyperlink r:id="rId14" w:tgtFrame="_new">
        <w:r>
          <w:rPr>
            <w:rStyle w:val="Style3"/>
            <w:rFonts w:eastAsia="Calibri" w:cs="Times New Roman" w:ascii="Times New Roman" w:hAnsi="Times New Roman"/>
            <w:sz w:val="24"/>
            <w:szCs w:val="24"/>
          </w:rPr>
          <w:t>10.55871/2072-9847-2024-62-1-111-125</w:t>
        </w:r>
      </w:hyperlink>
      <w:r>
        <w:rPr>
          <w:rFonts w:eastAsia="Calibri" w:cs="Times New Roman" w:ascii="Times New Roman" w:hAnsi="Times New Roman"/>
          <w:sz w:val="24"/>
          <w:szCs w:val="24"/>
        </w:rPr>
        <w:t>.</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rPr>
        <w:t>1</w:t>
      </w:r>
      <w:r>
        <w:rPr>
          <w:rFonts w:eastAsia="Calibri" w:cs="Times New Roman" w:ascii="Times New Roman" w:hAnsi="Times New Roman"/>
          <w:sz w:val="24"/>
          <w:szCs w:val="24"/>
          <w:lang w:val="kk-KZ"/>
        </w:rPr>
        <w:t>4</w:t>
      </w:r>
      <w:r>
        <w:rPr>
          <w:rFonts w:eastAsia="Calibri" w:cs="Times New Roman" w:ascii="Times New Roman" w:hAnsi="Times New Roman"/>
          <w:sz w:val="24"/>
          <w:szCs w:val="24"/>
        </w:rPr>
        <w:t xml:space="preserve">. </w:t>
      </w:r>
      <w:r>
        <w:rPr>
          <w:rFonts w:eastAsia="Calibri" w:cs="Times New Roman" w:ascii="Times New Roman" w:hAnsi="Times New Roman"/>
          <w:sz w:val="24"/>
          <w:szCs w:val="24"/>
          <w:lang w:val="kk-KZ"/>
        </w:rPr>
        <w:t xml:space="preserve">Қазақстан Республикасы Сыбайлас жемқорлыққа қарсы іс-қимыл агенттігінің ресми сайты. URL: </w:t>
      </w:r>
      <w:hyperlink r:id="rId15" w:tgtFrame="_new">
        <w:r>
          <w:rPr>
            <w:rStyle w:val="Style3"/>
            <w:rFonts w:eastAsia="Calibri" w:cs="Times New Roman" w:ascii="Times New Roman" w:hAnsi="Times New Roman"/>
            <w:color w:val="0000FF"/>
            <w:sz w:val="24"/>
            <w:szCs w:val="24"/>
            <w:u w:val="single"/>
            <w:lang w:val="kk-KZ"/>
          </w:rPr>
          <w:t>https://www.gov.kz/memleket/entities/anticorruption?lang=ru</w:t>
        </w:r>
      </w:hyperlink>
      <w:r>
        <w:rPr>
          <w:rFonts w:eastAsia="Calibri" w:cs="Times New Roman" w:ascii="Times New Roman" w:hAnsi="Times New Roman"/>
          <w:sz w:val="24"/>
          <w:szCs w:val="24"/>
          <w:lang w:val="kk-KZ"/>
        </w:rPr>
        <w:t>.- Қаралған  күні:   08.02.2025.</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15. Қазақстан Республикасы Стратегиялық жоспарлау және реформалар агенттігінің Ұлттық статистика бюросы // Қол жеткізу режимі: https://stat.gov.kz/ru/ - Қаралған  күні:   07.02.2025.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16. 2013 жылғы 3 қыркүйектегі Мемлекеттік аудитті жүзеге асыру тұжырымдамасы. URL: </w:t>
      </w:r>
      <w:hyperlink r:id="rId16" w:tgtFrame="_new">
        <w:r>
          <w:rPr>
            <w:rStyle w:val="Style3"/>
            <w:rFonts w:eastAsia="Calibri" w:cs="Times New Roman" w:ascii="Times New Roman" w:hAnsi="Times New Roman"/>
            <w:color w:val="0000FF"/>
            <w:sz w:val="24"/>
            <w:szCs w:val="24"/>
            <w:u w:val="single"/>
            <w:lang w:val="kk-KZ"/>
          </w:rPr>
          <w:t>https://adilet.zan.kz/rus/docs/U1300000634</w:t>
        </w:r>
      </w:hyperlink>
      <w:r>
        <w:rPr>
          <w:rFonts w:eastAsia="Calibri" w:cs="Times New Roman" w:ascii="Times New Roman" w:hAnsi="Times New Roman"/>
          <w:sz w:val="24"/>
          <w:szCs w:val="24"/>
          <w:lang w:val="kk-KZ"/>
        </w:rPr>
        <w:t>.- Қаралған  күні:  08.02.2025.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color w:val="0F1115"/>
          <w:sz w:val="24"/>
          <w:szCs w:val="24"/>
          <w:lang w:val="kk-KZ"/>
        </w:rPr>
      </w:pPr>
      <w:r>
        <w:rPr>
          <w:rFonts w:eastAsia="Calibri" w:cs="Times New Roman" w:ascii="Times New Roman" w:hAnsi="Times New Roman"/>
          <w:sz w:val="24"/>
          <w:szCs w:val="24"/>
          <w:lang w:val="kk-KZ"/>
        </w:rPr>
        <w:t xml:space="preserve">17. </w:t>
      </w:r>
      <w:r>
        <w:rPr>
          <w:rFonts w:eastAsia="Calibri" w:cs="Times New Roman" w:ascii="Times New Roman" w:hAnsi="Times New Roman"/>
          <w:color w:val="0F1115"/>
          <w:sz w:val="24"/>
          <w:szCs w:val="24"/>
          <w:lang w:val="en-US"/>
        </w:rPr>
        <w:t>OECD Recommendation of the Council on Public Service Leadership and Capability. – URL: </w:t>
      </w:r>
      <w:hyperlink r:id="rId17" w:tgtFrame="_blank">
        <w:r>
          <w:rPr>
            <w:rStyle w:val="Style3"/>
            <w:rFonts w:eastAsia="Calibri" w:cs="Times New Roman" w:ascii="Times New Roman" w:hAnsi="Times New Roman"/>
            <w:color w:val="0000FF"/>
            <w:sz w:val="24"/>
            <w:szCs w:val="24"/>
            <w:u w:val="single"/>
            <w:lang w:val="en-US"/>
          </w:rPr>
          <w:t>https://legalinstruments.oecd.org/en/instruments/OECD-LEGAL-0445</w:t>
        </w:r>
      </w:hyperlink>
      <w:r>
        <w:rPr>
          <w:rFonts w:eastAsia="Calibri" w:cs="Times New Roman" w:ascii="Times New Roman" w:hAnsi="Times New Roman"/>
          <w:color w:val="0F1115"/>
          <w:sz w:val="24"/>
          <w:szCs w:val="24"/>
          <w:lang w:val="en-US"/>
        </w:rPr>
        <w:t> </w:t>
      </w:r>
      <w:r>
        <w:rPr>
          <w:rFonts w:eastAsia="Calibri" w:cs="Times New Roman" w:ascii="Times New Roman" w:hAnsi="Times New Roman"/>
          <w:sz w:val="24"/>
          <w:szCs w:val="24"/>
          <w:lang w:val="kk-KZ"/>
        </w:rPr>
        <w:t>Қаралған  күні:  08.02.2025.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color w:val="0F1115"/>
          <w:sz w:val="24"/>
          <w:szCs w:val="24"/>
          <w:lang w:val="kk-KZ"/>
        </w:rPr>
        <w:t xml:space="preserve">18. </w:t>
      </w:r>
      <w:r>
        <w:rPr>
          <w:rFonts w:eastAsia="Calibri" w:cs="Times New Roman" w:ascii="Times New Roman" w:hAnsi="Times New Roman"/>
          <w:color w:val="0F1115"/>
          <w:sz w:val="24"/>
          <w:szCs w:val="24"/>
          <w:lang w:val="en-US"/>
        </w:rPr>
        <w:t>United Nations Department of Economic and Social Affairs Working Together: Integration, Institutions and the Sustainable Development Goals. World Public Sector Report</w:t>
      </w:r>
      <w:r>
        <w:rPr>
          <w:rFonts w:eastAsia="Calibri" w:cs="Times New Roman" w:ascii="Times New Roman" w:hAnsi="Times New Roman"/>
          <w:color w:val="0F1115"/>
          <w:sz w:val="24"/>
          <w:szCs w:val="24"/>
          <w:lang w:val="kk-KZ"/>
        </w:rPr>
        <w:t>.</w:t>
      </w:r>
      <w:r>
        <w:rPr>
          <w:rFonts w:eastAsia="Calibri" w:cs="Times New Roman" w:ascii="Times New Roman" w:hAnsi="Times New Roman"/>
          <w:color w:val="0F1115"/>
          <w:sz w:val="24"/>
          <w:szCs w:val="24"/>
          <w:lang w:val="en-US"/>
        </w:rPr>
        <w:t xml:space="preserve"> – URL: </w:t>
      </w:r>
      <w:hyperlink r:id="rId18" w:tgtFrame="_blank">
        <w:r>
          <w:rPr>
            <w:rStyle w:val="Style3"/>
            <w:rFonts w:eastAsia="Calibri" w:cs="Times New Roman" w:ascii="Times New Roman" w:hAnsi="Times New Roman"/>
            <w:color w:val="0000FF"/>
            <w:sz w:val="24"/>
            <w:szCs w:val="24"/>
            <w:u w:val="single"/>
            <w:lang w:val="en-US"/>
          </w:rPr>
          <w:t>https://publicadministration.un.org/en/Research/World-Public-Sector-Reports</w:t>
        </w:r>
      </w:hyperlink>
      <w:r>
        <w:rPr>
          <w:rFonts w:eastAsia="Calibri" w:cs="Times New Roman" w:ascii="Times New Roman" w:hAnsi="Times New Roman"/>
          <w:color w:val="0F1115"/>
          <w:sz w:val="24"/>
          <w:szCs w:val="24"/>
          <w:lang w:val="en-US"/>
        </w:rPr>
        <w:t>. </w:t>
      </w:r>
      <w:r>
        <w:rPr>
          <w:rFonts w:eastAsia="Calibri" w:cs="Times New Roman" w:ascii="Times New Roman" w:hAnsi="Times New Roman"/>
          <w:sz w:val="24"/>
          <w:szCs w:val="24"/>
          <w:lang w:val="kk-KZ"/>
        </w:rPr>
        <w:t>Қаралған  күні:  08.02.2025.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19.</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lang w:val="kk-KZ"/>
        </w:rPr>
        <w:t xml:space="preserve">Қазақстан Республикасы Қаржы министрлігінің ресми сайты. URL: </w:t>
      </w:r>
      <w:hyperlink r:id="rId19" w:tgtFrame="_new">
        <w:r>
          <w:rPr>
            <w:rStyle w:val="Style3"/>
            <w:rFonts w:eastAsia="Calibri" w:cs="Times New Roman" w:ascii="Times New Roman" w:hAnsi="Times New Roman"/>
            <w:color w:val="0000FF"/>
            <w:sz w:val="24"/>
            <w:szCs w:val="24"/>
            <w:u w:val="single"/>
            <w:lang w:val="kk-KZ"/>
          </w:rPr>
          <w:t>https://www.gov.kz/memleket/entities/minfin?lang=ru</w:t>
        </w:r>
      </w:hyperlink>
      <w:r>
        <w:rPr>
          <w:rFonts w:eastAsia="Calibri" w:cs="Times New Roman" w:ascii="Times New Roman" w:hAnsi="Times New Roman"/>
          <w:sz w:val="24"/>
          <w:szCs w:val="24"/>
          <w:lang w:val="kk-KZ"/>
        </w:rPr>
        <w:t>.- Қаралған  күні:   08.02.2025.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20. Қазақстан Республикасы Цифрлық даму, инновациялар және аэроғарыш өнеркәсібі министрлігінің ресми сайты. URL: </w:t>
      </w:r>
      <w:hyperlink r:id="rId20">
        <w:r>
          <w:rPr>
            <w:rStyle w:val="Style3"/>
            <w:rFonts w:eastAsia="Calibri" w:cs="Times New Roman" w:ascii="Times New Roman" w:hAnsi="Times New Roman"/>
            <w:color w:val="0000FF"/>
            <w:sz w:val="24"/>
            <w:szCs w:val="24"/>
            <w:u w:val="single"/>
            <w:lang w:val="kk-KZ"/>
          </w:rPr>
          <w:t>https://www.gov.kz/memleket/entities/mdai.-</w:t>
        </w:r>
      </w:hyperlink>
      <w:r>
        <w:rPr>
          <w:rFonts w:eastAsia="Calibri" w:cs="Times New Roman" w:ascii="Times New Roman" w:hAnsi="Times New Roman"/>
          <w:sz w:val="24"/>
          <w:szCs w:val="24"/>
          <w:lang w:val="kk-KZ"/>
        </w:rPr>
        <w:t xml:space="preserve"> Қаралған  күні:   09.02.2025.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21. Қазақстан Республикасы Еңбек және халықты әлеуметтік қорғау министрлігінің ресми сайты. URL: </w:t>
      </w:r>
      <w:hyperlink r:id="rId21" w:tgtFrame="_new">
        <w:r>
          <w:rPr>
            <w:rStyle w:val="Style3"/>
            <w:rFonts w:eastAsia="Calibri" w:cs="Times New Roman" w:ascii="Times New Roman" w:hAnsi="Times New Roman"/>
            <w:color w:val="0000FF"/>
            <w:sz w:val="24"/>
            <w:szCs w:val="24"/>
            <w:u w:val="single"/>
            <w:lang w:val="kk-KZ"/>
          </w:rPr>
          <w:t>https://www.gov.kz/memleket/entities/enbek</w:t>
        </w:r>
      </w:hyperlink>
      <w:r>
        <w:rPr>
          <w:rFonts w:eastAsia="Calibri" w:cs="Times New Roman" w:ascii="Times New Roman" w:hAnsi="Times New Roman"/>
          <w:sz w:val="24"/>
          <w:szCs w:val="24"/>
          <w:lang w:val="kk-KZ"/>
        </w:rPr>
        <w:t xml:space="preserve"> .- Қаралған  күні:   09.02.2025.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22. Қазақстан Республикасы Жоғарғы есеп палатасының ресми сайты.URL: </w:t>
      </w:r>
      <w:hyperlink r:id="rId22">
        <w:r>
          <w:rPr>
            <w:rStyle w:val="Style3"/>
            <w:rFonts w:eastAsia="Calibri" w:cs="Times New Roman" w:ascii="Times New Roman" w:hAnsi="Times New Roman"/>
            <w:color w:val="0000FF"/>
            <w:sz w:val="24"/>
            <w:szCs w:val="24"/>
            <w:u w:val="single"/>
            <w:lang w:val="kk-KZ"/>
          </w:rPr>
          <w:t>https://www.gov.kz/memleket/entities/esep?lang=ru.-</w:t>
        </w:r>
      </w:hyperlink>
      <w:r>
        <w:rPr>
          <w:rFonts w:eastAsia="Calibri" w:cs="Times New Roman" w:ascii="Times New Roman" w:hAnsi="Times New Roman"/>
          <w:sz w:val="24"/>
          <w:szCs w:val="24"/>
          <w:lang w:val="kk-KZ"/>
        </w:rPr>
        <w:t xml:space="preserve">  Қаралған  күні:   10.02.2025.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23. Қазақстан Республикасы Еңбек және халықты әлеуметтік қорғау министрлігінің ресми сайты. URL: </w:t>
      </w:r>
      <w:hyperlink r:id="rId23" w:tgtFrame="_new">
        <w:r>
          <w:rPr>
            <w:rStyle w:val="Style3"/>
            <w:rFonts w:eastAsia="Calibri" w:cs="Times New Roman" w:ascii="Times New Roman" w:hAnsi="Times New Roman"/>
            <w:color w:val="0000FF"/>
            <w:sz w:val="24"/>
            <w:szCs w:val="24"/>
            <w:u w:val="single"/>
            <w:lang w:val="kk-KZ"/>
          </w:rPr>
          <w:t>https://www.gov.kz/memleket/entities/enbek</w:t>
        </w:r>
      </w:hyperlink>
      <w:r>
        <w:rPr>
          <w:rFonts w:eastAsia="Calibri" w:cs="Times New Roman" w:ascii="Times New Roman" w:hAnsi="Times New Roman"/>
          <w:sz w:val="24"/>
          <w:szCs w:val="24"/>
          <w:lang w:val="kk-KZ"/>
        </w:rPr>
        <w:t>.- Қаралған  күні:    10.02.2025.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24. «Мемлекеттік аудит және қаржылық бақылау туралы» Қазақстан Республикасының 2015 жылғы 12 қарашадағы Заңы. URL: </w:t>
      </w:r>
      <w:hyperlink r:id="rId24" w:tgtFrame="_new">
        <w:r>
          <w:rPr>
            <w:rStyle w:val="Style3"/>
            <w:rFonts w:eastAsia="Calibri" w:cs="Times New Roman" w:ascii="Times New Roman" w:hAnsi="Times New Roman"/>
            <w:color w:val="0000FF"/>
            <w:sz w:val="24"/>
            <w:szCs w:val="24"/>
            <w:u w:val="single"/>
            <w:lang w:val="kk-KZ"/>
          </w:rPr>
          <w:t>https://adilet.zan.kz/rus/docs/Z1500000392</w:t>
        </w:r>
      </w:hyperlink>
      <w:r>
        <w:rPr>
          <w:rFonts w:eastAsia="Calibri" w:cs="Times New Roman" w:ascii="Times New Roman" w:hAnsi="Times New Roman"/>
          <w:sz w:val="24"/>
          <w:szCs w:val="24"/>
          <w:lang w:val="kk-KZ"/>
        </w:rPr>
        <w:t>.- Қаралған  күні:10.02.2025.</w:t>
      </w:r>
    </w:p>
    <w:p>
      <w:pPr>
        <w:pStyle w:val="Normal"/>
        <w:tabs>
          <w:tab w:val="clear" w:pos="708"/>
          <w:tab w:val="left" w:pos="709" w:leader="none"/>
          <w:tab w:val="left" w:pos="851" w:leader="none"/>
          <w:tab w:val="left" w:pos="993"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spacing w:lineRule="auto" w:line="240" w:before="0" w:after="0"/>
        <w:contextualSpacing/>
        <w:jc w:val="center"/>
        <w:rPr>
          <w:rFonts w:ascii="Times New Roman" w:hAnsi="Times New Roman" w:eastAsia="Times New Roman" w:cs="Times New Roman"/>
          <w:b/>
          <w:bCs/>
          <w:color w:val="000000"/>
          <w:sz w:val="24"/>
          <w:szCs w:val="24"/>
          <w:lang w:val="en-US" w:eastAsia="ru-RU"/>
        </w:rPr>
      </w:pPr>
      <w:r>
        <w:rPr>
          <w:rFonts w:eastAsia="Times New Roman" w:cs="Times New Roman" w:ascii="Times New Roman" w:hAnsi="Times New Roman"/>
          <w:b/>
          <w:bCs/>
          <w:color w:val="000000"/>
          <w:sz w:val="24"/>
          <w:szCs w:val="24"/>
          <w:lang w:val="en-US" w:eastAsia="ru-RU"/>
        </w:rPr>
        <w:t>References</w:t>
      </w:r>
    </w:p>
    <w:p>
      <w:pPr>
        <w:pStyle w:val="Normal"/>
        <w:spacing w:lineRule="auto" w:line="240" w:before="0" w:after="0"/>
        <w:contextualSpacing/>
        <w:jc w:val="center"/>
        <w:rPr>
          <w:rFonts w:ascii="Times New Roman" w:hAnsi="Times New Roman" w:eastAsia="Times New Roman" w:cs="Times New Roman"/>
          <w:b/>
          <w:bCs/>
          <w:color w:val="000000"/>
          <w:sz w:val="24"/>
          <w:szCs w:val="24"/>
          <w:lang w:val="en-US" w:eastAsia="ru-RU"/>
        </w:rPr>
      </w:pPr>
      <w:r>
        <w:rPr>
          <w:rFonts w:eastAsia="Times New Roman" w:cs="Times New Roman" w:ascii="Times New Roman" w:hAnsi="Times New Roman"/>
          <w:b/>
          <w:bCs/>
          <w:color w:val="000000"/>
          <w:sz w:val="24"/>
          <w:szCs w:val="24"/>
          <w:lang w:val="en-US" w:eastAsia="ru-RU"/>
        </w:rPr>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 Katkovskaja I. V. Audit kadrovyh processov kak instrument ocenki sistemy upravlenija personalom organizacii // Upravlenie personalom i razvitie organizacij. - 2017. - № 1. - S. 65-66. [in Russian]</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2. Baharev V. V., Demenenko I. A. Tehnologija kadrovogo audita v strategii upravlenija chelovecheskimi resursami // Al'manah «Krym». - 2022. -№ 31. - S. 18-25. [in Russian]</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3. Sergeev L. I. Gosudarstvennyj audit: uchebnik dlja vuzov. - 2-e izd., pererab. i dop. - M.: Jurajt, 2025. - 373 s. ISBN 978-5-534-16434-3. [in Russian]</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4. Қazaқstan Respublikasy Prezidentіnің Қ.-Zh. Қ.Toқaevtyn Қazaқstan halқyna 2024 zhylғy 2 қyrkүjektegі zholdauy. URL: https://www.akorda.kz/ru/poslanie-glavy-gosudarstva-kasym-zhomarta-tokaeva-narodu-kazahstana-spravedlivyy-kazahstan-zakon-i-poryadok-ekonomicheskiy-rost-obshchestvennyy-optimizm-285014.-  Қaralғan kүnі: 07.02.2025. [in Kazakh]</w:t>
      </w:r>
    </w:p>
    <w:p>
      <w:pPr>
        <w:pStyle w:val="Normal"/>
        <w:spacing w:lineRule="auto" w:line="240" w:before="0" w:after="0"/>
        <w:jc w:val="both"/>
        <w:rPr>
          <w:rFonts w:ascii="Times New Roman" w:hAnsi="Times New Roman" w:eastAsia="Calibri" w:cs="Times New Roman"/>
          <w:sz w:val="24"/>
          <w:szCs w:val="24"/>
          <w:lang w:val="en-US"/>
        </w:rPr>
      </w:pPr>
      <w:r>
        <w:rPr>
          <w:rFonts w:eastAsia="Calibri" w:cs="Times New Roman" w:ascii="Times New Roman" w:hAnsi="Times New Roman"/>
          <w:sz w:val="24"/>
          <w:szCs w:val="24"/>
          <w:lang w:val="kk-KZ"/>
        </w:rPr>
        <w:t>5.</w:t>
      </w:r>
      <w:r>
        <w:rPr>
          <w:rFonts w:eastAsia="Calibri" w:cs="Times New Roman" w:ascii="Times New Roman" w:hAnsi="Times New Roman"/>
          <w:sz w:val="24"/>
          <w:szCs w:val="24"/>
          <w:lang w:val="en-US"/>
        </w:rPr>
        <w:t xml:space="preserve">  Bratton, J., Gold, J. Human resource management: Theory and practice. 5th ed. - London: Palgrave Macmillan, 2012. - 592 p.</w:t>
      </w:r>
    </w:p>
    <w:p>
      <w:pPr>
        <w:pStyle w:val="Normal"/>
        <w:shd w:val="clear" w:color="auto" w:fill="FFFFFF"/>
        <w:spacing w:lineRule="auto" w:line="240" w:before="0" w:after="0"/>
        <w:jc w:val="both"/>
        <w:rPr>
          <w:rFonts w:ascii="Montserrat" w:hAnsi="Montserrat" w:eastAsia="Times New Roman" w:cs="Times New Roman"/>
          <w:sz w:val="27"/>
          <w:szCs w:val="27"/>
          <w:lang w:eastAsia="ru-RU"/>
        </w:rPr>
      </w:pPr>
      <w:r>
        <w:rPr>
          <w:rFonts w:eastAsia="Calibri" w:cs="Times New Roman" w:ascii="Times New Roman" w:hAnsi="Times New Roman"/>
          <w:sz w:val="24"/>
          <w:szCs w:val="24"/>
          <w:lang w:val="kk-KZ"/>
        </w:rPr>
        <w:t>6.</w:t>
      </w:r>
      <w:r>
        <w:rPr>
          <w:rFonts w:eastAsia="Calibri" w:cs="Times New Roman" w:ascii="Times New Roman" w:hAnsi="Times New Roman"/>
          <w:sz w:val="24"/>
          <w:szCs w:val="24"/>
          <w:lang w:val="en-US"/>
        </w:rPr>
        <w:t xml:space="preserve">  Lawler, E. E., Boudreau, J. W. Global trends in human resource management: A twenty-year analysis. - Stanford: Stanford University Press, 2015.- </w:t>
      </w:r>
      <w:r>
        <w:rPr>
          <w:rFonts w:eastAsia="Calibri" w:cs="Times New Roman" w:ascii="Times New Roman" w:hAnsi="Times New Roman"/>
          <w:sz w:val="24"/>
          <w:szCs w:val="24"/>
        </w:rPr>
        <w:t xml:space="preserve">216 </w:t>
      </w:r>
      <w:r>
        <w:rPr>
          <w:rFonts w:eastAsia="Calibri" w:cs="Times New Roman" w:ascii="Times New Roman" w:hAnsi="Times New Roman"/>
          <w:sz w:val="24"/>
          <w:szCs w:val="24"/>
          <w:lang w:val="en-US"/>
        </w:rPr>
        <w:t>p</w:t>
      </w:r>
      <w:r>
        <w:rPr>
          <w:rFonts w:eastAsia="Calibri" w:cs="Times New Roman" w:ascii="Times New Roman" w:hAnsi="Times New Roman"/>
          <w:sz w:val="24"/>
          <w:szCs w:val="24"/>
        </w:rPr>
        <w:t>.</w:t>
      </w:r>
      <w:r>
        <w:rPr>
          <w:rFonts w:eastAsia="Times New Roman" w:cs="Times New Roman" w:ascii="Montserrat" w:hAnsi="Montserrat"/>
          <w:sz w:val="27"/>
          <w:szCs w:val="27"/>
          <w:lang w:eastAsia="ru-RU"/>
        </w:rPr>
        <w:t xml:space="preserve"> </w:t>
      </w:r>
      <w:r>
        <w:rPr>
          <w:rFonts w:eastAsia="Times New Roman" w:cs="Times New Roman" w:ascii="Times New Roman" w:hAnsi="Times New Roman"/>
          <w:sz w:val="24"/>
          <w:szCs w:val="24"/>
          <w:lang w:val="en-US" w:eastAsia="ru-RU"/>
        </w:rPr>
        <w:t>ISBN </w:t>
      </w:r>
      <w:r>
        <w:rPr>
          <w:rFonts w:eastAsia="Times New Roman" w:cs="Times New Roman" w:ascii="Times New Roman" w:hAnsi="Times New Roman"/>
          <w:sz w:val="24"/>
          <w:szCs w:val="24"/>
          <w:lang w:eastAsia="ru-RU"/>
        </w:rPr>
        <w:t>9780804791298.</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7</w:t>
      </w:r>
      <w:r>
        <w:rPr>
          <w:rFonts w:eastAsia="Calibri" w:cs="Times New Roman" w:ascii="Times New Roman" w:hAnsi="Times New Roman"/>
          <w:sz w:val="24"/>
          <w:szCs w:val="24"/>
        </w:rPr>
        <w:t xml:space="preserve">. Саунин А. Н. Государственный аудит: учебное пособие. - 2-е изд., стер. - М.: Изд-во МГУ, 2019. - 480 с. </w:t>
      </w:r>
      <w:r>
        <w:rPr>
          <w:rFonts w:eastAsia="Calibri" w:cs="Times New Roman" w:ascii="Times New Roman" w:hAnsi="Times New Roman"/>
          <w:sz w:val="24"/>
          <w:szCs w:val="24"/>
          <w:lang w:val="en-US"/>
        </w:rPr>
        <w:t>ISBN</w:t>
      </w:r>
      <w:r>
        <w:rPr>
          <w:rFonts w:eastAsia="Calibri" w:cs="Times New Roman" w:ascii="Times New Roman" w:hAnsi="Times New Roman"/>
          <w:sz w:val="24"/>
          <w:szCs w:val="24"/>
        </w:rPr>
        <w:t xml:space="preserve"> 978-5-19-011412-6.</w:t>
      </w:r>
      <w:r>
        <w:rPr>
          <w:rFonts w:eastAsia="Times New Roman" w:cs="Times New Roman" w:ascii="Times New Roman" w:hAnsi="Times New Roman"/>
          <w:bCs/>
          <w:color w:val="000000"/>
          <w:sz w:val="24"/>
          <w:szCs w:val="24"/>
          <w:lang w:eastAsia="ru-RU"/>
        </w:rPr>
        <w:t xml:space="preserve"> </w:t>
      </w:r>
      <w:r>
        <w:rPr>
          <w:rFonts w:eastAsia="Calibri" w:cs="Times New Roman" w:ascii="Times New Roman" w:hAnsi="Times New Roman"/>
          <w:bCs/>
          <w:sz w:val="24"/>
          <w:szCs w:val="24"/>
        </w:rPr>
        <w:t>[</w:t>
      </w:r>
      <w:r>
        <w:rPr>
          <w:rFonts w:eastAsia="Calibri" w:cs="Times New Roman" w:ascii="Times New Roman" w:hAnsi="Times New Roman"/>
          <w:bCs/>
          <w:sz w:val="24"/>
          <w:szCs w:val="24"/>
          <w:lang w:val="en-US"/>
        </w:rPr>
        <w:t>in</w:t>
      </w:r>
      <w:r>
        <w:rPr>
          <w:rFonts w:eastAsia="Calibri" w:cs="Times New Roman" w:ascii="Times New Roman" w:hAnsi="Times New Roman"/>
          <w:bCs/>
          <w:sz w:val="24"/>
          <w:szCs w:val="24"/>
        </w:rPr>
        <w:t xml:space="preserve"> </w:t>
      </w:r>
      <w:r>
        <w:rPr>
          <w:rFonts w:eastAsia="Calibri" w:cs="Times New Roman" w:ascii="Times New Roman" w:hAnsi="Times New Roman"/>
          <w:bCs/>
          <w:sz w:val="24"/>
          <w:szCs w:val="24"/>
          <w:lang w:val="en-US"/>
        </w:rPr>
        <w:t>Russian</w:t>
      </w:r>
      <w:r>
        <w:rPr>
          <w:rFonts w:eastAsia="Calibri" w:cs="Times New Roman" w:ascii="Times New Roman" w:hAnsi="Times New Roman"/>
          <w:bCs/>
          <w:sz w:val="24"/>
          <w:szCs w:val="24"/>
        </w:rPr>
        <w:t>]</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8</w:t>
      </w:r>
      <w:r>
        <w:rPr>
          <w:rFonts w:eastAsia="Calibri" w:cs="Times New Roman" w:ascii="Times New Roman" w:hAnsi="Times New Roman"/>
          <w:sz w:val="24"/>
          <w:szCs w:val="24"/>
        </w:rPr>
        <w:t xml:space="preserve">. Климанов В. В., Казакова С. М., Яговкина В. А. Инструменты межрегионального взаимодействия в системе государственного управления // Регионология. - 2021. - № 2. - С. 250-282.  </w:t>
      </w:r>
      <w:hyperlink r:id="rId25" w:tgtFrame="_new">
        <w:r>
          <w:rPr>
            <w:rStyle w:val="Style3"/>
            <w:rFonts w:eastAsia="Calibri" w:cs="Times New Roman" w:ascii="Times New Roman" w:hAnsi="Times New Roman"/>
            <w:sz w:val="24"/>
            <w:szCs w:val="24"/>
            <w:lang w:val="kk-KZ"/>
          </w:rPr>
          <w:t xml:space="preserve"> DOI 10.15507/2413-1407.115.029.202102.250-282</w:t>
        </w:r>
      </w:hyperlink>
      <w:r>
        <w:rPr>
          <w:rFonts w:eastAsia="Calibri" w:cs="Times New Roman" w:ascii="Times New Roman" w:hAnsi="Times New Roman"/>
          <w:sz w:val="24"/>
          <w:szCs w:val="24"/>
          <w:lang w:val="kk-KZ"/>
        </w:rPr>
        <w:t>.</w:t>
      </w:r>
      <w:r>
        <w:rPr>
          <w:rFonts w:eastAsia="Times New Roman" w:cs="Times New Roman" w:ascii="Times New Roman" w:hAnsi="Times New Roman"/>
          <w:bCs/>
          <w:color w:val="000000"/>
          <w:sz w:val="24"/>
          <w:szCs w:val="24"/>
          <w:lang w:val="kk-KZ" w:eastAsia="ru-RU"/>
        </w:rPr>
        <w:t xml:space="preserve"> [in Russian]</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 xml:space="preserve">9. Алибекова Б. А., Алдынгарова Д. Т. Государственный аудит финансовой отчетности // Central Asian Economic Review. - 2018. -№ 4. - С. 72–83. </w:t>
      </w:r>
      <w:r>
        <w:rPr>
          <w:rFonts w:eastAsia="Times New Roman" w:cs="Times New Roman" w:ascii="Times New Roman" w:hAnsi="Times New Roman"/>
          <w:bCs/>
          <w:color w:val="000000"/>
          <w:sz w:val="24"/>
          <w:szCs w:val="24"/>
          <w:lang w:eastAsia="ru-RU"/>
        </w:rPr>
        <w:t>[</w:t>
      </w:r>
      <w:r>
        <w:rPr>
          <w:rFonts w:eastAsia="Times New Roman" w:cs="Times New Roman" w:ascii="Times New Roman" w:hAnsi="Times New Roman"/>
          <w:bCs/>
          <w:color w:val="000000"/>
          <w:sz w:val="24"/>
          <w:szCs w:val="24"/>
          <w:lang w:val="en-US" w:eastAsia="ru-RU"/>
        </w:rPr>
        <w:t>in</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Russian</w:t>
      </w:r>
      <w:r>
        <w:rPr>
          <w:rFonts w:eastAsia="Times New Roman" w:cs="Times New Roman" w:ascii="Times New Roman" w:hAnsi="Times New Roman"/>
          <w:bCs/>
          <w:color w:val="000000"/>
          <w:sz w:val="24"/>
          <w:szCs w:val="24"/>
          <w:lang w:eastAsia="ru-RU"/>
        </w:rPr>
        <w:t>]</w:t>
      </w:r>
    </w:p>
    <w:p>
      <w:pPr>
        <w:pStyle w:val="Normal"/>
        <w:tabs>
          <w:tab w:val="clear" w:pos="708"/>
          <w:tab w:val="left" w:pos="709" w:leader="none"/>
          <w:tab w:val="left" w:pos="851" w:leader="none"/>
        </w:tabs>
        <w:spacing w:lineRule="auto" w:line="24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lang w:val="kk-KZ"/>
        </w:rPr>
        <w:t>10</w:t>
      </w:r>
      <w:r>
        <w:rPr>
          <w:rFonts w:eastAsia="Calibri" w:cs="Times New Roman" w:ascii="Times New Roman" w:hAnsi="Times New Roman"/>
          <w:sz w:val="24"/>
          <w:szCs w:val="24"/>
        </w:rPr>
        <w:t xml:space="preserve">. Бокаев Б. Н., Торебекова З. Т., Жаров Е. К., Бактиярова Б. Н. Анализ моделей государственной службы в зарубежных странах и перспективы их адаптации в Республике Казахстан // Государственный аудит. -2024. - № 1 (62).-С. 167-182. DOI </w:t>
      </w:r>
      <w:hyperlink r:id="rId26">
        <w:r>
          <w:rPr>
            <w:rStyle w:val="Style3"/>
            <w:rFonts w:eastAsia="Calibri" w:cs="Times New Roman" w:ascii="Times New Roman" w:hAnsi="Times New Roman"/>
            <w:sz w:val="24"/>
            <w:szCs w:val="24"/>
          </w:rPr>
          <w:t>10.55871/2072-9847-2024-62-1-167-182</w:t>
        </w:r>
      </w:hyperlink>
      <w:r>
        <w:rPr>
          <w:rFonts w:eastAsia="Calibri" w:cs="Times New Roman" w:ascii="Times New Roman" w:hAnsi="Times New Roman"/>
          <w:sz w:val="24"/>
          <w:szCs w:val="24"/>
        </w:rPr>
        <w:t>.</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in</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Russian</w:t>
      </w:r>
      <w:r>
        <w:rPr>
          <w:rFonts w:eastAsia="Times New Roman" w:cs="Times New Roman" w:ascii="Times New Roman" w:hAnsi="Times New Roman"/>
          <w:bCs/>
          <w:color w:val="000000"/>
          <w:sz w:val="24"/>
          <w:szCs w:val="24"/>
          <w:lang w:eastAsia="ru-RU"/>
        </w:rPr>
        <w:t>]</w:t>
      </w:r>
    </w:p>
    <w:p>
      <w:pPr>
        <w:pStyle w:val="Normal"/>
        <w:spacing w:lineRule="auto" w:line="240" w:before="0" w:after="0"/>
        <w:contextualSpacing/>
        <w:jc w:val="both"/>
        <w:rPr>
          <w:rFonts w:ascii="Times New Roman" w:hAnsi="Times New Roman" w:eastAsia="Times New Roman" w:cs="Times New Roman"/>
          <w:bCs/>
          <w:color w:val="000000"/>
          <w:sz w:val="24"/>
          <w:szCs w:val="24"/>
          <w:lang w:eastAsia="ru-RU"/>
        </w:rPr>
      </w:pPr>
      <w:r>
        <w:rPr>
          <w:rFonts w:cs="Times New Roman" w:ascii="Times New Roman" w:hAnsi="Times New Roman"/>
          <w:sz w:val="24"/>
          <w:szCs w:val="24"/>
        </w:rPr>
        <w:t>11. 2013 zhylғy 3 қyrkүjektegі Memlekettіk audittі zhүzege asyru tұzhyrymdamasy. URL: https://adilet.zan.kz/rus/docs/U1300000634.-  Қaralғan  kүnі: 07.02.2025.</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in</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Kazakh</w:t>
      </w:r>
      <w:r>
        <w:rPr>
          <w:rFonts w:eastAsia="Times New Roman" w:cs="Times New Roman" w:ascii="Times New Roman" w:hAnsi="Times New Roman"/>
          <w:bCs/>
          <w:color w:val="000000"/>
          <w:sz w:val="24"/>
          <w:szCs w:val="24"/>
          <w:lang w:eastAsia="ru-RU"/>
        </w:rPr>
        <w:t>]</w:t>
      </w:r>
    </w:p>
    <w:p>
      <w:pPr>
        <w:pStyle w:val="Normal"/>
        <w:spacing w:lineRule="auto" w:line="240" w:before="0" w:after="0"/>
        <w:contextualSpacing/>
        <w:jc w:val="both"/>
        <w:rPr>
          <w:rFonts w:ascii="Times New Roman" w:hAnsi="Times New Roman" w:eastAsia="Times New Roman" w:cs="Times New Roman"/>
          <w:bCs/>
          <w:color w:val="000000"/>
          <w:sz w:val="24"/>
          <w:szCs w:val="24"/>
          <w:lang w:eastAsia="ru-RU"/>
        </w:rPr>
      </w:pPr>
      <w:r>
        <w:rPr>
          <w:rFonts w:cs="Times New Roman" w:ascii="Times New Roman" w:hAnsi="Times New Roman"/>
          <w:sz w:val="24"/>
          <w:szCs w:val="24"/>
        </w:rPr>
        <w:t>12. «Memlekettіk organdardyң kadrlyқ resurstaryn basқaru қyzmetіnің mәrtebesіn arttyru» zertteu nәtizhelerі turaly esep. - Memlekettіk қyzmet salasyndaғy Astana Hub, 2021 zh.URL: https://surl.li/oeswbe. - Қaralғan  kүnі:   07.02.2025.</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in</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Kazakh</w:t>
      </w:r>
      <w:r>
        <w:rPr>
          <w:rFonts w:eastAsia="Times New Roman" w:cs="Times New Roman" w:ascii="Times New Roman" w:hAnsi="Times New Roman"/>
          <w:bCs/>
          <w:color w:val="000000"/>
          <w:sz w:val="24"/>
          <w:szCs w:val="24"/>
          <w:lang w:eastAsia="ru-RU"/>
        </w:rPr>
        <w:t>]</w:t>
      </w:r>
    </w:p>
    <w:p>
      <w:pPr>
        <w:pStyle w:val="Normal"/>
        <w:spacing w:lineRule="auto" w:line="240" w:before="0" w:after="0"/>
        <w:contextualSpacing/>
        <w:jc w:val="both"/>
        <w:rPr>
          <w:rFonts w:ascii="Times New Roman" w:hAnsi="Times New Roman" w:eastAsia="Times New Roman" w:cs="Times New Roman"/>
          <w:bCs/>
          <w:color w:val="000000"/>
          <w:sz w:val="24"/>
          <w:szCs w:val="24"/>
          <w:lang w:eastAsia="ru-RU"/>
        </w:rPr>
      </w:pPr>
      <w:r>
        <w:rPr>
          <w:rFonts w:cs="Times New Roman" w:ascii="Times New Roman" w:hAnsi="Times New Roman"/>
          <w:sz w:val="24"/>
          <w:szCs w:val="24"/>
        </w:rPr>
        <w:t>13. Shajmerdenova T. A., Zhetpisbaeva M. K. Motivacionnye aspekty gosudarstvennyh sluzhashhih v Kazahstane v uslovijah cifrovizacii jekonomiki // Gosudarstvennyj audit. - 2024. - № 1 (62). - S. 111-125. DOI 10.55871/2072-9847-2024-62-1-111-125.</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in</w:t>
      </w:r>
      <w:r>
        <w:rPr>
          <w:rFonts w:eastAsia="Times New Roman" w:cs="Times New Roman" w:ascii="Times New Roman" w:hAnsi="Times New Roman"/>
          <w:bCs/>
          <w:color w:val="000000"/>
          <w:sz w:val="24"/>
          <w:szCs w:val="24"/>
          <w:lang w:eastAsia="ru-RU"/>
        </w:rPr>
        <w:t xml:space="preserve"> </w:t>
      </w:r>
      <w:r>
        <w:rPr>
          <w:rFonts w:eastAsia="Times New Roman" w:cs="Times New Roman" w:ascii="Times New Roman" w:hAnsi="Times New Roman"/>
          <w:bCs/>
          <w:color w:val="000000"/>
          <w:sz w:val="24"/>
          <w:szCs w:val="24"/>
          <w:lang w:val="en-US" w:eastAsia="ru-RU"/>
        </w:rPr>
        <w:t>Kazakh</w:t>
      </w:r>
      <w:r>
        <w:rPr>
          <w:rFonts w:eastAsia="Times New Roman" w:cs="Times New Roman" w:ascii="Times New Roman" w:hAnsi="Times New Roman"/>
          <w:bCs/>
          <w:color w:val="000000"/>
          <w:sz w:val="24"/>
          <w:szCs w:val="24"/>
          <w:lang w:eastAsia="ru-RU"/>
        </w:rPr>
        <w:t>]</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cs="Times New Roman" w:ascii="Times New Roman" w:hAnsi="Times New Roman"/>
          <w:sz w:val="24"/>
          <w:szCs w:val="24"/>
        </w:rPr>
        <w:t xml:space="preserve">14. Қazaқstan Respublikasy Sybajlas zhemқorlyққa қarsy іs-қimyl agenttіgіnің resmi sajty. </w:t>
      </w:r>
      <w:r>
        <w:rPr>
          <w:rFonts w:cs="Times New Roman" w:ascii="Times New Roman" w:hAnsi="Times New Roman"/>
          <w:sz w:val="24"/>
          <w:szCs w:val="24"/>
          <w:lang w:val="en-US"/>
        </w:rPr>
        <w:t xml:space="preserve">URL: https://www.gov.kz/memleket/entities/anticorruption?lang=ru.- </w:t>
      </w:r>
      <w:r>
        <w:rPr>
          <w:rFonts w:cs="Times New Roman" w:ascii="Times New Roman" w:hAnsi="Times New Roman"/>
          <w:sz w:val="24"/>
          <w:szCs w:val="24"/>
        </w:rPr>
        <w:t>Қ</w:t>
      </w:r>
      <w:r>
        <w:rPr>
          <w:rFonts w:cs="Times New Roman" w:ascii="Times New Roman" w:hAnsi="Times New Roman"/>
          <w:sz w:val="24"/>
          <w:szCs w:val="24"/>
          <w:lang w:val="en-US"/>
        </w:rPr>
        <w:t>aral</w:t>
      </w:r>
      <w:r>
        <w:rPr>
          <w:rFonts w:cs="Times New Roman" w:ascii="Times New Roman" w:hAnsi="Times New Roman"/>
          <w:sz w:val="24"/>
          <w:szCs w:val="24"/>
        </w:rPr>
        <w:t>ғ</w:t>
      </w:r>
      <w:r>
        <w:rPr>
          <w:rFonts w:cs="Times New Roman" w:ascii="Times New Roman" w:hAnsi="Times New Roman"/>
          <w:sz w:val="24"/>
          <w:szCs w:val="24"/>
          <w:lang w:val="en-US"/>
        </w:rPr>
        <w:t>an  k</w:t>
      </w:r>
      <w:r>
        <w:rPr>
          <w:rFonts w:cs="Times New Roman" w:ascii="Times New Roman" w:hAnsi="Times New Roman"/>
          <w:sz w:val="24"/>
          <w:szCs w:val="24"/>
        </w:rPr>
        <w:t>ү</w:t>
      </w:r>
      <w:r>
        <w:rPr>
          <w:rFonts w:cs="Times New Roman" w:ascii="Times New Roman" w:hAnsi="Times New Roman"/>
          <w:sz w:val="24"/>
          <w:szCs w:val="24"/>
          <w:lang w:val="en-US"/>
        </w:rPr>
        <w:t>n</w:t>
      </w:r>
      <w:r>
        <w:rPr>
          <w:rFonts w:cs="Times New Roman" w:ascii="Times New Roman" w:hAnsi="Times New Roman"/>
          <w:sz w:val="24"/>
          <w:szCs w:val="24"/>
        </w:rPr>
        <w:t>і</w:t>
      </w:r>
      <w:r>
        <w:rPr>
          <w:rFonts w:cs="Times New Roman" w:ascii="Times New Roman" w:hAnsi="Times New Roman"/>
          <w:sz w:val="24"/>
          <w:szCs w:val="24"/>
          <w:lang w:val="en-US"/>
        </w:rPr>
        <w:t>:08.02.2025.</w:t>
      </w:r>
      <w:r>
        <w:rPr>
          <w:rFonts w:eastAsia="Times New Roman" w:cs="Times New Roman" w:ascii="Times New Roman" w:hAnsi="Times New Roman"/>
          <w:bCs/>
          <w:color w:val="000000"/>
          <w:sz w:val="24"/>
          <w:szCs w:val="24"/>
          <w:lang w:val="en-US"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cs="Times New Roman" w:ascii="Times New Roman" w:hAnsi="Times New Roman"/>
          <w:sz w:val="24"/>
          <w:szCs w:val="24"/>
          <w:lang w:val="en-US"/>
        </w:rPr>
        <w:t xml:space="preserve">15. </w:t>
      </w:r>
      <w:r>
        <w:rPr>
          <w:rFonts w:cs="Times New Roman" w:ascii="Times New Roman" w:hAnsi="Times New Roman"/>
          <w:sz w:val="24"/>
          <w:szCs w:val="24"/>
        </w:rPr>
        <w:t>Қ</w:t>
      </w:r>
      <w:r>
        <w:rPr>
          <w:rFonts w:cs="Times New Roman" w:ascii="Times New Roman" w:hAnsi="Times New Roman"/>
          <w:sz w:val="24"/>
          <w:szCs w:val="24"/>
          <w:lang w:val="en-US"/>
        </w:rPr>
        <w:t>aza</w:t>
      </w:r>
      <w:r>
        <w:rPr>
          <w:rFonts w:cs="Times New Roman" w:ascii="Times New Roman" w:hAnsi="Times New Roman"/>
          <w:sz w:val="24"/>
          <w:szCs w:val="24"/>
        </w:rPr>
        <w:t>қ</w:t>
      </w:r>
      <w:r>
        <w:rPr>
          <w:rFonts w:cs="Times New Roman" w:ascii="Times New Roman" w:hAnsi="Times New Roman"/>
          <w:sz w:val="24"/>
          <w:szCs w:val="24"/>
          <w:lang w:val="en-US"/>
        </w:rPr>
        <w:t>stan Respublikasy Strategijaly</w:t>
      </w:r>
      <w:r>
        <w:rPr>
          <w:rFonts w:cs="Times New Roman" w:ascii="Times New Roman" w:hAnsi="Times New Roman"/>
          <w:sz w:val="24"/>
          <w:szCs w:val="24"/>
        </w:rPr>
        <w:t>қ</w:t>
      </w:r>
      <w:r>
        <w:rPr>
          <w:rFonts w:cs="Times New Roman" w:ascii="Times New Roman" w:hAnsi="Times New Roman"/>
          <w:sz w:val="24"/>
          <w:szCs w:val="24"/>
          <w:lang w:val="en-US"/>
        </w:rPr>
        <w:t xml:space="preserve"> zhosparlau zh</w:t>
      </w:r>
      <w:r>
        <w:rPr>
          <w:rFonts w:cs="Times New Roman" w:ascii="Times New Roman" w:hAnsi="Times New Roman"/>
          <w:sz w:val="24"/>
          <w:szCs w:val="24"/>
        </w:rPr>
        <w:t>ә</w:t>
      </w:r>
      <w:r>
        <w:rPr>
          <w:rFonts w:cs="Times New Roman" w:ascii="Times New Roman" w:hAnsi="Times New Roman"/>
          <w:sz w:val="24"/>
          <w:szCs w:val="24"/>
          <w:lang w:val="en-US"/>
        </w:rPr>
        <w:t>ne reformalar agentt</w:t>
      </w:r>
      <w:r>
        <w:rPr>
          <w:rFonts w:cs="Times New Roman" w:ascii="Times New Roman" w:hAnsi="Times New Roman"/>
          <w:sz w:val="24"/>
          <w:szCs w:val="24"/>
        </w:rPr>
        <w:t>і</w:t>
      </w:r>
      <w:r>
        <w:rPr>
          <w:rFonts w:cs="Times New Roman" w:ascii="Times New Roman" w:hAnsi="Times New Roman"/>
          <w:sz w:val="24"/>
          <w:szCs w:val="24"/>
          <w:lang w:val="en-US"/>
        </w:rPr>
        <w:t>g</w:t>
      </w:r>
      <w:r>
        <w:rPr>
          <w:rFonts w:cs="Times New Roman" w:ascii="Times New Roman" w:hAnsi="Times New Roman"/>
          <w:sz w:val="24"/>
          <w:szCs w:val="24"/>
        </w:rPr>
        <w:t>і</w:t>
      </w:r>
      <w:r>
        <w:rPr>
          <w:rFonts w:cs="Times New Roman" w:ascii="Times New Roman" w:hAnsi="Times New Roman"/>
          <w:sz w:val="24"/>
          <w:szCs w:val="24"/>
          <w:lang w:val="en-US"/>
        </w:rPr>
        <w:t>n</w:t>
      </w:r>
      <w:r>
        <w:rPr>
          <w:rFonts w:cs="Times New Roman" w:ascii="Times New Roman" w:hAnsi="Times New Roman"/>
          <w:sz w:val="24"/>
          <w:szCs w:val="24"/>
        </w:rPr>
        <w:t>ің</w:t>
      </w:r>
      <w:r>
        <w:rPr>
          <w:rFonts w:cs="Times New Roman" w:ascii="Times New Roman" w:hAnsi="Times New Roman"/>
          <w:sz w:val="24"/>
          <w:szCs w:val="24"/>
          <w:lang w:val="en-US"/>
        </w:rPr>
        <w:t xml:space="preserve"> </w:t>
      </w:r>
      <w:r>
        <w:rPr>
          <w:rFonts w:cs="Times New Roman" w:ascii="Times New Roman" w:hAnsi="Times New Roman"/>
          <w:sz w:val="24"/>
          <w:szCs w:val="24"/>
        </w:rPr>
        <w:t>Ұ</w:t>
      </w:r>
      <w:r>
        <w:rPr>
          <w:rFonts w:cs="Times New Roman" w:ascii="Times New Roman" w:hAnsi="Times New Roman"/>
          <w:sz w:val="24"/>
          <w:szCs w:val="24"/>
          <w:lang w:val="en-US"/>
        </w:rPr>
        <w:t>ltty</w:t>
      </w:r>
      <w:r>
        <w:rPr>
          <w:rFonts w:cs="Times New Roman" w:ascii="Times New Roman" w:hAnsi="Times New Roman"/>
          <w:sz w:val="24"/>
          <w:szCs w:val="24"/>
        </w:rPr>
        <w:t>қ</w:t>
      </w:r>
      <w:r>
        <w:rPr>
          <w:rFonts w:cs="Times New Roman" w:ascii="Times New Roman" w:hAnsi="Times New Roman"/>
          <w:sz w:val="24"/>
          <w:szCs w:val="24"/>
          <w:lang w:val="en-US"/>
        </w:rPr>
        <w:t xml:space="preserve"> statistika bjurosy // </w:t>
      </w:r>
      <w:r>
        <w:rPr>
          <w:rFonts w:cs="Times New Roman" w:ascii="Times New Roman" w:hAnsi="Times New Roman"/>
          <w:sz w:val="24"/>
          <w:szCs w:val="24"/>
        </w:rPr>
        <w:t>Қ</w:t>
      </w:r>
      <w:r>
        <w:rPr>
          <w:rFonts w:cs="Times New Roman" w:ascii="Times New Roman" w:hAnsi="Times New Roman"/>
          <w:sz w:val="24"/>
          <w:szCs w:val="24"/>
          <w:lang w:val="en-US"/>
        </w:rPr>
        <w:t>ol zhetk</w:t>
      </w:r>
      <w:r>
        <w:rPr>
          <w:rFonts w:cs="Times New Roman" w:ascii="Times New Roman" w:hAnsi="Times New Roman"/>
          <w:sz w:val="24"/>
          <w:szCs w:val="24"/>
        </w:rPr>
        <w:t>і</w:t>
      </w:r>
      <w:r>
        <w:rPr>
          <w:rFonts w:cs="Times New Roman" w:ascii="Times New Roman" w:hAnsi="Times New Roman"/>
          <w:sz w:val="24"/>
          <w:szCs w:val="24"/>
          <w:lang w:val="en-US"/>
        </w:rPr>
        <w:t>zu rezhim</w:t>
      </w:r>
      <w:r>
        <w:rPr>
          <w:rFonts w:cs="Times New Roman" w:ascii="Times New Roman" w:hAnsi="Times New Roman"/>
          <w:sz w:val="24"/>
          <w:szCs w:val="24"/>
        </w:rPr>
        <w:t>і</w:t>
      </w:r>
      <w:r>
        <w:rPr>
          <w:rFonts w:cs="Times New Roman" w:ascii="Times New Roman" w:hAnsi="Times New Roman"/>
          <w:sz w:val="24"/>
          <w:szCs w:val="24"/>
          <w:lang w:val="en-US"/>
        </w:rPr>
        <w:t xml:space="preserve">: https://stat.gov.kz/ru/ - </w:t>
      </w:r>
      <w:r>
        <w:rPr>
          <w:rFonts w:cs="Times New Roman" w:ascii="Times New Roman" w:hAnsi="Times New Roman"/>
          <w:sz w:val="24"/>
          <w:szCs w:val="24"/>
        </w:rPr>
        <w:t>Қ</w:t>
      </w:r>
      <w:r>
        <w:rPr>
          <w:rFonts w:cs="Times New Roman" w:ascii="Times New Roman" w:hAnsi="Times New Roman"/>
          <w:sz w:val="24"/>
          <w:szCs w:val="24"/>
          <w:lang w:val="en-US"/>
        </w:rPr>
        <w:t>aral</w:t>
      </w:r>
      <w:r>
        <w:rPr>
          <w:rFonts w:cs="Times New Roman" w:ascii="Times New Roman" w:hAnsi="Times New Roman"/>
          <w:sz w:val="24"/>
          <w:szCs w:val="24"/>
        </w:rPr>
        <w:t>ғ</w:t>
      </w:r>
      <w:r>
        <w:rPr>
          <w:rFonts w:cs="Times New Roman" w:ascii="Times New Roman" w:hAnsi="Times New Roman"/>
          <w:sz w:val="24"/>
          <w:szCs w:val="24"/>
          <w:lang w:val="en-US"/>
        </w:rPr>
        <w:t>an  k</w:t>
      </w:r>
      <w:r>
        <w:rPr>
          <w:rFonts w:cs="Times New Roman" w:ascii="Times New Roman" w:hAnsi="Times New Roman"/>
          <w:sz w:val="24"/>
          <w:szCs w:val="24"/>
        </w:rPr>
        <w:t>ү</w:t>
      </w:r>
      <w:r>
        <w:rPr>
          <w:rFonts w:cs="Times New Roman" w:ascii="Times New Roman" w:hAnsi="Times New Roman"/>
          <w:sz w:val="24"/>
          <w:szCs w:val="24"/>
          <w:lang w:val="en-US"/>
        </w:rPr>
        <w:t>n</w:t>
      </w:r>
      <w:r>
        <w:rPr>
          <w:rFonts w:cs="Times New Roman" w:ascii="Times New Roman" w:hAnsi="Times New Roman"/>
          <w:sz w:val="24"/>
          <w:szCs w:val="24"/>
        </w:rPr>
        <w:t>і</w:t>
      </w:r>
      <w:r>
        <w:rPr>
          <w:rFonts w:cs="Times New Roman" w:ascii="Times New Roman" w:hAnsi="Times New Roman"/>
          <w:sz w:val="24"/>
          <w:szCs w:val="24"/>
          <w:lang w:val="en-US"/>
        </w:rPr>
        <w:t>:   07.02.2025.</w:t>
      </w:r>
      <w:r>
        <w:rPr>
          <w:rFonts w:eastAsia="Times New Roman" w:cs="Times New Roman" w:ascii="Times New Roman" w:hAnsi="Times New Roman"/>
          <w:bCs/>
          <w:color w:val="000000"/>
          <w:sz w:val="24"/>
          <w:szCs w:val="24"/>
          <w:lang w:val="en-US"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cs="Times New Roman" w:ascii="Times New Roman" w:hAnsi="Times New Roman"/>
          <w:sz w:val="24"/>
          <w:szCs w:val="24"/>
          <w:lang w:val="en-US"/>
        </w:rPr>
        <w:t>16. 2013 zhyl</w:t>
      </w:r>
      <w:r>
        <w:rPr>
          <w:rFonts w:cs="Times New Roman" w:ascii="Times New Roman" w:hAnsi="Times New Roman"/>
          <w:sz w:val="24"/>
          <w:szCs w:val="24"/>
        </w:rPr>
        <w:t>ғ</w:t>
      </w:r>
      <w:r>
        <w:rPr>
          <w:rFonts w:cs="Times New Roman" w:ascii="Times New Roman" w:hAnsi="Times New Roman"/>
          <w:sz w:val="24"/>
          <w:szCs w:val="24"/>
          <w:lang w:val="en-US"/>
        </w:rPr>
        <w:t xml:space="preserve">y 3 </w:t>
      </w:r>
      <w:r>
        <w:rPr>
          <w:rFonts w:cs="Times New Roman" w:ascii="Times New Roman" w:hAnsi="Times New Roman"/>
          <w:sz w:val="24"/>
          <w:szCs w:val="24"/>
        </w:rPr>
        <w:t>қ</w:t>
      </w:r>
      <w:r>
        <w:rPr>
          <w:rFonts w:cs="Times New Roman" w:ascii="Times New Roman" w:hAnsi="Times New Roman"/>
          <w:sz w:val="24"/>
          <w:szCs w:val="24"/>
          <w:lang w:val="en-US"/>
        </w:rPr>
        <w:t>yrk</w:t>
      </w:r>
      <w:r>
        <w:rPr>
          <w:rFonts w:cs="Times New Roman" w:ascii="Times New Roman" w:hAnsi="Times New Roman"/>
          <w:sz w:val="24"/>
          <w:szCs w:val="24"/>
        </w:rPr>
        <w:t>ү</w:t>
      </w:r>
      <w:r>
        <w:rPr>
          <w:rFonts w:cs="Times New Roman" w:ascii="Times New Roman" w:hAnsi="Times New Roman"/>
          <w:sz w:val="24"/>
          <w:szCs w:val="24"/>
          <w:lang w:val="en-US"/>
        </w:rPr>
        <w:t>jekteg</w:t>
      </w:r>
      <w:r>
        <w:rPr>
          <w:rFonts w:cs="Times New Roman" w:ascii="Times New Roman" w:hAnsi="Times New Roman"/>
          <w:sz w:val="24"/>
          <w:szCs w:val="24"/>
        </w:rPr>
        <w:t>і</w:t>
      </w:r>
      <w:r>
        <w:rPr>
          <w:rFonts w:cs="Times New Roman" w:ascii="Times New Roman" w:hAnsi="Times New Roman"/>
          <w:sz w:val="24"/>
          <w:szCs w:val="24"/>
          <w:lang w:val="en-US"/>
        </w:rPr>
        <w:t xml:space="preserve"> Memlekett</w:t>
      </w:r>
      <w:r>
        <w:rPr>
          <w:rFonts w:cs="Times New Roman" w:ascii="Times New Roman" w:hAnsi="Times New Roman"/>
          <w:sz w:val="24"/>
          <w:szCs w:val="24"/>
        </w:rPr>
        <w:t>і</w:t>
      </w:r>
      <w:r>
        <w:rPr>
          <w:rFonts w:cs="Times New Roman" w:ascii="Times New Roman" w:hAnsi="Times New Roman"/>
          <w:sz w:val="24"/>
          <w:szCs w:val="24"/>
          <w:lang w:val="en-US"/>
        </w:rPr>
        <w:t>k auditt</w:t>
      </w:r>
      <w:r>
        <w:rPr>
          <w:rFonts w:cs="Times New Roman" w:ascii="Times New Roman" w:hAnsi="Times New Roman"/>
          <w:sz w:val="24"/>
          <w:szCs w:val="24"/>
        </w:rPr>
        <w:t>і</w:t>
      </w:r>
      <w:r>
        <w:rPr>
          <w:rFonts w:cs="Times New Roman" w:ascii="Times New Roman" w:hAnsi="Times New Roman"/>
          <w:sz w:val="24"/>
          <w:szCs w:val="24"/>
          <w:lang w:val="en-US"/>
        </w:rPr>
        <w:t xml:space="preserve"> zh</w:t>
      </w:r>
      <w:r>
        <w:rPr>
          <w:rFonts w:cs="Times New Roman" w:ascii="Times New Roman" w:hAnsi="Times New Roman"/>
          <w:sz w:val="24"/>
          <w:szCs w:val="24"/>
        </w:rPr>
        <w:t>ү</w:t>
      </w:r>
      <w:r>
        <w:rPr>
          <w:rFonts w:cs="Times New Roman" w:ascii="Times New Roman" w:hAnsi="Times New Roman"/>
          <w:sz w:val="24"/>
          <w:szCs w:val="24"/>
          <w:lang w:val="en-US"/>
        </w:rPr>
        <w:t>zege asyru t</w:t>
      </w:r>
      <w:r>
        <w:rPr>
          <w:rFonts w:cs="Times New Roman" w:ascii="Times New Roman" w:hAnsi="Times New Roman"/>
          <w:sz w:val="24"/>
          <w:szCs w:val="24"/>
        </w:rPr>
        <w:t>ұ</w:t>
      </w:r>
      <w:r>
        <w:rPr>
          <w:rFonts w:cs="Times New Roman" w:ascii="Times New Roman" w:hAnsi="Times New Roman"/>
          <w:sz w:val="24"/>
          <w:szCs w:val="24"/>
          <w:lang w:val="en-US"/>
        </w:rPr>
        <w:t xml:space="preserve">zhyrymdamasy. URL: https://adilet.zan.kz/rus/docs/U1300000634.- </w:t>
      </w:r>
      <w:r>
        <w:rPr>
          <w:rFonts w:cs="Times New Roman" w:ascii="Times New Roman" w:hAnsi="Times New Roman"/>
          <w:sz w:val="24"/>
          <w:szCs w:val="24"/>
        </w:rPr>
        <w:t>Қ</w:t>
      </w:r>
      <w:r>
        <w:rPr>
          <w:rFonts w:cs="Times New Roman" w:ascii="Times New Roman" w:hAnsi="Times New Roman"/>
          <w:sz w:val="24"/>
          <w:szCs w:val="24"/>
          <w:lang w:val="en-US"/>
        </w:rPr>
        <w:t>aral</w:t>
      </w:r>
      <w:r>
        <w:rPr>
          <w:rFonts w:cs="Times New Roman" w:ascii="Times New Roman" w:hAnsi="Times New Roman"/>
          <w:sz w:val="24"/>
          <w:szCs w:val="24"/>
        </w:rPr>
        <w:t>ғ</w:t>
      </w:r>
      <w:r>
        <w:rPr>
          <w:rFonts w:cs="Times New Roman" w:ascii="Times New Roman" w:hAnsi="Times New Roman"/>
          <w:sz w:val="24"/>
          <w:szCs w:val="24"/>
          <w:lang w:val="en-US"/>
        </w:rPr>
        <w:t>an  k</w:t>
      </w:r>
      <w:r>
        <w:rPr>
          <w:rFonts w:cs="Times New Roman" w:ascii="Times New Roman" w:hAnsi="Times New Roman"/>
          <w:sz w:val="24"/>
          <w:szCs w:val="24"/>
        </w:rPr>
        <w:t>ү</w:t>
      </w:r>
      <w:r>
        <w:rPr>
          <w:rFonts w:cs="Times New Roman" w:ascii="Times New Roman" w:hAnsi="Times New Roman"/>
          <w:sz w:val="24"/>
          <w:szCs w:val="24"/>
          <w:lang w:val="en-US"/>
        </w:rPr>
        <w:t>n</w:t>
      </w:r>
      <w:r>
        <w:rPr>
          <w:rFonts w:cs="Times New Roman" w:ascii="Times New Roman" w:hAnsi="Times New Roman"/>
          <w:sz w:val="24"/>
          <w:szCs w:val="24"/>
        </w:rPr>
        <w:t>і</w:t>
      </w:r>
      <w:r>
        <w:rPr>
          <w:rFonts w:cs="Times New Roman" w:ascii="Times New Roman" w:hAnsi="Times New Roman"/>
          <w:sz w:val="24"/>
          <w:szCs w:val="24"/>
          <w:lang w:val="en-US"/>
        </w:rPr>
        <w:t>:08.02.2025.</w:t>
      </w:r>
      <w:r>
        <w:rPr>
          <w:rFonts w:eastAsia="Times New Roman" w:cs="Times New Roman" w:ascii="Times New Roman" w:hAnsi="Times New Roman"/>
          <w:bCs/>
          <w:color w:val="000000"/>
          <w:sz w:val="24"/>
          <w:szCs w:val="24"/>
          <w:lang w:val="en-US"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Calibri" w:cs="Times New Roman" w:ascii="Times New Roman" w:hAnsi="Times New Roman"/>
          <w:sz w:val="24"/>
          <w:szCs w:val="24"/>
          <w:lang w:val="kk-KZ"/>
        </w:rPr>
        <w:t xml:space="preserve">17. </w:t>
      </w:r>
      <w:r>
        <w:rPr>
          <w:rFonts w:eastAsia="Calibri" w:cs="Times New Roman" w:ascii="Times New Roman" w:hAnsi="Times New Roman"/>
          <w:color w:val="0F1115"/>
          <w:sz w:val="24"/>
          <w:szCs w:val="24"/>
          <w:lang w:val="en-US"/>
        </w:rPr>
        <w:t>OECD Recommendation of the Council on Public Service Leadership and Capability. - URL:</w:t>
      </w:r>
      <w:hyperlink r:id="rId27" w:tgtFrame="_blank">
        <w:r>
          <w:rPr>
            <w:rStyle w:val="Style3"/>
            <w:rFonts w:eastAsia="Calibri" w:cs="Times New Roman" w:ascii="Times New Roman" w:hAnsi="Times New Roman"/>
            <w:color w:val="0000FF"/>
            <w:sz w:val="24"/>
            <w:szCs w:val="24"/>
            <w:u w:val="single"/>
            <w:lang w:val="en-US"/>
          </w:rPr>
          <w:t>https://legalinstruments.oecd.org/en/instruments/OECD-LEGAL-0445</w:t>
        </w:r>
      </w:hyperlink>
      <w:r>
        <w:rPr>
          <w:rFonts w:eastAsia="Calibri" w:cs="Times New Roman" w:ascii="Times New Roman" w:hAnsi="Times New Roman"/>
          <w:color w:val="0F1115"/>
          <w:sz w:val="24"/>
          <w:szCs w:val="24"/>
          <w:lang w:val="en-US"/>
        </w:rPr>
        <w:t>. </w:t>
      </w:r>
      <w:r>
        <w:rPr>
          <w:rFonts w:cs="Times New Roman" w:ascii="Times New Roman" w:hAnsi="Times New Roman"/>
          <w:sz w:val="24"/>
          <w:szCs w:val="24"/>
        </w:rPr>
        <w:t>Қ</w:t>
      </w:r>
      <w:r>
        <w:rPr>
          <w:rFonts w:cs="Times New Roman" w:ascii="Times New Roman" w:hAnsi="Times New Roman"/>
          <w:sz w:val="24"/>
          <w:szCs w:val="24"/>
          <w:lang w:val="en-US"/>
        </w:rPr>
        <w:t>aral</w:t>
      </w:r>
      <w:r>
        <w:rPr>
          <w:rFonts w:cs="Times New Roman" w:ascii="Times New Roman" w:hAnsi="Times New Roman"/>
          <w:sz w:val="24"/>
          <w:szCs w:val="24"/>
        </w:rPr>
        <w:t>ғ</w:t>
      </w:r>
      <w:r>
        <w:rPr>
          <w:rFonts w:cs="Times New Roman" w:ascii="Times New Roman" w:hAnsi="Times New Roman"/>
          <w:sz w:val="24"/>
          <w:szCs w:val="24"/>
          <w:lang w:val="en-US"/>
        </w:rPr>
        <w:t>an k</w:t>
      </w:r>
      <w:r>
        <w:rPr>
          <w:rFonts w:cs="Times New Roman" w:ascii="Times New Roman" w:hAnsi="Times New Roman"/>
          <w:sz w:val="24"/>
          <w:szCs w:val="24"/>
        </w:rPr>
        <w:t>ү</w:t>
      </w:r>
      <w:r>
        <w:rPr>
          <w:rFonts w:cs="Times New Roman" w:ascii="Times New Roman" w:hAnsi="Times New Roman"/>
          <w:sz w:val="24"/>
          <w:szCs w:val="24"/>
          <w:lang w:val="en-US"/>
        </w:rPr>
        <w:t>n</w:t>
      </w:r>
      <w:r>
        <w:rPr>
          <w:rFonts w:cs="Times New Roman" w:ascii="Times New Roman" w:hAnsi="Times New Roman"/>
          <w:sz w:val="24"/>
          <w:szCs w:val="24"/>
        </w:rPr>
        <w:t>і</w:t>
      </w:r>
      <w:r>
        <w:rPr>
          <w:rFonts w:cs="Times New Roman" w:ascii="Times New Roman" w:hAnsi="Times New Roman"/>
          <w:sz w:val="24"/>
          <w:szCs w:val="24"/>
          <w:lang w:val="en-US"/>
        </w:rPr>
        <w:t xml:space="preserve">:  </w:t>
      </w:r>
      <w:r>
        <w:rPr>
          <w:rFonts w:eastAsia="Calibri" w:cs="Times New Roman" w:ascii="Times New Roman" w:hAnsi="Times New Roman"/>
          <w:sz w:val="24"/>
          <w:szCs w:val="24"/>
          <w:lang w:val="kk-KZ"/>
        </w:rPr>
        <w:t>08.02.2025</w:t>
      </w:r>
      <w:r>
        <w:rPr>
          <w:rFonts w:eastAsia="Calibri" w:cs="Times New Roman" w:ascii="Times New Roman" w:hAnsi="Times New Roman"/>
          <w:sz w:val="24"/>
          <w:szCs w:val="24"/>
          <w:lang w:val="en-US"/>
        </w:rPr>
        <w:t>.</w:t>
      </w:r>
      <w:r>
        <w:rPr>
          <w:rFonts w:cs="Times New Roman" w:ascii="Times New Roman" w:hAnsi="Times New Roman"/>
          <w:sz w:val="24"/>
          <w:szCs w:val="24"/>
          <w:lang w:val="en-US"/>
        </w:rPr>
        <w:t xml:space="preserve"> </w:t>
      </w:r>
      <w:r>
        <w:rPr>
          <w:rFonts w:eastAsia="Times New Roman" w:cs="Times New Roman" w:ascii="Times New Roman" w:hAnsi="Times New Roman"/>
          <w:bCs/>
          <w:color w:val="000000"/>
          <w:sz w:val="24"/>
          <w:szCs w:val="24"/>
          <w:lang w:val="en-US" w:eastAsia="ru-RU"/>
        </w:rPr>
        <w:t xml:space="preserve"> [in Kazakh]</w:t>
      </w:r>
    </w:p>
    <w:p>
      <w:pPr>
        <w:pStyle w:val="Normal"/>
        <w:spacing w:lineRule="auto" w:line="240" w:before="0" w:after="0"/>
        <w:jc w:val="both"/>
        <w:rPr>
          <w:rFonts w:ascii="Times New Roman" w:hAnsi="Times New Roman" w:cs="Times New Roman"/>
          <w:sz w:val="24"/>
          <w:szCs w:val="24"/>
          <w:lang w:val="en-US"/>
        </w:rPr>
      </w:pPr>
      <w:r>
        <w:rPr>
          <w:rFonts w:eastAsia="Calibri" w:cs="Times New Roman" w:ascii="Times New Roman" w:hAnsi="Times New Roman"/>
          <w:color w:val="0F1115"/>
          <w:sz w:val="24"/>
          <w:szCs w:val="24"/>
          <w:lang w:val="en-US"/>
        </w:rPr>
        <w:t>18. United Nations Department of Economic and Social Affairs Working Together: Integration, Institutions and the Sustainable Development Goals. World Public Sector Report</w:t>
      </w:r>
      <w:r>
        <w:rPr>
          <w:rFonts w:eastAsia="Calibri" w:cs="Times New Roman" w:ascii="Times New Roman" w:hAnsi="Times New Roman"/>
          <w:color w:val="0F1115"/>
          <w:sz w:val="24"/>
          <w:szCs w:val="24"/>
          <w:lang w:val="kk-KZ"/>
        </w:rPr>
        <w:t>.</w:t>
      </w:r>
      <w:r>
        <w:rPr>
          <w:rFonts w:eastAsia="Calibri" w:cs="Times New Roman" w:ascii="Times New Roman" w:hAnsi="Times New Roman"/>
          <w:color w:val="0F1115"/>
          <w:sz w:val="24"/>
          <w:szCs w:val="24"/>
          <w:lang w:val="en-US"/>
        </w:rPr>
        <w:t xml:space="preserve"> - URL: </w:t>
      </w:r>
      <w:hyperlink r:id="rId28" w:tgtFrame="_blank">
        <w:r>
          <w:rPr>
            <w:rStyle w:val="Style3"/>
            <w:rFonts w:eastAsia="Calibri" w:cs="Times New Roman" w:ascii="Times New Roman" w:hAnsi="Times New Roman"/>
            <w:color w:val="0000FF"/>
            <w:sz w:val="24"/>
            <w:szCs w:val="24"/>
            <w:u w:val="single"/>
            <w:lang w:val="en-US"/>
          </w:rPr>
          <w:t>https://publicadministration.un.org/en/Research/World-Public-Sector-Reports</w:t>
        </w:r>
      </w:hyperlink>
      <w:r>
        <w:rPr>
          <w:rFonts w:eastAsia="Calibri" w:cs="Times New Roman" w:ascii="Times New Roman" w:hAnsi="Times New Roman"/>
          <w:color w:val="0F1115"/>
          <w:sz w:val="24"/>
          <w:szCs w:val="24"/>
          <w:lang w:val="en-US"/>
        </w:rPr>
        <w:t>.</w:t>
      </w:r>
      <w:r>
        <w:rPr>
          <w:rFonts w:cs="Times New Roman" w:ascii="Times New Roman" w:hAnsi="Times New Roman"/>
          <w:sz w:val="24"/>
          <w:szCs w:val="24"/>
          <w:lang w:val="en-US"/>
        </w:rPr>
        <w:t xml:space="preserve"> </w:t>
      </w:r>
    </w:p>
    <w:p>
      <w:pPr>
        <w:pStyle w:val="Normal"/>
        <w:spacing w:lineRule="auto" w:line="240" w:before="0" w:after="0"/>
        <w:contextualSpacing/>
        <w:jc w:val="both"/>
        <w:rPr>
          <w:rFonts w:ascii="Times New Roman" w:hAnsi="Times New Roman" w:eastAsia="Times New Roman" w:cs="Times New Roman"/>
          <w:bCs/>
          <w:color w:val="000000"/>
          <w:sz w:val="24"/>
          <w:szCs w:val="24"/>
          <w:lang w:val="kk-KZ" w:eastAsia="ru-RU"/>
        </w:rPr>
      </w:pPr>
      <w:r>
        <w:rPr>
          <w:rFonts w:eastAsia="Calibri" w:cs="Times New Roman" w:ascii="Times New Roman" w:hAnsi="Times New Roman"/>
          <w:sz w:val="24"/>
          <w:szCs w:val="24"/>
          <w:lang w:val="kk-KZ"/>
        </w:rPr>
        <w:t>19. Қazaқstan Respublikasy Қarzhy ministrlіgіnің resmi sajty. URL: https://www.gov.kz/memleket/entities/minfin?lang=ru.- Қaralғan  kүnі: 08.02.2025.</w:t>
      </w:r>
      <w:r>
        <w:rPr>
          <w:rFonts w:eastAsia="Times New Roman" w:cs="Times New Roman" w:ascii="Times New Roman" w:hAnsi="Times New Roman"/>
          <w:bCs/>
          <w:color w:val="000000"/>
          <w:sz w:val="24"/>
          <w:szCs w:val="24"/>
          <w:lang w:val="kk-KZ"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kk-KZ" w:eastAsia="ru-RU"/>
        </w:rPr>
      </w:pPr>
      <w:r>
        <w:rPr>
          <w:rFonts w:eastAsia="Calibri" w:cs="Times New Roman" w:ascii="Times New Roman" w:hAnsi="Times New Roman"/>
          <w:sz w:val="24"/>
          <w:szCs w:val="24"/>
          <w:lang w:val="kk-KZ"/>
        </w:rPr>
        <w:t>20. Қazaқstan Respublikasy Cifrlyқ damu, innovacijalar zhәne ajeroғarysh өnerkәsіbі ministrlіgіnің resmi sajty. URL: https://www.gov.kz/memleket/entities/mdai.- Қaralғan  kүnі: 09.02.2025.</w:t>
      </w:r>
      <w:r>
        <w:rPr>
          <w:rFonts w:eastAsia="Times New Roman" w:cs="Times New Roman" w:ascii="Times New Roman" w:hAnsi="Times New Roman"/>
          <w:bCs/>
          <w:color w:val="000000"/>
          <w:sz w:val="24"/>
          <w:szCs w:val="24"/>
          <w:lang w:val="kk-KZ"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kk-KZ" w:eastAsia="ru-RU"/>
        </w:rPr>
      </w:pPr>
      <w:r>
        <w:rPr>
          <w:rFonts w:eastAsia="Calibri" w:cs="Times New Roman" w:ascii="Times New Roman" w:hAnsi="Times New Roman"/>
          <w:sz w:val="24"/>
          <w:szCs w:val="24"/>
          <w:lang w:val="kk-KZ"/>
        </w:rPr>
        <w:t>21. Қazaқstan Respublikasy Eңbek zhәne halyқty әleumettіk қorғau ministrlіgіnің resmi sajty. URL: https://www.gov.kz/memleket/entities/enbek .- Қaralғan  kүnі:  09.02.2025.</w:t>
      </w:r>
      <w:r>
        <w:rPr>
          <w:rFonts w:eastAsia="Times New Roman" w:cs="Times New Roman" w:ascii="Times New Roman" w:hAnsi="Times New Roman"/>
          <w:bCs/>
          <w:color w:val="000000"/>
          <w:sz w:val="24"/>
          <w:szCs w:val="24"/>
          <w:lang w:val="kk-KZ"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kk-KZ" w:eastAsia="ru-RU"/>
        </w:rPr>
      </w:pPr>
      <w:r>
        <w:rPr>
          <w:rFonts w:eastAsia="Calibri" w:cs="Times New Roman" w:ascii="Times New Roman" w:hAnsi="Times New Roman"/>
          <w:sz w:val="24"/>
          <w:szCs w:val="24"/>
          <w:lang w:val="kk-KZ"/>
        </w:rPr>
        <w:t>22. Қazaқstan Respublikasy Zhoғarғy esep palatasynyң resmi sajty.URL: https://www.gov.kz/memleket/entities/esep?lang=ru.-  Қaralғan  kүnі:  10.02.2025.</w:t>
      </w:r>
      <w:r>
        <w:rPr>
          <w:rFonts w:eastAsia="Times New Roman" w:cs="Times New Roman" w:ascii="Times New Roman" w:hAnsi="Times New Roman"/>
          <w:bCs/>
          <w:color w:val="000000"/>
          <w:sz w:val="24"/>
          <w:szCs w:val="24"/>
          <w:lang w:val="kk-KZ" w:eastAsia="ru-RU"/>
        </w:rPr>
        <w:t xml:space="preserve"> [in Kazakh]</w:t>
      </w:r>
    </w:p>
    <w:p>
      <w:pPr>
        <w:pStyle w:val="Normal"/>
        <w:spacing w:lineRule="auto" w:line="240" w:before="0" w:after="0"/>
        <w:contextualSpacing/>
        <w:jc w:val="both"/>
        <w:rPr>
          <w:rFonts w:ascii="Times New Roman" w:hAnsi="Times New Roman" w:eastAsia="Times New Roman" w:cs="Times New Roman"/>
          <w:bCs/>
          <w:color w:val="000000"/>
          <w:sz w:val="24"/>
          <w:szCs w:val="24"/>
          <w:lang w:val="kk-KZ" w:eastAsia="ru-RU"/>
        </w:rPr>
      </w:pPr>
      <w:r>
        <w:rPr>
          <w:rFonts w:eastAsia="Calibri" w:cs="Times New Roman" w:ascii="Times New Roman" w:hAnsi="Times New Roman"/>
          <w:sz w:val="24"/>
          <w:szCs w:val="24"/>
          <w:lang w:val="kk-KZ"/>
        </w:rPr>
        <w:t>23. Қazaқstan Respublikasy Eңbek zhәne halyқty әleumettіk қorғau ministrlіgіnің resmi sajty. URL: https://www.gov.kz/memleket/entities/enbek.- Қaralғan  kүnі:   10.02.2025.</w:t>
      </w:r>
      <w:r>
        <w:rPr>
          <w:rFonts w:eastAsia="Times New Roman" w:cs="Times New Roman" w:ascii="Times New Roman" w:hAnsi="Times New Roman"/>
          <w:bCs/>
          <w:color w:val="000000"/>
          <w:sz w:val="24"/>
          <w:szCs w:val="24"/>
          <w:lang w:val="kk-KZ" w:eastAsia="ru-RU"/>
        </w:rPr>
        <w:t xml:space="preserve"> [in Kazakh]</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 xml:space="preserve">24. «Memlekettіk audit zhәne қarzhylyқ baқylau turaly» Қazaқstan Respublikasynyң 2015 zhylғy 12 қarashadaғy Zaңy. URL: </w:t>
      </w:r>
      <w:hyperlink r:id="rId29">
        <w:r>
          <w:rPr>
            <w:rStyle w:val="Hyperlink"/>
            <w:rFonts w:eastAsia="Calibri" w:cs="Times New Roman" w:ascii="Times New Roman" w:hAnsi="Times New Roman"/>
            <w:sz w:val="24"/>
            <w:szCs w:val="24"/>
            <w:lang w:val="kk-KZ"/>
          </w:rPr>
          <w:t>https://adilet.zan.kz/rus/docs/Z1500000392.-</w:t>
        </w:r>
      </w:hyperlink>
      <w:r>
        <w:rPr>
          <w:rFonts w:eastAsia="Calibri" w:cs="Times New Roman" w:ascii="Times New Roman" w:hAnsi="Times New Roman"/>
          <w:sz w:val="24"/>
          <w:szCs w:val="24"/>
          <w:lang w:val="kk-KZ"/>
        </w:rPr>
        <w:t xml:space="preserve"> Қaralғan  kүnі:</w:t>
      </w:r>
    </w:p>
    <w:p>
      <w:pPr>
        <w:pStyle w:val="Normal"/>
        <w:spacing w:lineRule="auto" w:line="240" w:before="0" w:after="0"/>
        <w:contextualSpacing/>
        <w:jc w:val="both"/>
        <w:rPr>
          <w:rFonts w:ascii="Times New Roman" w:hAnsi="Times New Roman" w:eastAsia="Times New Roman" w:cs="Times New Roman"/>
          <w:bCs/>
          <w:color w:val="000000"/>
          <w:sz w:val="24"/>
          <w:szCs w:val="24"/>
          <w:lang w:val="kk-KZ" w:eastAsia="ru-RU"/>
        </w:rPr>
      </w:pPr>
      <w:r>
        <w:rPr>
          <w:rFonts w:eastAsia="Calibri" w:cs="Times New Roman" w:ascii="Times New Roman" w:hAnsi="Times New Roman"/>
          <w:sz w:val="24"/>
          <w:szCs w:val="24"/>
          <w:lang w:val="kk-KZ"/>
        </w:rPr>
        <w:t>10.02.2025.</w:t>
      </w:r>
      <w:r>
        <w:rPr>
          <w:rFonts w:eastAsia="Times New Roman" w:cs="Times New Roman" w:ascii="Times New Roman" w:hAnsi="Times New Roman"/>
          <w:bCs/>
          <w:color w:val="000000"/>
          <w:sz w:val="24"/>
          <w:szCs w:val="24"/>
          <w:lang w:val="kk-KZ" w:eastAsia="ru-RU"/>
        </w:rPr>
        <w:t xml:space="preserve"> [in Kazakh]</w:t>
      </w:r>
    </w:p>
    <w:p>
      <w:pPr>
        <w:pStyle w:val="Normal"/>
        <w:spacing w:lineRule="auto" w:line="240" w:before="0" w:after="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Web"/>
        <w:tabs>
          <w:tab w:val="clear" w:pos="708"/>
          <w:tab w:val="left" w:pos="851" w:leader="none"/>
          <w:tab w:val="left" w:pos="993" w:leader="none"/>
        </w:tabs>
        <w:spacing w:lineRule="auto" w:line="240" w:before="0" w:after="0"/>
        <w:ind w:firstLine="567"/>
        <w:jc w:val="both"/>
        <w:rPr>
          <w:b/>
          <w:i/>
          <w:i/>
          <w:sz w:val="20"/>
          <w:szCs w:val="20"/>
          <w:lang w:val="kk-KZ"/>
        </w:rPr>
      </w:pPr>
      <w:r>
        <w:rPr>
          <w:b/>
          <w:i/>
          <w:sz w:val="20"/>
          <w:szCs w:val="20"/>
          <w:lang w:val="kk-KZ"/>
        </w:rPr>
        <w:t>Авторлар туралы мәлімет</w:t>
      </w:r>
    </w:p>
    <w:p>
      <w:pPr>
        <w:pStyle w:val="NormalWeb"/>
        <w:tabs>
          <w:tab w:val="clear" w:pos="708"/>
          <w:tab w:val="left" w:pos="851" w:leader="none"/>
          <w:tab w:val="left" w:pos="993" w:leader="none"/>
        </w:tabs>
        <w:spacing w:lineRule="auto" w:line="240" w:before="0" w:after="0"/>
        <w:ind w:firstLine="567"/>
        <w:jc w:val="both"/>
        <w:rPr>
          <w:b/>
          <w:i/>
          <w:i/>
          <w:sz w:val="20"/>
          <w:szCs w:val="20"/>
          <w:lang w:val="kk-KZ"/>
        </w:rPr>
      </w:pPr>
      <w:r>
        <w:rPr>
          <w:b/>
          <w:i/>
          <w:sz w:val="20"/>
          <w:szCs w:val="20"/>
          <w:lang w:val="kk-KZ"/>
        </w:rPr>
      </w:r>
    </w:p>
    <w:p>
      <w:pPr>
        <w:pStyle w:val="ListParagraph"/>
        <w:tabs>
          <w:tab w:val="clear" w:pos="708"/>
          <w:tab w:val="left" w:pos="851" w:leader="none"/>
          <w:tab w:val="left" w:pos="993" w:leader="none"/>
        </w:tabs>
        <w:ind w:left="0"/>
        <w:jc w:val="both"/>
        <w:rPr>
          <w:bCs/>
          <w:sz w:val="20"/>
          <w:szCs w:val="20"/>
          <w:lang w:val="kk-KZ" w:eastAsia="ru-RU"/>
        </w:rPr>
      </w:pPr>
      <w:r>
        <w:rPr>
          <w:bCs/>
          <w:sz w:val="20"/>
          <w:szCs w:val="20"/>
          <w:lang w:val="kk-KZ" w:eastAsia="ru-RU"/>
        </w:rPr>
        <w:t>Мукушева А.Р. – магистр, Л.Н. Гумилев  атындағы Еуразия ұлттық университетінің «Мемлекеттік аудит» Астана, Қазақстан,</w:t>
      </w:r>
      <w:r>
        <w:rPr>
          <w:sz w:val="20"/>
          <w:szCs w:val="20"/>
          <w:lang w:val="kk-KZ"/>
        </w:rPr>
        <w:t xml:space="preserve"> </w:t>
      </w:r>
      <w:r>
        <w:rPr>
          <w:bCs/>
          <w:sz w:val="20"/>
          <w:szCs w:val="20"/>
          <w:lang w:val="kk-KZ" w:eastAsia="ru-RU"/>
        </w:rPr>
        <w:t xml:space="preserve">e-mail: </w:t>
      </w:r>
      <w:hyperlink r:id="rId30">
        <w:r>
          <w:rPr>
            <w:rStyle w:val="Hyperlink"/>
            <w:bCs/>
            <w:color w:val="auto"/>
            <w:sz w:val="20"/>
            <w:szCs w:val="20"/>
            <w:u w:val="none"/>
            <w:lang w:val="kk-KZ" w:eastAsia="ru-RU"/>
          </w:rPr>
          <w:t>suleimenova.ar@bk.ru</w:t>
        </w:r>
      </w:hyperlink>
      <w:r>
        <w:rPr>
          <w:bCs/>
          <w:sz w:val="20"/>
          <w:szCs w:val="20"/>
          <w:lang w:val="kk-KZ" w:eastAsia="ru-RU"/>
        </w:rPr>
        <w:t>;</w:t>
      </w:r>
    </w:p>
    <w:p>
      <w:pPr>
        <w:pStyle w:val="ListParagraph"/>
        <w:tabs>
          <w:tab w:val="clear" w:pos="708"/>
          <w:tab w:val="left" w:pos="851" w:leader="none"/>
          <w:tab w:val="left" w:pos="993" w:leader="none"/>
        </w:tabs>
        <w:ind w:left="0"/>
        <w:jc w:val="both"/>
        <w:rPr>
          <w:bCs/>
          <w:sz w:val="20"/>
          <w:szCs w:val="20"/>
          <w:lang w:val="kk-KZ" w:eastAsia="ru-RU"/>
        </w:rPr>
      </w:pPr>
      <w:r>
        <w:rPr>
          <w:bCs/>
          <w:sz w:val="20"/>
          <w:szCs w:val="20"/>
          <w:lang w:val="kk-KZ" w:eastAsia="ru-RU"/>
        </w:rPr>
        <w:t>Серикова М.А. - Л.Н. Гумилев атындағы Еуразия ұлттық университетінің Мемелкеттік аудит қауымдастырылған кафедрасының қауымдастырылған профессоры PhD, Астана, Қазақстан, e-mail:</w:t>
      </w:r>
      <w:r>
        <w:rPr>
          <w:sz w:val="20"/>
          <w:szCs w:val="20"/>
          <w:lang w:val="kk-KZ"/>
        </w:rPr>
        <w:t xml:space="preserve"> </w:t>
      </w:r>
      <w:hyperlink r:id="rId31">
        <w:r>
          <w:rPr>
            <w:rStyle w:val="Hyperlink"/>
            <w:bCs/>
            <w:color w:val="auto"/>
            <w:sz w:val="20"/>
            <w:szCs w:val="20"/>
            <w:u w:val="none"/>
            <w:lang w:val="kk-KZ" w:eastAsia="ru-RU"/>
          </w:rPr>
          <w:t>madinaserikova81@gmail.com</w:t>
        </w:r>
      </w:hyperlink>
      <w:r>
        <w:rPr>
          <w:bCs/>
          <w:sz w:val="20"/>
          <w:szCs w:val="20"/>
          <w:lang w:val="kk-KZ" w:eastAsia="ru-RU"/>
        </w:rPr>
        <w:t>.</w:t>
      </w:r>
    </w:p>
    <w:p>
      <w:pPr>
        <w:pStyle w:val="ListParagraph"/>
        <w:tabs>
          <w:tab w:val="clear" w:pos="708"/>
          <w:tab w:val="left" w:pos="851" w:leader="none"/>
          <w:tab w:val="left" w:pos="993" w:leader="none"/>
        </w:tabs>
        <w:ind w:firstLine="567" w:left="0"/>
        <w:jc w:val="both"/>
        <w:rPr>
          <w:b/>
          <w:bCs/>
          <w:i/>
          <w:i/>
          <w:sz w:val="20"/>
          <w:szCs w:val="20"/>
          <w:lang w:val="kk-KZ" w:eastAsia="ru-RU"/>
        </w:rPr>
      </w:pPr>
      <w:r>
        <w:rPr>
          <w:b/>
          <w:bCs/>
          <w:i/>
          <w:sz w:val="20"/>
          <w:szCs w:val="20"/>
          <w:lang w:val="kk-KZ" w:eastAsia="ru-RU"/>
        </w:rPr>
      </w:r>
    </w:p>
    <w:p>
      <w:pPr>
        <w:pStyle w:val="ListParagraph"/>
        <w:tabs>
          <w:tab w:val="clear" w:pos="708"/>
          <w:tab w:val="left" w:pos="851" w:leader="none"/>
          <w:tab w:val="left" w:pos="993" w:leader="none"/>
        </w:tabs>
        <w:ind w:firstLine="567" w:left="0"/>
        <w:jc w:val="both"/>
        <w:rPr>
          <w:b/>
          <w:bCs/>
          <w:i/>
          <w:i/>
          <w:sz w:val="20"/>
          <w:szCs w:val="20"/>
          <w:lang w:val="kk-KZ" w:eastAsia="ru-RU"/>
        </w:rPr>
      </w:pPr>
      <w:r>
        <w:rPr>
          <w:b/>
          <w:bCs/>
          <w:i/>
          <w:sz w:val="20"/>
          <w:szCs w:val="20"/>
          <w:lang w:val="kk-KZ" w:eastAsia="ru-RU"/>
        </w:rPr>
        <w:t>Information about the authors</w:t>
      </w:r>
    </w:p>
    <w:p>
      <w:pPr>
        <w:pStyle w:val="ListParagraph"/>
        <w:tabs>
          <w:tab w:val="clear" w:pos="708"/>
          <w:tab w:val="left" w:pos="851" w:leader="none"/>
          <w:tab w:val="left" w:pos="993" w:leader="none"/>
        </w:tabs>
        <w:ind w:left="0"/>
        <w:jc w:val="both"/>
        <w:rPr>
          <w:bCs/>
          <w:sz w:val="20"/>
          <w:szCs w:val="20"/>
          <w:lang w:val="en-US" w:eastAsia="ru-RU"/>
        </w:rPr>
      </w:pPr>
      <w:r>
        <w:rPr>
          <w:bCs/>
          <w:sz w:val="20"/>
          <w:szCs w:val="20"/>
          <w:lang w:val="kk-KZ" w:eastAsia="ru-RU"/>
        </w:rPr>
        <w:t>Mukusheva A. - master's degree, 1st year doctoral student of the Department of public auditing, Eurasian National University named after L.N. Gumilyov,</w:t>
      </w:r>
      <w:r>
        <w:rPr>
          <w:sz w:val="20"/>
          <w:szCs w:val="20"/>
          <w:lang w:val="en-US"/>
        </w:rPr>
        <w:t xml:space="preserve"> </w:t>
      </w:r>
      <w:r>
        <w:rPr>
          <w:bCs/>
          <w:sz w:val="20"/>
          <w:szCs w:val="20"/>
          <w:lang w:val="kk-KZ" w:eastAsia="ru-RU"/>
        </w:rPr>
        <w:t>Astana, Kazakhstan</w:t>
      </w:r>
      <w:r>
        <w:rPr>
          <w:bCs/>
          <w:sz w:val="20"/>
          <w:szCs w:val="20"/>
          <w:lang w:val="en-US" w:eastAsia="ru-RU"/>
        </w:rPr>
        <w:t>, e</w:t>
      </w:r>
      <w:r>
        <w:rPr>
          <w:bCs/>
          <w:sz w:val="20"/>
          <w:szCs w:val="20"/>
          <w:lang w:val="kk-KZ" w:eastAsia="ru-RU"/>
        </w:rPr>
        <w:t>-mail:</w:t>
      </w:r>
      <w:r>
        <w:rPr>
          <w:sz w:val="20"/>
          <w:szCs w:val="20"/>
          <w:lang w:val="en-US"/>
        </w:rPr>
        <w:t xml:space="preserve"> </w:t>
      </w:r>
      <w:hyperlink r:id="rId32">
        <w:r>
          <w:rPr>
            <w:rStyle w:val="Hyperlink"/>
            <w:bCs/>
            <w:color w:val="auto"/>
            <w:sz w:val="20"/>
            <w:szCs w:val="20"/>
            <w:u w:val="none"/>
            <w:lang w:val="kk-KZ" w:eastAsia="ru-RU"/>
          </w:rPr>
          <w:t>suleimenova.ar@bk.ru</w:t>
        </w:r>
      </w:hyperlink>
      <w:r>
        <w:rPr>
          <w:bCs/>
          <w:sz w:val="20"/>
          <w:szCs w:val="20"/>
          <w:lang w:val="en-US" w:eastAsia="ru-RU"/>
        </w:rPr>
        <w:t>;</w:t>
      </w:r>
    </w:p>
    <w:p>
      <w:pPr>
        <w:pStyle w:val="ListParagraph"/>
        <w:tabs>
          <w:tab w:val="clear" w:pos="708"/>
          <w:tab w:val="left" w:pos="851" w:leader="none"/>
          <w:tab w:val="left" w:pos="993" w:leader="none"/>
        </w:tabs>
        <w:ind w:left="0"/>
        <w:jc w:val="both"/>
        <w:rPr>
          <w:bCs/>
          <w:sz w:val="20"/>
          <w:szCs w:val="20"/>
          <w:lang w:val="en-US" w:eastAsia="ru-RU"/>
        </w:rPr>
      </w:pPr>
      <w:r>
        <w:rPr>
          <w:bCs/>
          <w:sz w:val="20"/>
          <w:szCs w:val="20"/>
          <w:lang w:val="kk-KZ" w:eastAsia="ru-RU"/>
        </w:rPr>
        <w:t xml:space="preserve">Serikova M. </w:t>
      </w:r>
      <w:r>
        <w:rPr>
          <w:bCs/>
          <w:sz w:val="20"/>
          <w:szCs w:val="20"/>
          <w:lang w:val="en-US" w:eastAsia="ru-RU"/>
        </w:rPr>
        <w:t>-</w:t>
      </w:r>
      <w:r>
        <w:rPr>
          <w:bCs/>
          <w:sz w:val="20"/>
          <w:szCs w:val="20"/>
          <w:lang w:val="kk-KZ" w:eastAsia="ru-RU"/>
        </w:rPr>
        <w:t xml:space="preserve"> PhD, associate professor, Department of state audit, Eurasian National University named after L.N. Gumilyov, Astana, Kazakhstan</w:t>
      </w:r>
      <w:r>
        <w:rPr>
          <w:bCs/>
          <w:sz w:val="20"/>
          <w:szCs w:val="20"/>
          <w:lang w:val="en-US" w:eastAsia="ru-RU"/>
        </w:rPr>
        <w:t>, e-mail:</w:t>
      </w:r>
      <w:r>
        <w:rPr>
          <w:sz w:val="20"/>
          <w:szCs w:val="20"/>
          <w:lang w:val="en-US"/>
        </w:rPr>
        <w:t xml:space="preserve"> </w:t>
      </w:r>
      <w:hyperlink r:id="rId33">
        <w:r>
          <w:rPr>
            <w:rStyle w:val="Hyperlink"/>
            <w:bCs/>
            <w:color w:val="auto"/>
            <w:sz w:val="20"/>
            <w:szCs w:val="20"/>
            <w:u w:val="none"/>
            <w:lang w:val="en-US" w:eastAsia="ru-RU"/>
          </w:rPr>
          <w:t>madinaserikova81@gmail.com</w:t>
        </w:r>
      </w:hyperlink>
      <w:r>
        <w:rPr>
          <w:bCs/>
          <w:sz w:val="20"/>
          <w:szCs w:val="20"/>
          <w:lang w:val="en-US" w:eastAsia="ru-RU"/>
        </w:rPr>
        <w:t>.</w:t>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widowControl w:val="false"/>
        <w:spacing w:lineRule="auto" w:line="240" w:before="0" w:after="0"/>
        <w:ind w:firstLine="567"/>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widowControl w:val="false"/>
        <w:spacing w:lineRule="auto" w:line="240" w:before="0" w:after="0"/>
        <w:ind w:firstLine="567"/>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widowControl w:val="false"/>
        <w:spacing w:lineRule="auto" w:line="240" w:before="0" w:after="0"/>
        <w:rPr>
          <w:rFonts w:ascii="Times New Roman" w:hAnsi="Times New Roman" w:eastAsia="Times New Roman" w:cs="Times New Roman"/>
          <w:bCs/>
          <w:lang w:val="en-US" w:eastAsia="ru-RU"/>
        </w:rPr>
      </w:pPr>
      <w:r>
        <w:rPr>
          <w:rFonts w:eastAsia="Times New Roman" w:cs="Times New Roman" w:ascii="Times New Roman" w:hAnsi="Times New Roman"/>
          <w:spacing w:val="-2"/>
          <w:lang w:val="en-US"/>
        </w:rPr>
        <w:t>IRSTI</w:t>
      </w:r>
      <w:r>
        <w:rPr>
          <w:rFonts w:eastAsia="Times New Roman" w:cs="Times New Roman" w:ascii="Times New Roman" w:hAnsi="Times New Roman"/>
          <w:bCs/>
          <w:lang w:val="en-US" w:eastAsia="ru-RU"/>
        </w:rPr>
        <w:t xml:space="preserve"> 06.52.13</w:t>
      </w:r>
    </w:p>
    <w:p>
      <w:pPr>
        <w:pStyle w:val="Normal"/>
        <w:widowControl w:val="false"/>
        <w:spacing w:lineRule="auto" w:line="240" w:before="0" w:after="0"/>
        <w:rPr>
          <w:rFonts w:ascii="Times New Roman" w:hAnsi="Times New Roman" w:eastAsia="Times New Roman" w:cs="Times New Roman"/>
          <w:bCs/>
          <w:sz w:val="24"/>
          <w:szCs w:val="24"/>
          <w:lang w:val="en-US" w:eastAsia="ru-RU"/>
        </w:rPr>
      </w:pPr>
      <w:r>
        <w:rPr>
          <w:rFonts w:eastAsia="Times New Roman" w:cs="Times New Roman" w:ascii="Times New Roman" w:hAnsi="Times New Roman"/>
          <w:bCs/>
          <w:sz w:val="24"/>
          <w:szCs w:val="24"/>
          <w:lang w:val="en-US" w:eastAsia="ru-RU"/>
        </w:rPr>
      </w:r>
    </w:p>
    <w:p>
      <w:pPr>
        <w:pStyle w:val="Normal"/>
        <w:widowControl w:val="false"/>
        <w:spacing w:lineRule="auto" w:line="240" w:before="0" w:after="0"/>
        <w:ind w:firstLine="567"/>
        <w:jc w:val="center"/>
        <w:rPr>
          <w:rFonts w:ascii="Times New Roman" w:hAnsi="Times New Roman" w:eastAsia="Times New Roman" w:cs="Times New Roman"/>
          <w:b/>
          <w:bCs/>
          <w:lang w:val="en-US" w:eastAsia="x-none"/>
        </w:rPr>
      </w:pPr>
      <w:r>
        <w:rPr>
          <w:rFonts w:eastAsia="Times New Roman" w:cs="Times New Roman" w:ascii="Times New Roman" w:hAnsi="Times New Roman"/>
          <w:b/>
          <w:bCs/>
          <w:lang w:val="en-US" w:eastAsia="x-none"/>
        </w:rPr>
        <w:t xml:space="preserve">SUSTAINABLE DEVELOPMENT RURAL AREAS OF KAZAKHSTAN: CURRENT STATE </w:t>
      </w:r>
    </w:p>
    <w:p>
      <w:pPr>
        <w:pStyle w:val="Normal"/>
        <w:widowControl w:val="false"/>
        <w:spacing w:lineRule="auto" w:line="240" w:before="0" w:after="0"/>
        <w:ind w:firstLine="567"/>
        <w:jc w:val="center"/>
        <w:rPr>
          <w:rFonts w:ascii="Times New Roman" w:hAnsi="Times New Roman" w:eastAsia="Times New Roman" w:cs="Times New Roman"/>
          <w:b/>
          <w:bCs/>
          <w:lang w:val="en-US" w:eastAsia="x-none"/>
        </w:rPr>
      </w:pPr>
      <w:r>
        <w:rPr>
          <w:rFonts w:eastAsia="Times New Roman" w:cs="Times New Roman" w:ascii="Times New Roman" w:hAnsi="Times New Roman"/>
          <w:b/>
          <w:bCs/>
          <w:lang w:val="en-US" w:eastAsia="x-none"/>
        </w:rPr>
      </w:r>
    </w:p>
    <w:p>
      <w:pPr>
        <w:pStyle w:val="NormalWeb"/>
        <w:spacing w:lineRule="auto" w:line="240" w:before="0" w:after="0"/>
        <w:jc w:val="center"/>
        <w:rPr>
          <w:rFonts w:eastAsia="Times New Roman"/>
          <w:sz w:val="22"/>
          <w:szCs w:val="22"/>
          <w:lang w:val="en-US" w:eastAsia="ru-RU"/>
        </w:rPr>
      </w:pPr>
      <w:r>
        <w:rPr>
          <w:rFonts w:eastAsia="Times New Roman"/>
          <w:b/>
          <w:sz w:val="22"/>
          <w:szCs w:val="22"/>
          <w:vertAlign w:val="superscript"/>
          <w:lang w:val="kk-KZ"/>
        </w:rPr>
        <w:t>1</w:t>
      </w:r>
      <w:r>
        <w:rPr>
          <w:rFonts w:eastAsia="Times New Roman"/>
          <w:b/>
          <w:sz w:val="22"/>
          <w:szCs w:val="22"/>
          <w:lang w:val="en-US" w:eastAsia="ru-RU"/>
        </w:rPr>
        <w:t xml:space="preserve"> Zh.S.Bulkhairova</w:t>
      </w:r>
      <w:r>
        <w:rPr/>
        <w:drawing>
          <wp:inline distT="0" distB="0" distL="0" distR="0">
            <wp:extent cx="137160" cy="137160"/>
            <wp:effectExtent l="0" t="0" r="0" b="0"/>
            <wp:docPr id="3" name="Рисунок 1" descr="D:\Desktop\иконка.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D:\Desktop\иконка.png">
                      <a:hlinkClick r:id="rId35"/>
                    </pic:cNvPr>
                    <pic:cNvPicPr>
                      <a:picLocks noChangeAspect="1" noChangeArrowheads="1"/>
                    </pic:cNvPicPr>
                  </pic:nvPicPr>
                  <pic:blipFill>
                    <a:blip r:embed="rId34"/>
                    <a:stretch>
                      <a:fillRect/>
                    </a:stretch>
                  </pic:blipFill>
                  <pic:spPr bwMode="auto">
                    <a:xfrm>
                      <a:off x="0" y="0"/>
                      <a:ext cx="137160" cy="137160"/>
                    </a:xfrm>
                    <a:prstGeom prst="rect">
                      <a:avLst/>
                    </a:prstGeom>
                    <a:noFill/>
                  </pic:spPr>
                </pic:pic>
              </a:graphicData>
            </a:graphic>
          </wp:inline>
        </w:drawing>
      </w:r>
      <w:r>
        <w:rPr>
          <w:rFonts w:eastAsia="Times New Roman"/>
          <w:b/>
          <w:sz w:val="22"/>
          <w:szCs w:val="22"/>
          <w:lang w:val="kk-KZ" w:eastAsia="ru-RU"/>
        </w:rPr>
        <w:t>,</w:t>
      </w:r>
      <w:r>
        <w:rPr>
          <w:rFonts w:eastAsia="Times New Roman"/>
          <w:b/>
          <w:color w:val="000000"/>
          <w:sz w:val="22"/>
          <w:szCs w:val="22"/>
          <w:lang w:val="kk-KZ"/>
        </w:rPr>
        <w:t xml:space="preserve"> </w:t>
      </w:r>
      <w:r>
        <w:rPr>
          <w:rFonts w:eastAsia="Times New Roman"/>
          <w:b/>
          <w:sz w:val="22"/>
          <w:szCs w:val="22"/>
          <w:vertAlign w:val="superscript"/>
          <w:lang w:val="kk-KZ"/>
        </w:rPr>
        <w:t>2</w:t>
      </w:r>
      <w:r>
        <w:rPr>
          <w:rFonts w:eastAsia="Times New Roman"/>
          <w:b/>
          <w:sz w:val="22"/>
          <w:szCs w:val="22"/>
          <w:vertAlign w:val="superscript"/>
          <w:lang w:val="en-US"/>
        </w:rPr>
        <w:t xml:space="preserve"> </w:t>
      </w:r>
      <w:r>
        <w:rPr>
          <w:rFonts w:eastAsia="Times New Roman"/>
          <w:b/>
          <w:color w:val="000000"/>
          <w:sz w:val="22"/>
          <w:szCs w:val="22"/>
          <w:lang w:val="en-US"/>
        </w:rPr>
        <w:t>Zh.</w:t>
      </w:r>
      <w:r>
        <w:rPr>
          <w:rFonts w:eastAsia="Times New Roman"/>
          <w:b/>
          <w:color w:val="000000"/>
          <w:sz w:val="22"/>
          <w:szCs w:val="22"/>
          <w:lang w:val="kk-KZ"/>
        </w:rPr>
        <w:t>Yerniyazova</w:t>
      </w:r>
      <w:r>
        <w:rPr/>
        <w:drawing>
          <wp:inline distT="0" distB="0" distL="0" distR="0">
            <wp:extent cx="137160" cy="137160"/>
            <wp:effectExtent l="0" t="0" r="0" b="0"/>
            <wp:docPr id="4" name="Рисунок 2" descr="D:\Desktop\иконка.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descr="D:\Desktop\иконка.png">
                      <a:hlinkClick r:id="rId37"/>
                    </pic:cNvPr>
                    <pic:cNvPicPr>
                      <a:picLocks noChangeAspect="1" noChangeArrowheads="1"/>
                    </pic:cNvPicPr>
                  </pic:nvPicPr>
                  <pic:blipFill>
                    <a:blip r:embed="rId36"/>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rFonts w:eastAsia="Times New Roman"/>
          <w:b/>
          <w:spacing w:val="-9"/>
          <w:sz w:val="22"/>
          <w:szCs w:val="22"/>
          <w:lang w:val="kk-KZ" w:eastAsia="x-none"/>
        </w:rPr>
        <w:t xml:space="preserve">, </w:t>
      </w:r>
      <w:r>
        <w:rPr>
          <w:rFonts w:eastAsia="Times New Roman"/>
          <w:b/>
          <w:sz w:val="22"/>
          <w:szCs w:val="22"/>
          <w:vertAlign w:val="superscript"/>
          <w:lang w:val="kk-KZ"/>
        </w:rPr>
        <w:t>2</w:t>
      </w:r>
      <w:r>
        <w:rPr>
          <w:rFonts w:eastAsia="Times New Roman"/>
          <w:b/>
          <w:sz w:val="22"/>
          <w:szCs w:val="22"/>
          <w:vertAlign w:val="superscript"/>
          <w:lang w:val="en-US"/>
        </w:rPr>
        <w:t xml:space="preserve"> </w:t>
      </w:r>
      <w:r>
        <w:rPr>
          <w:rFonts w:eastAsia="Times New Roman"/>
          <w:b/>
          <w:sz w:val="22"/>
          <w:szCs w:val="22"/>
          <w:lang w:val="kk-KZ" w:eastAsia="ru-RU"/>
        </w:rPr>
        <w:t>B.</w:t>
      </w:r>
      <w:r>
        <w:rPr>
          <w:rFonts w:eastAsia="Times New Roman"/>
          <w:b/>
          <w:spacing w:val="-9"/>
          <w:sz w:val="22"/>
          <w:szCs w:val="22"/>
          <w:lang w:val="kk-KZ" w:eastAsia="x-none"/>
        </w:rPr>
        <w:t>Aidosova</w:t>
      </w:r>
      <w:r>
        <w:rPr/>
        <w:drawing>
          <wp:inline distT="0" distB="0" distL="0" distR="0">
            <wp:extent cx="137160" cy="137160"/>
            <wp:effectExtent l="0" t="0" r="0" b="0"/>
            <wp:docPr id="5" name="Рисунок 3" descr="D:\Desktop\иконка.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descr="D:\Desktop\иконка.png">
                      <a:hlinkClick r:id="rId39"/>
                    </pic:cNvPr>
                    <pic:cNvPicPr>
                      <a:picLocks noChangeAspect="1" noChangeArrowheads="1"/>
                    </pic:cNvPicPr>
                  </pic:nvPicPr>
                  <pic:blipFill>
                    <a:blip r:embed="rId38"/>
                    <a:stretch>
                      <a:fillRect/>
                    </a:stretch>
                  </pic:blipFill>
                  <pic:spPr bwMode="auto">
                    <a:xfrm>
                      <a:off x="0" y="0"/>
                      <a:ext cx="137160" cy="137160"/>
                    </a:xfrm>
                    <a:prstGeom prst="rect">
                      <a:avLst/>
                    </a:prstGeom>
                    <a:noFill/>
                  </pic:spPr>
                </pic:pic>
              </a:graphicData>
            </a:graphic>
          </wp:inline>
        </w:drawing>
      </w:r>
      <w:r>
        <w:rPr>
          <w:rFonts w:eastAsia="Times New Roman"/>
          <w:b/>
          <w:sz w:val="22"/>
          <w:szCs w:val="22"/>
          <w:lang w:val="kk-KZ" w:eastAsia="ru-RU"/>
        </w:rPr>
        <w:t xml:space="preserve">, </w:t>
      </w:r>
      <w:r>
        <w:rPr>
          <w:rFonts w:eastAsia="Times New Roman"/>
          <w:b/>
          <w:sz w:val="22"/>
          <w:szCs w:val="22"/>
          <w:lang w:val="en-US" w:eastAsia="ru-RU"/>
        </w:rPr>
        <w:t xml:space="preserve"> </w:t>
      </w:r>
      <w:r>
        <w:rPr>
          <w:rFonts w:eastAsia="Times New Roman"/>
          <w:b/>
          <w:sz w:val="22"/>
          <w:szCs w:val="22"/>
          <w:lang w:val="kk-KZ"/>
        </w:rPr>
        <w:t>A.</w:t>
      </w:r>
      <w:r>
        <w:rPr>
          <w:rFonts w:eastAsia="Times New Roman"/>
          <w:b/>
          <w:sz w:val="22"/>
          <w:szCs w:val="22"/>
          <w:lang w:val="en-US"/>
        </w:rPr>
        <w:t>A.</w:t>
      </w:r>
      <w:r>
        <w:rPr>
          <w:rFonts w:eastAsia="Times New Roman"/>
          <w:b/>
          <w:sz w:val="22"/>
          <w:szCs w:val="22"/>
          <w:lang w:val="kk-KZ"/>
        </w:rPr>
        <w:t>Makenova</w:t>
      </w:r>
      <w:r>
        <w:rPr/>
        <w:drawing>
          <wp:inline distT="0" distB="0" distL="0" distR="0">
            <wp:extent cx="137160" cy="137160"/>
            <wp:effectExtent l="0" t="0" r="0" b="0"/>
            <wp:docPr id="6" name="Рисунок 4" descr="D:\Desktop\иконка.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D:\Desktop\иконка.png">
                      <a:hlinkClick r:id="rId41"/>
                    </pic:cNvPr>
                    <pic:cNvPicPr>
                      <a:picLocks noChangeAspect="1" noChangeArrowheads="1"/>
                    </pic:cNvPicPr>
                  </pic:nvPicPr>
                  <pic:blipFill>
                    <a:blip r:embed="rId40"/>
                    <a:stretch>
                      <a:fillRect/>
                    </a:stretch>
                  </pic:blipFill>
                  <pic:spPr bwMode="auto">
                    <a:xfrm>
                      <a:off x="0" y="0"/>
                      <a:ext cx="137160" cy="137160"/>
                    </a:xfrm>
                    <a:prstGeom prst="rect">
                      <a:avLst/>
                    </a:prstGeom>
                    <a:noFill/>
                  </pic:spPr>
                </pic:pic>
              </a:graphicData>
            </a:graphic>
          </wp:inline>
        </w:drawing>
      </w:r>
      <w:r>
        <w:rPr>
          <w:rFonts w:eastAsia="Times New Roman"/>
          <w:b/>
          <w:sz w:val="22"/>
          <w:szCs w:val="22"/>
          <w:lang w:val="kk-KZ"/>
        </w:rPr>
        <w:t>,</w:t>
      </w:r>
    </w:p>
    <w:p>
      <w:pPr>
        <w:pStyle w:val="NormalWeb"/>
        <w:spacing w:lineRule="auto" w:line="240" w:before="0" w:after="0"/>
        <w:jc w:val="center"/>
        <w:rPr>
          <w:rFonts w:eastAsia="Times New Roman"/>
          <w:sz w:val="22"/>
          <w:szCs w:val="22"/>
          <w:lang w:val="en-US" w:eastAsia="ru-RU"/>
        </w:rPr>
      </w:pPr>
      <w:r>
        <w:rPr>
          <w:rFonts w:eastAsia="Times New Roman"/>
          <w:b/>
          <w:sz w:val="22"/>
          <w:szCs w:val="22"/>
          <w:vertAlign w:val="superscript"/>
          <w:lang w:val="kk-KZ"/>
        </w:rPr>
        <w:t>3</w:t>
      </w:r>
      <w:r>
        <w:rPr>
          <w:rFonts w:eastAsia="Times New Roman"/>
          <w:b/>
          <w:sz w:val="22"/>
          <w:szCs w:val="22"/>
          <w:lang w:val="en-US"/>
        </w:rPr>
        <w:t xml:space="preserve">A.Zh. </w:t>
      </w:r>
      <w:r>
        <w:rPr>
          <w:rFonts w:eastAsia="Times New Roman"/>
          <w:b/>
          <w:sz w:val="22"/>
          <w:szCs w:val="22"/>
          <w:lang w:val="kk-KZ"/>
        </w:rPr>
        <w:t>Mashayeva</w:t>
      </w:r>
      <w:r>
        <w:rPr/>
        <w:drawing>
          <wp:inline distT="0" distB="0" distL="0" distR="0">
            <wp:extent cx="137160" cy="137160"/>
            <wp:effectExtent l="0" t="0" r="0" b="0"/>
            <wp:docPr id="7" name="Рисунок 5" descr="D:\Desktop\иконка.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D:\Desktop\иконка.png">
                      <a:hlinkClick r:id="rId43"/>
                    </pic:cNvPr>
                    <pic:cNvPicPr>
                      <a:picLocks noChangeAspect="1" noChangeArrowheads="1"/>
                    </pic:cNvPicPr>
                  </pic:nvPicPr>
                  <pic:blipFill>
                    <a:blip r:embed="rId42"/>
                    <a:stretch>
                      <a:fillRect/>
                    </a:stretch>
                  </pic:blipFill>
                  <pic:spPr bwMode="auto">
                    <a:xfrm>
                      <a:off x="0" y="0"/>
                      <a:ext cx="137160" cy="137160"/>
                    </a:xfrm>
                    <a:prstGeom prst="rect">
                      <a:avLst/>
                    </a:prstGeom>
                    <a:noFill/>
                  </pic:spPr>
                </pic:pic>
              </a:graphicData>
            </a:graphic>
          </wp:inline>
        </w:drawing>
      </w:r>
      <w:r>
        <w:rPr>
          <w:rFonts w:eastAsia="Times New Roman"/>
          <w:b/>
          <w:sz w:val="22"/>
          <w:szCs w:val="22"/>
          <w:lang w:val="kk-KZ"/>
        </w:rPr>
        <w:t xml:space="preserve">, </w:t>
      </w:r>
      <w:r>
        <w:rPr>
          <w:rFonts w:eastAsia="Times New Roman"/>
          <w:b/>
          <w:sz w:val="22"/>
          <w:szCs w:val="22"/>
          <w:vertAlign w:val="superscript"/>
          <w:lang w:val="kk-KZ"/>
        </w:rPr>
        <w:t>2</w:t>
      </w:r>
      <w:r>
        <w:rPr>
          <w:rFonts w:eastAsia="Times New Roman"/>
          <w:b/>
          <w:sz w:val="22"/>
          <w:szCs w:val="22"/>
          <w:lang w:val="kk-KZ"/>
        </w:rPr>
        <w:t>G.Ospanova</w:t>
      </w:r>
      <w:r>
        <w:rPr/>
        <w:drawing>
          <wp:inline distT="0" distB="0" distL="0" distR="0">
            <wp:extent cx="137160" cy="137160"/>
            <wp:effectExtent l="0" t="0" r="0" b="0"/>
            <wp:docPr id="8" name="Рисунок 10" descr="D:\Desktop\иконка.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0" descr="D:\Desktop\иконка.png">
                      <a:hlinkClick r:id="rId45"/>
                    </pic:cNvPr>
                    <pic:cNvPicPr>
                      <a:picLocks noChangeAspect="1" noChangeArrowheads="1"/>
                    </pic:cNvPicPr>
                  </pic:nvPicPr>
                  <pic:blipFill>
                    <a:blip r:embed="rId44"/>
                    <a:stretch>
                      <a:fillRect/>
                    </a:stretch>
                  </pic:blipFill>
                  <pic:spPr bwMode="auto">
                    <a:xfrm>
                      <a:off x="0" y="0"/>
                      <a:ext cx="137160" cy="137160"/>
                    </a:xfrm>
                    <a:prstGeom prst="rect">
                      <a:avLst/>
                    </a:prstGeom>
                    <a:noFill/>
                  </pic:spPr>
                </pic:pic>
              </a:graphicData>
            </a:graphic>
          </wp:inline>
        </w:drawing>
      </w:r>
    </w:p>
    <w:p>
      <w:pPr>
        <w:pStyle w:val="Normal"/>
        <w:widowControl w:val="false"/>
        <w:spacing w:lineRule="auto" w:line="240" w:before="0" w:after="0"/>
        <w:jc w:val="center"/>
        <w:rPr>
          <w:rFonts w:ascii="Times New Roman" w:hAnsi="Times New Roman" w:eastAsia="Times New Roman" w:cs="Times New Roman"/>
          <w:i/>
          <w:i/>
          <w:iCs/>
          <w:sz w:val="20"/>
          <w:szCs w:val="20"/>
          <w:vertAlign w:val="superscript"/>
          <w:lang w:val="en-US" w:eastAsia="x-none"/>
        </w:rPr>
      </w:pPr>
      <w:r>
        <w:rPr>
          <w:rFonts w:eastAsia="Times New Roman" w:cs="Times New Roman" w:ascii="Times New Roman" w:hAnsi="Times New Roman"/>
          <w:i/>
          <w:iCs/>
          <w:sz w:val="20"/>
          <w:szCs w:val="20"/>
          <w:vertAlign w:val="superscript"/>
          <w:lang w:val="kk-KZ"/>
        </w:rPr>
        <w:t>1</w:t>
      </w:r>
      <w:r>
        <w:rPr>
          <w:rFonts w:eastAsia="Times New Roman" w:cs="Times New Roman" w:ascii="Times New Roman" w:hAnsi="Times New Roman"/>
          <w:i/>
          <w:iCs/>
          <w:sz w:val="20"/>
          <w:szCs w:val="20"/>
          <w:lang w:val="en-US"/>
        </w:rPr>
        <w:t>Kazakh National University of Sports</w:t>
      </w:r>
      <w:r>
        <w:rPr>
          <w:rFonts w:eastAsia="Times New Roman" w:cs="Times New Roman" w:ascii="Times New Roman" w:hAnsi="Times New Roman"/>
          <w:bCs/>
          <w:i/>
          <w:iCs/>
          <w:sz w:val="20"/>
          <w:szCs w:val="20"/>
          <w:lang w:val="kk-KZ" w:eastAsia="ru-RU"/>
        </w:rPr>
        <w:t>,</w:t>
      </w:r>
      <w:r>
        <w:rPr>
          <w:rFonts w:eastAsia="Times New Roman" w:cs="Times New Roman" w:ascii="Times New Roman" w:hAnsi="Times New Roman"/>
          <w:bCs/>
          <w:i/>
          <w:iCs/>
          <w:sz w:val="20"/>
          <w:szCs w:val="20"/>
          <w:lang w:val="en-US" w:eastAsia="ru-RU"/>
        </w:rPr>
        <w:t xml:space="preserve"> Astana, Kazakhstan,</w:t>
      </w:r>
    </w:p>
    <w:p>
      <w:pPr>
        <w:pStyle w:val="Normal"/>
        <w:widowControl w:val="false"/>
        <w:spacing w:lineRule="auto" w:line="240" w:before="0" w:after="0"/>
        <w:jc w:val="center"/>
        <w:rPr>
          <w:rFonts w:ascii="Times New Roman" w:hAnsi="Times New Roman" w:eastAsia="Times New Roman" w:cs="Times New Roman"/>
          <w:i/>
          <w:i/>
          <w:iCs/>
          <w:sz w:val="20"/>
          <w:szCs w:val="20"/>
          <w:lang w:val="en-US" w:eastAsia="x-none"/>
        </w:rPr>
      </w:pPr>
      <w:r>
        <w:rPr>
          <w:rFonts w:eastAsia="Times New Roman" w:cs="Times New Roman" w:ascii="Times New Roman" w:hAnsi="Times New Roman"/>
          <w:i/>
          <w:iCs/>
          <w:sz w:val="20"/>
          <w:szCs w:val="20"/>
          <w:vertAlign w:val="superscript"/>
          <w:lang w:val="en-US" w:eastAsia="x-none"/>
        </w:rPr>
        <w:t>2</w:t>
      </w:r>
      <w:r>
        <w:rPr>
          <w:rFonts w:eastAsia="Times New Roman" w:cs="Times New Roman" w:ascii="Times New Roman" w:hAnsi="Times New Roman"/>
          <w:i/>
          <w:iCs/>
          <w:sz w:val="20"/>
          <w:szCs w:val="20"/>
          <w:lang w:val="en-US" w:eastAsia="x-none"/>
        </w:rPr>
        <w:t xml:space="preserve"> Korkyt Ata Kyzylorda University, Kyzylorda, Kazakhstan,</w:t>
      </w:r>
    </w:p>
    <w:p>
      <w:pPr>
        <w:pStyle w:val="Normal"/>
        <w:spacing w:lineRule="auto" w:line="240" w:before="0" w:after="0"/>
        <w:jc w:val="center"/>
        <w:rPr>
          <w:rFonts w:ascii="Times New Roman" w:hAnsi="Times New Roman" w:eastAsia="Times New Roman" w:cs="Times New Roman"/>
          <w:i/>
          <w:i/>
          <w:iCs/>
          <w:sz w:val="20"/>
          <w:szCs w:val="20"/>
          <w:lang w:val="en-US"/>
        </w:rPr>
      </w:pPr>
      <w:r>
        <w:rPr>
          <w:rFonts w:eastAsia="Times New Roman" w:cs="Times New Roman" w:ascii="Times New Roman" w:hAnsi="Times New Roman"/>
          <w:i/>
          <w:iCs/>
          <w:sz w:val="20"/>
          <w:szCs w:val="20"/>
          <w:vertAlign w:val="superscript"/>
          <w:lang w:val="en-US"/>
        </w:rPr>
        <w:t>3</w:t>
      </w:r>
      <w:r>
        <w:rPr>
          <w:rFonts w:eastAsia="Times New Roman" w:cs="Times New Roman" w:ascii="Times New Roman" w:hAnsi="Times New Roman"/>
          <w:i/>
          <w:iCs/>
          <w:sz w:val="20"/>
          <w:szCs w:val="20"/>
          <w:lang w:val="en-US"/>
        </w:rPr>
        <w:t>L.N. Gumilyov Eurasian National University,</w:t>
      </w:r>
      <w:r>
        <w:rPr>
          <w:rFonts w:eastAsia="Times New Roman" w:cs="Times New Roman" w:ascii="Times New Roman" w:hAnsi="Times New Roman"/>
          <w:i/>
          <w:iCs/>
          <w:sz w:val="20"/>
          <w:szCs w:val="20"/>
          <w:lang w:val="kk-KZ"/>
        </w:rPr>
        <w:t xml:space="preserve"> </w:t>
      </w:r>
      <w:r>
        <w:rPr>
          <w:rFonts w:eastAsia="Times New Roman" w:cs="Times New Roman" w:ascii="Times New Roman" w:hAnsi="Times New Roman"/>
          <w:i/>
          <w:iCs/>
          <w:sz w:val="20"/>
          <w:szCs w:val="20"/>
          <w:lang w:val="en-US"/>
        </w:rPr>
        <w:t>Astana, Kazakhstan</w:t>
      </w:r>
    </w:p>
    <w:p>
      <w:pPr>
        <w:pStyle w:val="Normal"/>
        <w:spacing w:lineRule="auto" w:line="240" w:before="0" w:after="0"/>
        <w:ind w:firstLine="567"/>
        <w:jc w:val="center"/>
        <w:rPr>
          <w:rFonts w:ascii="Times New Roman" w:hAnsi="Times New Roman" w:eastAsia="Times New Roman" w:cs="Times New Roman"/>
          <w:i/>
          <w:i/>
          <w:iCs/>
          <w:sz w:val="20"/>
          <w:szCs w:val="20"/>
          <w:lang w:val="en-US"/>
        </w:rPr>
      </w:pPr>
      <w:r>
        <w:rPr>
          <w:rFonts w:eastAsia="Times New Roman" w:cs="Times New Roman" w:ascii="Times New Roman" w:hAnsi="Times New Roman"/>
          <w:i/>
          <w:iCs/>
          <w:sz w:val="20"/>
          <w:szCs w:val="20"/>
          <w:lang w:val="en-US"/>
        </w:rPr>
      </w:r>
    </w:p>
    <w:p>
      <w:pPr>
        <w:pStyle w:val="Normal"/>
        <w:spacing w:lineRule="auto" w:line="240" w:before="0" w:after="0"/>
        <w:rPr>
          <w:rFonts w:ascii="Times New Roman" w:hAnsi="Times New Roman" w:eastAsia="Times New Roman" w:cs="Times New Roman"/>
          <w:sz w:val="20"/>
          <w:szCs w:val="20"/>
          <w:lang w:val="en-US" w:eastAsia="x-none"/>
        </w:rPr>
      </w:pPr>
      <w:r>
        <w:rPr>
          <w:rFonts w:eastAsia="Times New Roman" w:cs="Times New Roman" w:ascii="Times New Roman" w:hAnsi="Times New Roman"/>
          <w:sz w:val="20"/>
          <w:szCs w:val="20"/>
          <w:lang w:val="en-US" w:eastAsia="x-none"/>
        </w:rPr>
        <w:t xml:space="preserve"> </w:t>
      </w:r>
      <w:r>
        <w:rPr>
          <w:rFonts w:eastAsia="Wingdings" w:cs="Wingdings" w:ascii="Wingdings" w:hAnsi="Wingdings"/>
          <w:b/>
          <w:bCs/>
          <w:color w:val="1F497D"/>
          <w:sz w:val="20"/>
          <w:vertAlign w:val="superscript"/>
        </w:rPr>
        <w:sym w:font="Wingdings" w:char="f02a"/>
      </w:r>
      <w:r>
        <w:rPr>
          <w:rFonts w:eastAsia="Times New Roman" w:cs="Times New Roman" w:ascii="Times New Roman" w:hAnsi="Times New Roman"/>
          <w:sz w:val="20"/>
          <w:szCs w:val="20"/>
          <w:lang w:val="en-US" w:eastAsia="x-none"/>
        </w:rPr>
        <w:t xml:space="preserve">Corresponding author: </w:t>
      </w:r>
      <w:hyperlink r:id="rId46">
        <w:r>
          <w:rPr>
            <w:rStyle w:val="Style3"/>
            <w:rFonts w:eastAsia="Times New Roman" w:cs="Times New Roman" w:ascii="Times New Roman" w:hAnsi="Times New Roman"/>
            <w:color w:val="0000FF"/>
            <w:sz w:val="20"/>
            <w:szCs w:val="20"/>
            <w:lang w:val="en-US" w:eastAsia="x-none"/>
          </w:rPr>
          <w:t>bolat39@mail.ru</w:t>
        </w:r>
      </w:hyperlink>
      <w:r>
        <w:rPr>
          <w:rFonts w:eastAsia="Times New Roman" w:cs="Times New Roman" w:ascii="Cambria" w:hAnsi="Cambria"/>
          <w:sz w:val="24"/>
          <w:szCs w:val="24"/>
          <w:lang w:val="en-US"/>
        </w:rPr>
        <w:t xml:space="preserve"> </w:t>
      </w:r>
    </w:p>
    <w:p>
      <w:pPr>
        <w:pStyle w:val="Normal"/>
        <w:widowControl w:val="false"/>
        <w:spacing w:lineRule="auto" w:line="240" w:before="0" w:after="0"/>
        <w:ind w:firstLine="567"/>
        <w:jc w:val="center"/>
        <w:rPr>
          <w:rFonts w:ascii="Times New Roman" w:hAnsi="Times New Roman" w:eastAsia="Times New Roman" w:cs="Times New Roman"/>
          <w:b/>
          <w:bCs/>
          <w:sz w:val="24"/>
          <w:szCs w:val="24"/>
          <w:lang w:val="en-US" w:eastAsia="x-none"/>
        </w:rPr>
      </w:pPr>
      <w:r>
        <w:rPr>
          <w:rFonts w:eastAsia="Times New Roman" w:cs="Times New Roman" w:ascii="Times New Roman" w:hAnsi="Times New Roman"/>
          <w:b/>
          <w:bCs/>
          <w:sz w:val="24"/>
          <w:szCs w:val="24"/>
          <w:lang w:val="en-US" w:eastAsia="x-none"/>
        </w:rPr>
      </w:r>
    </w:p>
    <w:p>
      <w:pPr>
        <w:pStyle w:val="Normal"/>
        <w:spacing w:lineRule="auto" w:line="240" w:before="0" w:after="0"/>
        <w:ind w:firstLine="567"/>
        <w:jc w:val="both"/>
        <w:rPr>
          <w:rFonts w:ascii="Times New Roman" w:hAnsi="Times New Roman" w:eastAsia="Times New Roman" w:cs="Times New Roman"/>
          <w:sz w:val="24"/>
          <w:szCs w:val="24"/>
          <w:lang w:val="kk-KZ" w:eastAsia="x-none"/>
        </w:rPr>
      </w:pPr>
      <w:r>
        <w:rPr>
          <w:rFonts w:eastAsia="Times New Roman" w:cs="Times New Roman" w:ascii="Times New Roman" w:hAnsi="Times New Roman"/>
          <w:sz w:val="24"/>
          <w:szCs w:val="24"/>
          <w:lang w:val="en-US" w:eastAsia="x-none"/>
        </w:rPr>
        <w:t>In this paper, the authors analyze the contemporary sustainable development of rural territories. It is the stability of the agricultural sector that exerts the greatest influence on the condition of all spheres of human activity, ranging from regional to global levels. The sustainable growth of both the national and regional economy, considering the general trends of functioning and advancement of the country, possesses its own specific features defined by the conditions of production, the efficiency of resource utilization, human capital, and other factors. Sustainable development reflects a state of balanced and fair progress, expressed through the coordinated use of natural resources, distribution of investments, direction of technological advancement, personal improvement, and institutional reforms. At present, Kazakhstan’s economic development has contributed to a more rational operation of the agricultural management system. The study emphasized the current status of rural sustainability: the condition of rural territories, principal indicators of animal husbandry, crop production, and related areas. It should also be stressed that to successfully implement the principles of the Sustainable Development Goals, a comprehensive investigation is required, with special focus on gender aspects within all demographic groups. Currently, in Kazakhstan, during budget planning, efforts are made to systematically consider the demands of diverse demographic categories. Therefore, acquiring strong skills in effective cost reduction is essential, as it ensures the production and sale of agricultural goods with competitive advantages over other market actors. To broaden the range of agricultural products, it is equally important to acquire expertise in diversification of agricultural production.</w:t>
      </w:r>
    </w:p>
    <w:p>
      <w:pPr>
        <w:pStyle w:val="Normal"/>
        <w:spacing w:lineRule="auto" w:line="240" w:before="0" w:after="0"/>
        <w:ind w:firstLine="567"/>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b/>
          <w:bCs/>
          <w:iCs/>
          <w:sz w:val="24"/>
          <w:szCs w:val="24"/>
          <w:lang w:val="en-US" w:eastAsia="ru-RU"/>
        </w:rPr>
        <w:t xml:space="preserve">Keywords: </w:t>
      </w:r>
      <w:r>
        <w:rPr>
          <w:rFonts w:eastAsia="Times New Roman" w:cs="Times New Roman" w:ascii="Times New Roman" w:hAnsi="Times New Roman"/>
          <w:iCs/>
          <w:sz w:val="24"/>
          <w:szCs w:val="24"/>
          <w:lang w:val="en-US" w:eastAsia="ru-RU"/>
        </w:rPr>
        <w:t>sustainable development, settlements, rural areas, agriculture, crop production, animal husbandry, ecology, agricultural products.</w:t>
      </w:r>
    </w:p>
    <w:p>
      <w:pPr>
        <w:pStyle w:val="Normal"/>
        <w:widowControl w:val="false"/>
        <w:numPr>
          <w:ilvl w:val="0"/>
          <w:numId w:val="0"/>
        </w:numPr>
        <w:spacing w:lineRule="auto" w:line="240" w:before="0" w:after="0"/>
        <w:ind w:firstLine="567"/>
        <w:jc w:val="center"/>
        <w:outlineLvl w:val="2"/>
        <w:rPr>
          <w:rFonts w:ascii="Times New Roman" w:hAnsi="Times New Roman" w:eastAsia="Times New Roman" w:cs="Times New Roman"/>
          <w:b/>
          <w:bCs/>
          <w:sz w:val="24"/>
          <w:szCs w:val="24"/>
          <w:lang w:val="en-US" w:eastAsia="x-none"/>
        </w:rPr>
      </w:pPr>
      <w:r>
        <w:rPr>
          <w:rFonts w:eastAsia="Times New Roman" w:cs="Times New Roman" w:ascii="Times New Roman" w:hAnsi="Times New Roman"/>
          <w:b/>
          <w:bCs/>
          <w:sz w:val="24"/>
          <w:szCs w:val="24"/>
          <w:lang w:val="en-US" w:eastAsia="x-none"/>
        </w:rPr>
      </w:r>
    </w:p>
    <w:p>
      <w:pPr>
        <w:pStyle w:val="Normal"/>
        <w:widowControl w:val="false"/>
        <w:numPr>
          <w:ilvl w:val="0"/>
          <w:numId w:val="0"/>
        </w:numPr>
        <w:spacing w:lineRule="auto" w:line="240" w:before="0" w:after="0"/>
        <w:ind w:firstLine="567"/>
        <w:jc w:val="center"/>
        <w:outlineLvl w:val="2"/>
        <w:rPr>
          <w:rFonts w:ascii="Times New Roman" w:hAnsi="Times New Roman" w:eastAsia="Times New Roman" w:cs="Times New Roman"/>
          <w:b/>
          <w:bCs/>
          <w:lang w:val="en-US" w:eastAsia="x-none"/>
        </w:rPr>
      </w:pPr>
      <w:r>
        <w:rPr>
          <w:rFonts w:eastAsia="Times New Roman" w:cs="Times New Roman" w:ascii="Times New Roman" w:hAnsi="Times New Roman"/>
          <w:b/>
          <w:bCs/>
          <w:lang w:eastAsia="x-none"/>
        </w:rPr>
        <w:t>ҚАЗАҚСТАННЫҢ</w:t>
      </w:r>
      <w:r>
        <w:rPr>
          <w:rFonts w:eastAsia="Times New Roman" w:cs="Times New Roman" w:ascii="Times New Roman" w:hAnsi="Times New Roman"/>
          <w:b/>
          <w:bCs/>
          <w:lang w:val="en-US" w:eastAsia="x-none"/>
        </w:rPr>
        <w:t xml:space="preserve"> </w:t>
      </w:r>
      <w:r>
        <w:rPr>
          <w:rFonts w:eastAsia="Times New Roman" w:cs="Times New Roman" w:ascii="Times New Roman" w:hAnsi="Times New Roman"/>
          <w:b/>
          <w:bCs/>
          <w:lang w:eastAsia="x-none"/>
        </w:rPr>
        <w:t>АУЫЛДЫҚ</w:t>
      </w:r>
      <w:r>
        <w:rPr>
          <w:rFonts w:eastAsia="Times New Roman" w:cs="Times New Roman" w:ascii="Times New Roman" w:hAnsi="Times New Roman"/>
          <w:b/>
          <w:bCs/>
          <w:lang w:val="en-US" w:eastAsia="x-none"/>
        </w:rPr>
        <w:t xml:space="preserve"> </w:t>
      </w:r>
      <w:r>
        <w:rPr>
          <w:rFonts w:eastAsia="Times New Roman" w:cs="Times New Roman" w:ascii="Times New Roman" w:hAnsi="Times New Roman"/>
          <w:b/>
          <w:bCs/>
          <w:lang w:eastAsia="x-none"/>
        </w:rPr>
        <w:t>АУМАҚТАРЫНЫҢ</w:t>
      </w:r>
      <w:r>
        <w:rPr>
          <w:rFonts w:eastAsia="Times New Roman" w:cs="Times New Roman" w:ascii="Times New Roman" w:hAnsi="Times New Roman"/>
          <w:b/>
          <w:bCs/>
          <w:lang w:val="en-US" w:eastAsia="x-none"/>
        </w:rPr>
        <w:t xml:space="preserve"> </w:t>
      </w:r>
      <w:r>
        <w:rPr>
          <w:rFonts w:eastAsia="Times New Roman" w:cs="Times New Roman" w:ascii="Times New Roman" w:hAnsi="Times New Roman"/>
          <w:b/>
          <w:bCs/>
          <w:lang w:eastAsia="x-none"/>
        </w:rPr>
        <w:t>ТҰРАҚТЫ</w:t>
      </w:r>
      <w:r>
        <w:rPr>
          <w:rFonts w:eastAsia="Times New Roman" w:cs="Times New Roman" w:ascii="Times New Roman" w:hAnsi="Times New Roman"/>
          <w:b/>
          <w:bCs/>
          <w:lang w:val="en-US" w:eastAsia="x-none"/>
        </w:rPr>
        <w:t xml:space="preserve"> </w:t>
      </w:r>
      <w:r>
        <w:rPr>
          <w:rFonts w:eastAsia="Times New Roman" w:cs="Times New Roman" w:ascii="Times New Roman" w:hAnsi="Times New Roman"/>
          <w:b/>
          <w:bCs/>
          <w:lang w:eastAsia="x-none"/>
        </w:rPr>
        <w:t>ДАМУЫ</w:t>
      </w:r>
      <w:r>
        <w:rPr>
          <w:rFonts w:eastAsia="Times New Roman" w:cs="Times New Roman" w:ascii="Times New Roman" w:hAnsi="Times New Roman"/>
          <w:b/>
          <w:bCs/>
          <w:lang w:val="en-US" w:eastAsia="x-none"/>
        </w:rPr>
        <w:t xml:space="preserve">: </w:t>
      </w:r>
      <w:r>
        <w:rPr>
          <w:rFonts w:eastAsia="Times New Roman" w:cs="Times New Roman" w:ascii="Times New Roman" w:hAnsi="Times New Roman"/>
          <w:b/>
          <w:bCs/>
          <w:lang w:eastAsia="x-none"/>
        </w:rPr>
        <w:t>ҚАЗІРГІ</w:t>
      </w:r>
      <w:r>
        <w:rPr>
          <w:rFonts w:eastAsia="Times New Roman" w:cs="Times New Roman" w:ascii="Times New Roman" w:hAnsi="Times New Roman"/>
          <w:b/>
          <w:bCs/>
          <w:lang w:val="en-US" w:eastAsia="x-none"/>
        </w:rPr>
        <w:t xml:space="preserve"> </w:t>
      </w:r>
      <w:r>
        <w:rPr>
          <w:rFonts w:eastAsia="Times New Roman" w:cs="Times New Roman" w:ascii="Times New Roman" w:hAnsi="Times New Roman"/>
          <w:b/>
          <w:bCs/>
          <w:lang w:eastAsia="x-none"/>
        </w:rPr>
        <w:t>ЖАҒДАЙЫ</w:t>
      </w:r>
    </w:p>
    <w:p>
      <w:pPr>
        <w:pStyle w:val="Normal"/>
        <w:widowControl w:val="false"/>
        <w:numPr>
          <w:ilvl w:val="0"/>
          <w:numId w:val="0"/>
        </w:numPr>
        <w:spacing w:lineRule="auto" w:line="240" w:before="0" w:after="0"/>
        <w:ind w:firstLine="567"/>
        <w:jc w:val="center"/>
        <w:outlineLvl w:val="2"/>
        <w:rPr>
          <w:rFonts w:ascii="Times New Roman" w:hAnsi="Times New Roman" w:eastAsia="Times New Roman" w:cs="Times New Roman"/>
          <w:b/>
          <w:bCs/>
          <w:lang w:val="en-US" w:eastAsia="x-none"/>
        </w:rPr>
      </w:pPr>
      <w:r>
        <w:rPr>
          <w:rFonts w:eastAsia="Times New Roman" w:cs="Times New Roman" w:ascii="Times New Roman" w:hAnsi="Times New Roman"/>
          <w:b/>
          <w:bCs/>
          <w:lang w:val="en-US" w:eastAsia="x-none"/>
        </w:rPr>
      </w:r>
    </w:p>
    <w:p>
      <w:pPr>
        <w:pStyle w:val="Normal"/>
        <w:spacing w:lineRule="auto" w:line="240" w:before="0" w:after="0"/>
        <w:ind w:firstLine="567"/>
        <w:jc w:val="center"/>
        <w:rPr>
          <w:rFonts w:ascii="Times New Roman" w:hAnsi="Times New Roman" w:eastAsia="Times New Roman" w:cs="Times New Roman"/>
          <w:b/>
          <w:bCs/>
          <w:vertAlign w:val="superscript"/>
        </w:rPr>
      </w:pPr>
      <w:r>
        <w:rPr>
          <w:rFonts w:eastAsia="Times New Roman" w:cs="Times New Roman" w:ascii="Times New Roman" w:hAnsi="Times New Roman"/>
          <w:vertAlign w:val="superscript"/>
        </w:rPr>
        <w:t>1</w:t>
      </w:r>
      <w:r>
        <w:rPr>
          <w:rFonts w:eastAsia="Times New Roman" w:cs="Times New Roman" w:ascii="Times New Roman" w:hAnsi="Times New Roman"/>
          <w:b/>
          <w:bCs/>
        </w:rPr>
        <w:t xml:space="preserve">Ж.С.Булхаирова, </w:t>
      </w:r>
      <w:r>
        <w:rPr>
          <w:rFonts w:eastAsia="Times New Roman" w:cs="Times New Roman" w:ascii="Times New Roman" w:hAnsi="Times New Roman"/>
          <w:b/>
          <w:bCs/>
          <w:color w:val="000000"/>
        </w:rPr>
        <w:t xml:space="preserve"> </w:t>
      </w:r>
      <w:r>
        <w:rPr>
          <w:rFonts w:eastAsia="Times New Roman" w:cs="Times New Roman" w:ascii="Times New Roman" w:hAnsi="Times New Roman"/>
          <w:b/>
          <w:bCs/>
          <w:vertAlign w:val="superscript"/>
        </w:rPr>
        <w:t>2</w:t>
      </w:r>
      <w:r>
        <w:rPr>
          <w:rFonts w:eastAsia="Times New Roman" w:cs="Times New Roman" w:ascii="Times New Roman" w:hAnsi="Times New Roman"/>
          <w:b/>
          <w:bCs/>
          <w:color w:val="000000"/>
          <w:lang w:val="kk-KZ"/>
        </w:rPr>
        <w:t>Ж.Ерниязова</w:t>
      </w:r>
      <w:r>
        <w:rPr>
          <w:rFonts w:eastAsia="Wingdings" w:cs="Wingdings" w:ascii="Wingdings" w:hAnsi="Wingdings"/>
          <w:b/>
          <w:bCs/>
          <w:color w:val="1F497D"/>
          <w:vertAlign w:val="superscript"/>
          <w:lang w:val="en-US"/>
        </w:rPr>
        <w:sym w:font="Wingdings" w:char="f02a"/>
      </w:r>
      <w:r>
        <w:rPr>
          <w:rFonts w:eastAsia="Times New Roman" w:cs="Times New Roman" w:ascii="Times New Roman" w:hAnsi="Times New Roman"/>
          <w:b/>
          <w:bCs/>
          <w:spacing w:val="-9"/>
          <w:lang w:eastAsia="x-none"/>
        </w:rPr>
        <w:t xml:space="preserve">,  </w:t>
      </w:r>
      <w:r>
        <w:rPr>
          <w:rFonts w:eastAsia="Times New Roman" w:cs="Times New Roman" w:ascii="Times New Roman" w:hAnsi="Times New Roman"/>
          <w:b/>
          <w:bCs/>
          <w:vertAlign w:val="superscript"/>
        </w:rPr>
        <w:t>2</w:t>
      </w:r>
      <w:r>
        <w:rPr>
          <w:rFonts w:eastAsia="Times New Roman" w:cs="Times New Roman" w:ascii="Times New Roman" w:hAnsi="Times New Roman"/>
          <w:b/>
          <w:bCs/>
        </w:rPr>
        <w:t>Б. Айдосова</w:t>
      </w:r>
      <w:r>
        <w:rPr>
          <w:rFonts w:eastAsia="Times New Roman" w:cs="Times New Roman" w:ascii="Times New Roman" w:hAnsi="Times New Roman"/>
          <w:b/>
          <w:bCs/>
          <w:spacing w:val="-9"/>
          <w:lang w:eastAsia="x-none"/>
        </w:rPr>
        <w:t>,</w:t>
      </w:r>
      <w:r>
        <w:rPr>
          <w:rFonts w:eastAsia="Times New Roman" w:cs="Times New Roman" w:ascii="Times New Roman" w:hAnsi="Times New Roman"/>
          <w:b/>
          <w:bCs/>
          <w:vertAlign w:val="superscript"/>
        </w:rPr>
        <w:t xml:space="preserve">  2</w:t>
      </w:r>
      <w:r>
        <w:rPr>
          <w:rFonts w:eastAsia="Times New Roman" w:cs="Times New Roman" w:ascii="Times New Roman" w:hAnsi="Times New Roman"/>
          <w:b/>
          <w:bCs/>
          <w:lang w:val="en-US"/>
        </w:rPr>
        <w:t>A</w:t>
      </w:r>
      <w:r>
        <w:rPr>
          <w:rFonts w:eastAsia="Times New Roman" w:cs="Times New Roman" w:ascii="Times New Roman" w:hAnsi="Times New Roman"/>
          <w:b/>
          <w:bCs/>
        </w:rPr>
        <w:t>.А.Макенова</w:t>
      </w:r>
      <w:r>
        <w:rPr>
          <w:rFonts w:eastAsia="Times New Roman" w:cs="Times New Roman" w:ascii="Times New Roman" w:hAnsi="Times New Roman"/>
          <w:b/>
          <w:bCs/>
          <w:spacing w:val="-9"/>
          <w:lang w:eastAsia="x-none"/>
        </w:rPr>
        <w:t>,</w:t>
      </w:r>
      <w:r>
        <w:rPr>
          <w:rFonts w:eastAsia="Times New Roman" w:cs="Times New Roman" w:ascii="Times New Roman" w:hAnsi="Times New Roman"/>
          <w:b/>
          <w:bCs/>
          <w:vertAlign w:val="superscript"/>
        </w:rPr>
        <w:t xml:space="preserve">  </w:t>
      </w:r>
    </w:p>
    <w:p>
      <w:pPr>
        <w:pStyle w:val="Normal"/>
        <w:spacing w:lineRule="auto" w:line="240" w:before="0" w:after="0"/>
        <w:ind w:firstLine="567"/>
        <w:jc w:val="center"/>
        <w:rPr>
          <w:rFonts w:ascii="Times New Roman" w:hAnsi="Times New Roman" w:eastAsia="Times New Roman" w:cs="Times New Roman"/>
          <w:b/>
          <w:bCs/>
        </w:rPr>
      </w:pPr>
      <w:r>
        <w:rPr>
          <w:rFonts w:eastAsia="Times New Roman" w:cs="Times New Roman" w:ascii="Times New Roman" w:hAnsi="Times New Roman"/>
          <w:b/>
          <w:bCs/>
          <w:spacing w:val="-9"/>
          <w:vertAlign w:val="superscript"/>
          <w:lang w:eastAsia="x-none"/>
        </w:rPr>
        <w:t>3</w:t>
      </w:r>
      <w:r>
        <w:rPr>
          <w:rFonts w:eastAsia="Times New Roman" w:cs="Times New Roman" w:ascii="Times New Roman" w:hAnsi="Times New Roman"/>
          <w:b/>
          <w:bCs/>
          <w:lang w:val="kk-KZ"/>
        </w:rPr>
        <w:t>А.Ж. Машаева</w:t>
      </w:r>
      <w:r>
        <w:rPr>
          <w:rFonts w:eastAsia="Times New Roman" w:cs="Times New Roman" w:ascii="Times New Roman" w:hAnsi="Times New Roman"/>
          <w:b/>
          <w:bCs/>
        </w:rPr>
        <w:t xml:space="preserve">, </w:t>
      </w:r>
      <w:r>
        <w:rPr>
          <w:rFonts w:eastAsia="Times New Roman" w:cs="Times New Roman" w:ascii="Times New Roman" w:hAnsi="Times New Roman"/>
          <w:b/>
          <w:bCs/>
          <w:vertAlign w:val="superscript"/>
        </w:rPr>
        <w:t>2</w:t>
      </w:r>
      <w:r>
        <w:rPr>
          <w:rFonts w:eastAsia="Times New Roman" w:cs="Times New Roman" w:ascii="Times New Roman" w:hAnsi="Times New Roman"/>
          <w:b/>
          <w:bCs/>
          <w:lang w:val="kk-KZ"/>
        </w:rPr>
        <w:t>Г</w:t>
      </w:r>
      <w:r>
        <w:rPr>
          <w:rFonts w:eastAsia="Times New Roman" w:cs="Times New Roman" w:ascii="Times New Roman" w:hAnsi="Times New Roman"/>
          <w:b/>
          <w:bCs/>
        </w:rPr>
        <w:t>.Оспанова</w:t>
      </w:r>
      <w:r>
        <w:rPr>
          <w:rFonts w:eastAsia="Times New Roman" w:cs="Times New Roman" w:ascii="Times New Roman" w:hAnsi="Times New Roman"/>
          <w:b/>
          <w:bCs/>
          <w:vertAlign w:val="superscript"/>
        </w:rPr>
        <w:t xml:space="preserve">  </w:t>
      </w:r>
    </w:p>
    <w:p>
      <w:pPr>
        <w:pStyle w:val="Normal"/>
        <w:spacing w:lineRule="auto" w:line="240" w:before="0" w:after="0"/>
        <w:ind w:firstLine="567"/>
        <w:jc w:val="center"/>
        <w:rPr>
          <w:rFonts w:ascii="Times New Roman" w:hAnsi="Times New Roman" w:eastAsia="Times New Roman" w:cs="Times New Roman"/>
          <w:i/>
          <w:i/>
          <w:sz w:val="20"/>
          <w:szCs w:val="20"/>
          <w:lang w:eastAsia="ru-RU"/>
        </w:rPr>
      </w:pPr>
      <w:r>
        <w:rPr>
          <w:rFonts w:eastAsia="Times New Roman" w:cs="Times New Roman" w:ascii="Times New Roman" w:hAnsi="Times New Roman"/>
          <w:i/>
          <w:sz w:val="20"/>
          <w:szCs w:val="20"/>
          <w:vertAlign w:val="superscript"/>
          <w:lang w:eastAsia="ru-RU"/>
        </w:rPr>
        <w:t>1</w:t>
      </w:r>
      <w:r>
        <w:rPr>
          <w:rFonts w:eastAsia="Times New Roman" w:cs="Times New Roman" w:ascii="Times New Roman" w:hAnsi="Times New Roman"/>
          <w:i/>
          <w:sz w:val="20"/>
          <w:szCs w:val="20"/>
          <w:lang w:eastAsia="ru-RU"/>
        </w:rPr>
        <w:t>Қазақ ұлттық спорт университеті, Астана, Қазақстан,</w:t>
      </w:r>
    </w:p>
    <w:p>
      <w:pPr>
        <w:pStyle w:val="Normal"/>
        <w:spacing w:lineRule="auto" w:line="240" w:before="0" w:after="0"/>
        <w:ind w:firstLine="567"/>
        <w:jc w:val="center"/>
        <w:rPr>
          <w:rFonts w:ascii="Times New Roman" w:hAnsi="Times New Roman" w:eastAsia="Times New Roman" w:cs="Times New Roman"/>
          <w:i/>
          <w:i/>
          <w:sz w:val="20"/>
          <w:szCs w:val="20"/>
          <w:lang w:eastAsia="ru-RU"/>
        </w:rPr>
      </w:pPr>
      <w:r>
        <w:rPr>
          <w:rFonts w:eastAsia="Times New Roman" w:cs="Times New Roman" w:ascii="Times New Roman" w:hAnsi="Times New Roman"/>
          <w:i/>
          <w:sz w:val="20"/>
          <w:szCs w:val="20"/>
          <w:vertAlign w:val="superscript"/>
          <w:lang w:eastAsia="ru-RU"/>
        </w:rPr>
        <w:t xml:space="preserve">2 </w:t>
      </w:r>
      <w:r>
        <w:rPr>
          <w:rFonts w:eastAsia="Times New Roman" w:cs="Times New Roman" w:ascii="Times New Roman" w:hAnsi="Times New Roman"/>
          <w:i/>
          <w:sz w:val="20"/>
          <w:szCs w:val="20"/>
          <w:lang w:eastAsia="ru-RU"/>
        </w:rPr>
        <w:t>Қорқыт Ата атындағы Қызылорда университеті, Қызылорда, Қазақстан,</w:t>
      </w:r>
    </w:p>
    <w:p>
      <w:pPr>
        <w:pStyle w:val="Normal"/>
        <w:spacing w:lineRule="auto" w:line="240" w:before="0" w:after="0"/>
        <w:ind w:firstLine="567"/>
        <w:jc w:val="center"/>
        <w:rPr>
          <w:rFonts w:ascii="Times New Roman" w:hAnsi="Times New Roman" w:eastAsia="Times New Roman" w:cs="Times New Roman"/>
          <w:i/>
          <w:i/>
          <w:sz w:val="20"/>
          <w:szCs w:val="20"/>
          <w:lang w:val="kk-KZ" w:eastAsia="ru-RU"/>
        </w:rPr>
      </w:pPr>
      <w:r>
        <w:rPr>
          <w:rFonts w:eastAsia="Times New Roman" w:cs="Times New Roman" w:ascii="Times New Roman" w:hAnsi="Times New Roman"/>
          <w:i/>
          <w:sz w:val="20"/>
          <w:szCs w:val="20"/>
          <w:vertAlign w:val="superscript"/>
          <w:lang w:eastAsia="ru-RU"/>
        </w:rPr>
        <w:t xml:space="preserve">3 </w:t>
      </w:r>
      <w:r>
        <w:rPr>
          <w:rFonts w:eastAsia="Times New Roman" w:cs="Times New Roman" w:ascii="Times New Roman" w:hAnsi="Times New Roman"/>
          <w:i/>
          <w:sz w:val="20"/>
          <w:szCs w:val="20"/>
          <w:lang w:eastAsia="ru-RU"/>
        </w:rPr>
        <w:t xml:space="preserve">Л.Н.Гумилев атындағы Еуразия ұлттық университеті, </w:t>
      </w:r>
      <w:r>
        <w:rPr>
          <w:rFonts w:eastAsia="Times New Roman" w:cs="Times New Roman" w:ascii="Times New Roman" w:hAnsi="Times New Roman"/>
          <w:i/>
          <w:sz w:val="20"/>
          <w:szCs w:val="20"/>
          <w:lang w:val="kk-KZ" w:eastAsia="ru-RU"/>
        </w:rPr>
        <w:t>Астана</w:t>
      </w:r>
      <w:r>
        <w:rPr>
          <w:rFonts w:eastAsia="Times New Roman" w:cs="Times New Roman" w:ascii="Times New Roman" w:hAnsi="Times New Roman"/>
          <w:i/>
          <w:sz w:val="20"/>
          <w:szCs w:val="20"/>
          <w:lang w:eastAsia="ru-RU"/>
        </w:rPr>
        <w:t xml:space="preserve">, </w:t>
      </w:r>
      <w:r>
        <w:rPr>
          <w:rFonts w:eastAsia="Times New Roman" w:cs="Times New Roman" w:ascii="Times New Roman" w:hAnsi="Times New Roman"/>
          <w:i/>
          <w:sz w:val="20"/>
          <w:szCs w:val="20"/>
          <w:lang w:val="kk-KZ" w:eastAsia="ru-RU"/>
        </w:rPr>
        <w:t xml:space="preserve">Қазақстан, </w:t>
      </w:r>
    </w:p>
    <w:p>
      <w:pPr>
        <w:pStyle w:val="Normal"/>
        <w:spacing w:lineRule="auto" w:line="240" w:before="0" w:after="0"/>
        <w:ind w:firstLine="567"/>
        <w:jc w:val="center"/>
        <w:rPr>
          <w:rFonts w:ascii="Times New Roman" w:hAnsi="Times New Roman" w:eastAsia="Times New Roman" w:cs="Times New Roman"/>
          <w:sz w:val="20"/>
          <w:szCs w:val="20"/>
          <w:lang w:val="kk-KZ"/>
        </w:rPr>
      </w:pPr>
      <w:r>
        <w:rPr>
          <w:rFonts w:eastAsia="Times New Roman" w:cs="Times New Roman" w:ascii="Times New Roman" w:hAnsi="Times New Roman"/>
          <w:sz w:val="20"/>
          <w:szCs w:val="20"/>
          <w:lang w:val="kk-KZ"/>
        </w:rPr>
        <w:t>e-mail: bolat39@mail.ru</w:t>
      </w:r>
    </w:p>
    <w:p>
      <w:pPr>
        <w:pStyle w:val="Normal"/>
        <w:widowControl w:val="false"/>
        <w:numPr>
          <w:ilvl w:val="0"/>
          <w:numId w:val="0"/>
        </w:numPr>
        <w:spacing w:lineRule="auto" w:line="240" w:before="0" w:after="0"/>
        <w:ind w:firstLine="567"/>
        <w:jc w:val="center"/>
        <w:outlineLvl w:val="2"/>
        <w:rPr>
          <w:rFonts w:ascii="Times New Roman" w:hAnsi="Times New Roman" w:eastAsia="Times New Roman" w:cs="Times New Roman"/>
          <w:b/>
          <w:bCs/>
          <w:sz w:val="24"/>
          <w:szCs w:val="24"/>
          <w:lang w:val="kk-KZ" w:eastAsia="x-none"/>
        </w:rPr>
      </w:pPr>
      <w:r>
        <w:rPr>
          <w:rFonts w:eastAsia="Times New Roman" w:cs="Times New Roman" w:ascii="Times New Roman" w:hAnsi="Times New Roman"/>
          <w:b/>
          <w:bCs/>
          <w:sz w:val="24"/>
          <w:szCs w:val="24"/>
          <w:lang w:val="kk-KZ" w:eastAsia="x-none"/>
        </w:rPr>
      </w:r>
    </w:p>
    <w:p>
      <w:pPr>
        <w:pStyle w:val="Normal"/>
        <w:widowControl w:val="false"/>
        <w:numPr>
          <w:ilvl w:val="0"/>
          <w:numId w:val="0"/>
        </w:numPr>
        <w:spacing w:lineRule="auto" w:line="240" w:before="0" w:after="0"/>
        <w:ind w:firstLine="567"/>
        <w:jc w:val="both"/>
        <w:outlineLvl w:val="2"/>
        <w:rPr>
          <w:rFonts w:ascii="Times New Roman" w:hAnsi="Times New Roman" w:eastAsia="Times New Roman" w:cs="Times New Roman"/>
          <w:sz w:val="24"/>
          <w:szCs w:val="24"/>
          <w:lang w:val="kk-KZ" w:eastAsia="x-none"/>
        </w:rPr>
      </w:pPr>
      <w:r>
        <w:rPr>
          <w:rFonts w:eastAsia="Times New Roman" w:cs="Times New Roman" w:ascii="Times New Roman" w:hAnsi="Times New Roman"/>
          <w:sz w:val="24"/>
          <w:szCs w:val="24"/>
          <w:lang w:val="kk-KZ" w:eastAsia="x-none"/>
        </w:rPr>
        <w:t>Бұл мақалада авторлар ауылдық аумақтардың қазіргі тұрақты дамуын қарастырады. Дәл ауыл шаруашылығы секторының тұрақты дамуы адам қызметінің барлық салаларына – аймақтықтан ғаламдық деңгейге дейін – ең үлкен әсерін тигізеді. Елдің немесе жекелеген өңірдің экономикасының тұрақты дамуы, мемлекеттің жалпы қызмет ету және даму заңдылықтарын ескере отырып, өндіріс үдерісінің жағдайларымен, ресурстық әлеуетті пайдалану тиімділігімен, адами капиталмен және басқа да факторлармен айқындалатын өзіндік ерекшеліктерге ие. Тұрақты даму табиғи ресурстарды үйлесімді пайдалануымен, инвестицияларды бөлуімен, ғылыми-техникалық прогрестің бағытталуымен, тұлғалық өсумен және институционалдық өзгерістермен сипатталатын теңгерімді әрі әділетті ілгерілеу жағдайын білдіреді. Бүгінде Қазақстан экономикасының дамуы ауыл шаруашылығы басқару жүйесінің неғұрлым ұтымды жұмыс істеуіне ықпал етті. Зерттеуде ауылдық аумақтардың тұрақты дамуының қазіргі жағдайы: ауылдық аумақтардың жағдайы, мал шаруашылығы мен егіншіліктің негізгі көрсеткіштері және басқа да салалар қарастырылды. Сондай-ақ, Тұрақты даму мақсаттарын тиімді іске асыру үшін барлық демографиялық топтардағы гендерлік мәселелерге ерекше көңіл бөлуге негізделген кешенді зерттеу жүргізу қажеттігін атап өткен жөн. Қазіргі таңда Қазақстанда бюджет жоспарлау барысында әртүрлі демографиялық топтардың қажеттіліктерін жүйелі түрде ескеруге бағытталған жұмыс атқарылуда. Сондықтан шығындарды тиімді қысқарту дағдыларын меңгеру аса маңызды, себебі бұл ауыл шаруашылығы өнімдерін басқа нарық қатысушыларымен салыстырғанда бәсекелік артықшылықтармен өндіруге және сатуға мүмкіндік береді. Ауыл шаруашылығы өнімдерінің алуан түрлілігін арттыру үшін аграрлық өнімдерді әртараптандыру қабілетін игеру де қажет.</w:t>
      </w:r>
    </w:p>
    <w:p>
      <w:pPr>
        <w:pStyle w:val="Normal"/>
        <w:widowControl w:val="false"/>
        <w:numPr>
          <w:ilvl w:val="0"/>
          <w:numId w:val="0"/>
        </w:numPr>
        <w:spacing w:lineRule="auto" w:line="240" w:before="0" w:after="0"/>
        <w:ind w:firstLine="567"/>
        <w:jc w:val="both"/>
        <w:outlineLvl w:val="2"/>
        <w:rPr>
          <w:rFonts w:ascii="Times New Roman" w:hAnsi="Times New Roman" w:eastAsia="Times New Roman" w:cs="Times New Roman"/>
          <w:bCs/>
          <w:sz w:val="24"/>
          <w:szCs w:val="24"/>
          <w:lang w:val="kk-KZ" w:eastAsia="ru-RU"/>
        </w:rPr>
      </w:pPr>
      <w:r>
        <w:rPr>
          <w:rFonts w:eastAsia="Times New Roman" w:cs="Times New Roman" w:ascii="Times New Roman" w:hAnsi="Times New Roman"/>
          <w:b/>
          <w:bCs/>
          <w:iCs/>
          <w:sz w:val="24"/>
          <w:szCs w:val="24"/>
          <w:lang w:val="kk-KZ" w:eastAsia="ru-RU"/>
        </w:rPr>
        <w:t>Түйін сөздер:</w:t>
      </w:r>
      <w:r>
        <w:rPr>
          <w:rFonts w:eastAsia="Times New Roman" w:cs="Times New Roman" w:ascii="Times New Roman" w:hAnsi="Times New Roman"/>
          <w:b/>
          <w:sz w:val="24"/>
          <w:szCs w:val="24"/>
          <w:lang w:val="kk-KZ" w:eastAsia="ru-RU"/>
        </w:rPr>
        <w:t xml:space="preserve"> </w:t>
      </w:r>
      <w:r>
        <w:rPr>
          <w:rFonts w:eastAsia="Times New Roman" w:cs="Times New Roman" w:ascii="Times New Roman" w:hAnsi="Times New Roman"/>
          <w:bCs/>
          <w:sz w:val="24"/>
          <w:szCs w:val="24"/>
          <w:lang w:val="kk-KZ" w:eastAsia="ru-RU"/>
        </w:rPr>
        <w:t>тұрақты даму, кенттер, ауылдық аумақтар, ауыл шаруашылығы, Өсімдік шаруашылығы, мал шаруашылығы, экология, ауыл шаруашылығы өнімдері.</w:t>
      </w:r>
    </w:p>
    <w:p>
      <w:pPr>
        <w:pStyle w:val="Normal"/>
        <w:spacing w:lineRule="auto" w:line="240" w:before="0" w:after="0"/>
        <w:ind w:firstLine="567"/>
        <w:jc w:val="center"/>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567"/>
        <w:jc w:val="center"/>
        <w:rPr>
          <w:rFonts w:ascii="Times New Roman" w:hAnsi="Times New Roman" w:eastAsia="Times New Roman" w:cs="Times New Roman"/>
          <w:b/>
          <w:bCs/>
        </w:rPr>
      </w:pPr>
      <w:r>
        <w:rPr>
          <w:rFonts w:eastAsia="Times New Roman" w:cs="Times New Roman" w:ascii="Times New Roman" w:hAnsi="Times New Roman"/>
          <w:b/>
          <w:bCs/>
        </w:rPr>
        <w:t xml:space="preserve">УСТОЙЧИВОЕ РАЗВИТИЕ СЕЛЬСКИХ ТЕРРИТОРИЙ КАЗАХСТАНА: СОВРЕМЕННОЕ СОСТОЯНИЕ </w:t>
      </w:r>
    </w:p>
    <w:p>
      <w:pPr>
        <w:pStyle w:val="Normal"/>
        <w:spacing w:lineRule="auto" w:line="240" w:before="0" w:after="0"/>
        <w:ind w:firstLine="567"/>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spacing w:lineRule="auto" w:line="240" w:before="0" w:after="0"/>
        <w:ind w:firstLine="567"/>
        <w:jc w:val="center"/>
        <w:rPr>
          <w:rFonts w:ascii="Times New Roman" w:hAnsi="Times New Roman" w:eastAsia="Times New Roman" w:cs="Times New Roman"/>
          <w:b/>
          <w:bCs/>
        </w:rPr>
      </w:pPr>
      <w:r>
        <w:rPr>
          <w:rFonts w:eastAsia="Times New Roman" w:cs="Times New Roman" w:ascii="Times New Roman" w:hAnsi="Times New Roman"/>
          <w:b/>
          <w:bCs/>
          <w:vertAlign w:val="superscript"/>
        </w:rPr>
        <w:t>1</w:t>
      </w:r>
      <w:r>
        <w:rPr>
          <w:rFonts w:eastAsia="Times New Roman" w:cs="Times New Roman" w:ascii="Times New Roman" w:hAnsi="Times New Roman"/>
          <w:b/>
          <w:bCs/>
        </w:rPr>
        <w:t xml:space="preserve"> Ж.С.</w:t>
      </w:r>
      <w:r>
        <w:rPr>
          <w:rFonts w:eastAsia="Times New Roman" w:cs="Times New Roman" w:ascii="Times New Roman" w:hAnsi="Times New Roman"/>
          <w:b/>
          <w:bCs/>
          <w:vertAlign w:val="superscript"/>
        </w:rPr>
        <w:t xml:space="preserve"> </w:t>
      </w:r>
      <w:r>
        <w:rPr>
          <w:rFonts w:eastAsia="Times New Roman" w:cs="Times New Roman" w:ascii="Times New Roman" w:hAnsi="Times New Roman"/>
          <w:b/>
          <w:bCs/>
        </w:rPr>
        <w:t>Булхаирова,</w:t>
      </w:r>
      <w:r>
        <w:rPr>
          <w:rFonts w:eastAsia="Times New Roman" w:cs="Times New Roman" w:ascii="Times New Roman" w:hAnsi="Times New Roman"/>
          <w:b/>
          <w:bCs/>
          <w:color w:val="000000"/>
        </w:rPr>
        <w:t xml:space="preserve"> </w:t>
      </w:r>
      <w:r>
        <w:rPr>
          <w:rFonts w:eastAsia="Times New Roman" w:cs="Times New Roman" w:ascii="Times New Roman" w:hAnsi="Times New Roman"/>
          <w:b/>
          <w:bCs/>
          <w:vertAlign w:val="superscript"/>
        </w:rPr>
        <w:t>2</w:t>
      </w:r>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lang w:val="kk-KZ"/>
        </w:rPr>
        <w:t>Ж</w:t>
      </w:r>
      <w:r>
        <w:rPr>
          <w:rFonts w:eastAsia="Times New Roman" w:cs="Times New Roman" w:ascii="Times New Roman" w:hAnsi="Times New Roman"/>
          <w:b/>
          <w:bCs/>
        </w:rPr>
        <w:t>.</w:t>
      </w:r>
      <w:r>
        <w:rPr>
          <w:rFonts w:eastAsia="Times New Roman" w:cs="Times New Roman" w:ascii="Times New Roman" w:hAnsi="Times New Roman"/>
          <w:b/>
          <w:bCs/>
          <w:vertAlign w:val="superscript"/>
        </w:rPr>
        <w:t xml:space="preserve"> </w:t>
      </w:r>
      <w:r>
        <w:rPr>
          <w:rFonts w:eastAsia="Times New Roman" w:cs="Times New Roman" w:ascii="Times New Roman" w:hAnsi="Times New Roman"/>
          <w:b/>
          <w:bCs/>
          <w:color w:val="000000"/>
          <w:lang w:val="kk-KZ"/>
        </w:rPr>
        <w:t>Ерниязова</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bCs/>
        </w:rPr>
        <w:t xml:space="preserve">, </w:t>
      </w:r>
      <w:r>
        <w:rPr>
          <w:rFonts w:eastAsia="Times New Roman" w:cs="Times New Roman" w:ascii="Times New Roman" w:hAnsi="Times New Roman"/>
          <w:b/>
          <w:bCs/>
          <w:vertAlign w:val="superscript"/>
        </w:rPr>
        <w:t xml:space="preserve">2 </w:t>
      </w:r>
      <w:r>
        <w:rPr>
          <w:rFonts w:eastAsia="Times New Roman" w:cs="Times New Roman" w:ascii="Times New Roman" w:hAnsi="Times New Roman"/>
          <w:b/>
          <w:bCs/>
        </w:rPr>
        <w:t>Б. Х.  Айдосова,</w:t>
      </w:r>
      <w:r>
        <w:rPr>
          <w:rFonts w:eastAsia="Times New Roman" w:cs="Times New Roman" w:ascii="Times New Roman" w:hAnsi="Times New Roman"/>
          <w:b/>
          <w:bCs/>
          <w:vertAlign w:val="superscript"/>
          <w:lang w:eastAsia="x-none"/>
        </w:rPr>
        <w:t xml:space="preserve"> </w:t>
      </w:r>
      <w:r>
        <w:rPr>
          <w:rFonts w:eastAsia="Times New Roman" w:cs="Times New Roman" w:ascii="Times New Roman" w:hAnsi="Times New Roman"/>
          <w:b/>
          <w:bCs/>
          <w:vertAlign w:val="superscript"/>
        </w:rPr>
        <w:t>2</w:t>
      </w:r>
      <w:r>
        <w:rPr>
          <w:rFonts w:eastAsia="Times New Roman" w:cs="Times New Roman" w:ascii="Times New Roman" w:hAnsi="Times New Roman"/>
          <w:b/>
          <w:bCs/>
        </w:rPr>
        <w:t xml:space="preserve"> </w:t>
      </w:r>
      <w:r>
        <w:rPr>
          <w:rFonts w:eastAsia="Times New Roman" w:cs="Times New Roman" w:ascii="Times New Roman" w:hAnsi="Times New Roman"/>
          <w:b/>
          <w:bCs/>
          <w:lang w:val="en-US"/>
        </w:rPr>
        <w:t>A</w:t>
      </w:r>
      <w:r>
        <w:rPr>
          <w:rFonts w:eastAsia="Times New Roman" w:cs="Times New Roman" w:ascii="Times New Roman" w:hAnsi="Times New Roman"/>
          <w:b/>
          <w:bCs/>
        </w:rPr>
        <w:t>.А.</w:t>
      </w:r>
      <w:r>
        <w:rPr>
          <w:rFonts w:eastAsia="Times New Roman" w:cs="Times New Roman" w:ascii="Times New Roman" w:hAnsi="Times New Roman"/>
          <w:b/>
          <w:bCs/>
          <w:vertAlign w:val="superscript"/>
        </w:rPr>
        <w:t xml:space="preserve"> </w:t>
      </w:r>
      <w:r>
        <w:rPr>
          <w:rFonts w:eastAsia="Times New Roman" w:cs="Times New Roman" w:ascii="Times New Roman" w:hAnsi="Times New Roman"/>
          <w:b/>
          <w:bCs/>
        </w:rPr>
        <w:t>Макенова</w:t>
      </w:r>
      <w:r>
        <w:rPr>
          <w:rFonts w:eastAsia="Times New Roman" w:cs="Times New Roman" w:ascii="Times New Roman" w:hAnsi="Times New Roman"/>
          <w:b/>
          <w:bCs/>
          <w:spacing w:val="-9"/>
          <w:lang w:eastAsia="x-none"/>
        </w:rPr>
        <w:t>,</w:t>
      </w:r>
      <w:r>
        <w:rPr>
          <w:rFonts w:eastAsia="Times New Roman" w:cs="Times New Roman" w:ascii="Times New Roman" w:hAnsi="Times New Roman"/>
          <w:b/>
          <w:bCs/>
          <w:vertAlign w:val="superscript"/>
        </w:rPr>
        <w:t xml:space="preserve"> </w:t>
      </w:r>
      <w:r>
        <w:rPr>
          <w:rFonts w:eastAsia="Times New Roman" w:cs="Times New Roman" w:ascii="Times New Roman" w:hAnsi="Times New Roman"/>
          <w:b/>
          <w:bCs/>
          <w:spacing w:val="-9"/>
          <w:vertAlign w:val="superscript"/>
          <w:lang w:eastAsia="x-none"/>
        </w:rPr>
        <w:t>3</w:t>
      </w:r>
      <w:r>
        <w:rPr>
          <w:rFonts w:eastAsia="Times New Roman" w:cs="Times New Roman" w:ascii="Times New Roman" w:hAnsi="Times New Roman"/>
          <w:b/>
          <w:bCs/>
          <w:vertAlign w:val="superscript"/>
        </w:rPr>
        <w:t xml:space="preserve"> </w:t>
      </w:r>
      <w:r>
        <w:rPr>
          <w:rFonts w:eastAsia="Times New Roman" w:cs="Times New Roman" w:ascii="Times New Roman" w:hAnsi="Times New Roman"/>
          <w:b/>
          <w:bCs/>
          <w:lang w:val="kk-KZ"/>
        </w:rPr>
        <w:t>А. Ж.Машаева</w:t>
      </w:r>
      <w:r>
        <w:rPr>
          <w:rFonts w:eastAsia="Times New Roman" w:cs="Times New Roman" w:ascii="Times New Roman" w:hAnsi="Times New Roman"/>
          <w:b/>
          <w:bCs/>
        </w:rPr>
        <w:t xml:space="preserve">, </w:t>
      </w:r>
      <w:r>
        <w:rPr>
          <w:rFonts w:eastAsia="Times New Roman" w:cs="Times New Roman" w:ascii="Times New Roman" w:hAnsi="Times New Roman"/>
          <w:b/>
          <w:bCs/>
          <w:vertAlign w:val="superscript"/>
        </w:rPr>
        <w:t xml:space="preserve">2 </w:t>
      </w:r>
      <w:r>
        <w:rPr>
          <w:rFonts w:eastAsia="Times New Roman" w:cs="Times New Roman" w:ascii="Times New Roman" w:hAnsi="Times New Roman"/>
          <w:b/>
          <w:bCs/>
          <w:lang w:val="kk-KZ"/>
        </w:rPr>
        <w:t>Г</w:t>
      </w:r>
      <w:r>
        <w:rPr>
          <w:rFonts w:eastAsia="Times New Roman" w:cs="Times New Roman" w:ascii="Times New Roman" w:hAnsi="Times New Roman"/>
          <w:b/>
          <w:bCs/>
        </w:rPr>
        <w:t>.Оспанова</w:t>
      </w:r>
      <w:r>
        <w:rPr>
          <w:rFonts w:eastAsia="Times New Roman" w:cs="Times New Roman" w:ascii="Times New Roman" w:hAnsi="Times New Roman"/>
          <w:b/>
          <w:bCs/>
          <w:vertAlign w:val="superscript"/>
        </w:rPr>
        <w:t xml:space="preserve">  </w:t>
      </w:r>
    </w:p>
    <w:p>
      <w:pPr>
        <w:pStyle w:val="Normal"/>
        <w:spacing w:lineRule="auto" w:line="240" w:before="0" w:after="0"/>
        <w:ind w:firstLine="567"/>
        <w:jc w:val="center"/>
        <w:rPr>
          <w:rFonts w:ascii="Times New Roman" w:hAnsi="Times New Roman" w:eastAsia="Times New Roman" w:cs="Times New Roman"/>
          <w:i/>
          <w:i/>
          <w:color w:val="231F20"/>
          <w:spacing w:val="-2"/>
          <w:sz w:val="20"/>
          <w:szCs w:val="20"/>
        </w:rPr>
      </w:pPr>
      <w:r>
        <w:rPr>
          <w:rFonts w:eastAsia="Times New Roman" w:cs="Times New Roman" w:ascii="Times New Roman" w:hAnsi="Times New Roman"/>
          <w:i/>
          <w:sz w:val="20"/>
          <w:szCs w:val="20"/>
          <w:vertAlign w:val="superscript"/>
          <w:lang w:val="kk-KZ"/>
        </w:rPr>
        <w:t xml:space="preserve">1 </w:t>
      </w:r>
      <w:r>
        <w:rPr>
          <w:rFonts w:eastAsia="Times New Roman" w:cs="Times New Roman" w:ascii="Times New Roman" w:hAnsi="Times New Roman"/>
          <w:i/>
          <w:sz w:val="20"/>
          <w:szCs w:val="20"/>
          <w:lang w:val="kk-KZ"/>
        </w:rPr>
        <w:t>Казахский национальный университет спорта, Астана, Казахстан,</w:t>
      </w:r>
    </w:p>
    <w:p>
      <w:pPr>
        <w:pStyle w:val="Normal"/>
        <w:spacing w:lineRule="auto" w:line="240" w:before="0" w:after="0"/>
        <w:ind w:firstLine="567"/>
        <w:jc w:val="center"/>
        <w:rPr>
          <w:rFonts w:ascii="Times New Roman" w:hAnsi="Times New Roman" w:eastAsia="Times New Roman" w:cs="Times New Roman"/>
          <w:i/>
          <w:i/>
          <w:sz w:val="20"/>
          <w:szCs w:val="20"/>
        </w:rPr>
      </w:pPr>
      <w:r>
        <w:rPr>
          <w:rFonts w:eastAsia="Times New Roman" w:cs="Times New Roman" w:ascii="Times New Roman" w:hAnsi="Times New Roman"/>
          <w:i/>
          <w:sz w:val="20"/>
          <w:szCs w:val="20"/>
          <w:vertAlign w:val="superscript"/>
        </w:rPr>
        <w:t xml:space="preserve">2 </w:t>
      </w:r>
      <w:r>
        <w:rPr>
          <w:rFonts w:eastAsia="Times New Roman" w:cs="Times New Roman" w:ascii="Times New Roman" w:hAnsi="Times New Roman"/>
          <w:i/>
          <w:sz w:val="20"/>
          <w:szCs w:val="20"/>
        </w:rPr>
        <w:t>Кызылординский университет им. Коркыт Ата</w:t>
      </w:r>
      <w:r>
        <w:rPr>
          <w:rFonts w:eastAsia="Times New Roman" w:cs="Times New Roman" w:ascii="Times New Roman" w:hAnsi="Times New Roman"/>
          <w:i/>
          <w:sz w:val="20"/>
          <w:szCs w:val="20"/>
          <w:lang w:val="kk-KZ"/>
        </w:rPr>
        <w:t>, Кызылорда, Казахстан</w:t>
      </w:r>
      <w:r>
        <w:rPr>
          <w:rFonts w:eastAsia="Times New Roman" w:cs="Times New Roman" w:ascii="Times New Roman" w:hAnsi="Times New Roman"/>
          <w:i/>
          <w:sz w:val="20"/>
          <w:szCs w:val="20"/>
        </w:rPr>
        <w:t>,</w:t>
      </w:r>
    </w:p>
    <w:p>
      <w:pPr>
        <w:pStyle w:val="Normal"/>
        <w:spacing w:lineRule="auto" w:line="240" w:before="0" w:after="0"/>
        <w:ind w:firstLine="567"/>
        <w:jc w:val="center"/>
        <w:rPr>
          <w:rFonts w:ascii="Times New Roman" w:hAnsi="Times New Roman" w:eastAsia="Times New Roman" w:cs="Times New Roman"/>
          <w:i/>
          <w:i/>
          <w:sz w:val="20"/>
          <w:szCs w:val="20"/>
        </w:rPr>
      </w:pPr>
      <w:r>
        <w:rPr>
          <w:rFonts w:eastAsia="Times New Roman" w:cs="Times New Roman" w:ascii="Times New Roman" w:hAnsi="Times New Roman"/>
          <w:i/>
          <w:spacing w:val="-9"/>
          <w:sz w:val="20"/>
          <w:szCs w:val="20"/>
          <w:vertAlign w:val="superscript"/>
          <w:lang w:eastAsia="x-none"/>
        </w:rPr>
        <w:t xml:space="preserve">3 </w:t>
      </w:r>
      <w:r>
        <w:rPr>
          <w:rFonts w:eastAsia="Times New Roman" w:cs="Times New Roman" w:ascii="Times New Roman" w:hAnsi="Times New Roman"/>
          <w:i/>
          <w:sz w:val="20"/>
          <w:szCs w:val="20"/>
        </w:rPr>
        <w:t>Евразийский национальный университет им. Л. Н. Гумилева, Астана, Казахстан,</w:t>
      </w:r>
    </w:p>
    <w:p>
      <w:pPr>
        <w:pStyle w:val="Normal"/>
        <w:spacing w:lineRule="auto" w:line="240" w:before="0" w:after="0"/>
        <w:ind w:firstLine="567"/>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lang w:val="en-US"/>
        </w:rPr>
        <w:t>e</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en-US"/>
        </w:rPr>
        <w:t>mail</w:t>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lang w:val="en-US"/>
        </w:rPr>
        <w:t>bolat</w:t>
      </w:r>
      <w:r>
        <w:rPr>
          <w:rFonts w:eastAsia="Times New Roman" w:cs="Times New Roman" w:ascii="Times New Roman" w:hAnsi="Times New Roman"/>
          <w:sz w:val="20"/>
          <w:szCs w:val="20"/>
        </w:rPr>
        <w:t>39@</w:t>
      </w:r>
      <w:r>
        <w:rPr>
          <w:rFonts w:eastAsia="Times New Roman" w:cs="Times New Roman" w:ascii="Times New Roman" w:hAnsi="Times New Roman"/>
          <w:sz w:val="20"/>
          <w:szCs w:val="20"/>
          <w:lang w:val="en-US"/>
        </w:rPr>
        <w:t>mail</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en-US"/>
        </w:rPr>
        <w:t>ru</w:t>
      </w:r>
    </w:p>
    <w:p>
      <w:pPr>
        <w:pStyle w:val="Normal"/>
        <w:spacing w:lineRule="auto" w:line="240" w:before="0" w:after="0"/>
        <w:ind w:firstLine="567"/>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tabs>
          <w:tab w:val="clear" w:pos="708"/>
          <w:tab w:val="left" w:pos="1350" w:leader="none"/>
        </w:tabs>
        <w:spacing w:lineRule="auto" w:line="240" w:before="0" w:after="0"/>
        <w:ind w:firstLine="567"/>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В данной статье авторы рассматривают современное устойчивое развитие сельских территорий. Именно устойчивое развитие аграрного сектора оказывает наибольшее влияние на состояние всех сфер человеческой деятельности – от регионального до глобального уровня. Устойчивое развитие экономики как всей страны, так и отдельных регионов, с учётом общих закономерностей функционирования и развития государства, имеет собственные особенности, которые определяются условиями производственного процесса, эффективностью использования ресурсного потенциала, человеческим капиталом и другими факторами. Устойчивое развитие отражает состояние сбалансированного и справедливого прогресса, характеризующегося согласованным использованием природных ресурсов, распределением инвестиций, направлением научно-технического прогресса, личностным ростом и институциональными преобразованиями. Сегодня развитие экономики Казахстана способствовало более рациональному функционированию системы управления в аграрной сфере. В работе освещено современное состояние устойчивого развития сельских территорий: состояние сельских районов, основные показатели животноводства, растениеводства и других направлений. Также следует отметить, что для эффективной реализации идей Целей устойчивого развития необходимо проведение комплексного исследования, в ходе которого особое внимание будет уделяться гендерным вопросам во всех демографических группах. В настоящее время в Казахстане в процессе бюджетного планирования ведётся работа по системному учёту потребностей различных демографических категорий. Таким образом, приобретение навыков эффективного управления сокращением затрат имеет решающее значение, так как позволяет производить и реализовывать сельскохозяйственную продукцию с конкурентными преимуществами по сравнению с другими участниками рынка. Для расширения разнообразия сельскохозяйственной продукции важно также овладеть умением её диверсификации.</w:t>
      </w:r>
    </w:p>
    <w:p>
      <w:pPr>
        <w:pStyle w:val="Normal"/>
        <w:tabs>
          <w:tab w:val="clear" w:pos="708"/>
          <w:tab w:val="left" w:pos="1350" w:leader="none"/>
        </w:tabs>
        <w:spacing w:lineRule="auto" w:line="240" w:before="0" w:after="0"/>
        <w:ind w:firstLine="567"/>
        <w:contextualSpacing/>
        <w:jc w:val="both"/>
        <w:rPr>
          <w:rFonts w:ascii="Times New Roman" w:hAnsi="Times New Roman" w:eastAsia="Times New Roman" w:cs="Times New Roman"/>
          <w:b/>
          <w:bCs/>
          <w:sz w:val="24"/>
          <w:szCs w:val="24"/>
          <w:lang w:val="kk-KZ"/>
        </w:rPr>
      </w:pPr>
      <w:r>
        <w:rPr>
          <w:rFonts w:eastAsia="Times New Roman" w:cs="Times New Roman" w:ascii="Times New Roman" w:hAnsi="Times New Roman"/>
          <w:b/>
          <w:bCs/>
          <w:color w:val="333333"/>
          <w:sz w:val="24"/>
          <w:szCs w:val="24"/>
          <w:shd w:fill="FFFFFF" w:val="clear"/>
        </w:rPr>
        <w:t xml:space="preserve">Ключевые слова: </w:t>
      </w:r>
      <w:r>
        <w:rPr>
          <w:rFonts w:eastAsia="Times New Roman" w:cs="Times New Roman" w:ascii="Times New Roman" w:hAnsi="Times New Roman"/>
          <w:color w:val="333333"/>
          <w:sz w:val="24"/>
          <w:szCs w:val="24"/>
          <w:shd w:fill="FFFFFF" w:val="clear"/>
        </w:rPr>
        <w:t xml:space="preserve">устойчивое развитие, </w:t>
      </w:r>
      <w:r>
        <w:rPr>
          <w:rFonts w:eastAsia="Times New Roman" w:cs="Times New Roman" w:ascii="Times New Roman" w:hAnsi="Times New Roman"/>
          <w:color w:val="333333"/>
          <w:sz w:val="24"/>
          <w:szCs w:val="24"/>
          <w:shd w:fill="FFFFFF" w:val="clear"/>
          <w:lang w:val="kk-KZ"/>
        </w:rPr>
        <w:t xml:space="preserve">поселки, сельские территории, сельское хозяйство, растениеводство, животноводство, экология, сельхлозпродукция. </w:t>
      </w:r>
    </w:p>
    <w:p>
      <w:pPr>
        <w:pStyle w:val="Normal"/>
        <w:widowControl w:val="false"/>
        <w:spacing w:lineRule="auto" w:line="240" w:before="0" w:after="0"/>
        <w:ind w:firstLine="567"/>
        <w:contextualSpacing/>
        <w:jc w:val="both"/>
        <w:rPr>
          <w:rFonts w:ascii="Times New Roman" w:hAnsi="Times New Roman" w:eastAsia="Times New Roman" w:cs="Times New Roman"/>
          <w:b/>
          <w:color w:val="000000"/>
          <w:sz w:val="24"/>
          <w:szCs w:val="24"/>
          <w:shd w:fill="FFFFFF" w:val="clear"/>
        </w:rPr>
      </w:pPr>
      <w:r>
        <w:rPr>
          <w:rFonts w:eastAsia="Times New Roman" w:cs="Times New Roman" w:ascii="Times New Roman" w:hAnsi="Times New Roman"/>
          <w:b/>
          <w:color w:val="000000"/>
          <w:sz w:val="24"/>
          <w:szCs w:val="24"/>
          <w:shd w:fill="FFFFFF" w:val="clear"/>
        </w:rPr>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
          <w:color w:val="000000"/>
          <w:sz w:val="24"/>
          <w:szCs w:val="24"/>
          <w:shd w:fill="FFFFFF" w:val="clear"/>
          <w:lang w:val="en-US"/>
        </w:rPr>
        <w:t xml:space="preserve">Introduction. </w:t>
      </w:r>
      <w:r>
        <w:rPr>
          <w:rFonts w:eastAsia="Times New Roman" w:cs="Times New Roman" w:ascii="Times New Roman" w:hAnsi="Times New Roman"/>
          <w:bCs/>
          <w:color w:val="000000"/>
          <w:sz w:val="24"/>
          <w:szCs w:val="24"/>
          <w:shd w:fill="FFFFFF" w:val="clear"/>
          <w:lang w:val="en-US"/>
        </w:rPr>
        <w:t>Achieving sustainable economic growth remains one of the challenges facing the world today. The concept of economic growth goes beyond short-term economic growth; it emphasizes the importance of economic development and efficient use of resources while preserving the environment for future generations. In fact, sustainable development involves achieving three interrelated goals: promoting economic growth, ensuring social equality, and protecting the environment. Only by achieving these goals together can genuine long-term economic stability be achieved.</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Cs/>
          <w:color w:val="000000"/>
          <w:sz w:val="24"/>
          <w:szCs w:val="24"/>
          <w:shd w:fill="FFFFFF" w:val="clear"/>
          <w:lang w:val="en-US"/>
        </w:rPr>
        <w:t>The path of economic development, whether national or regional, is determined by governance principles and local conditions such as productivity, resource efficiency, and human development. Economic growth cycles are often characterized by an increase in consumer demand combined with increased productivity, expanding markets, and rising living standards. However, it should be noted that rapid economic growth often comes at a high cost, including environmental degradation and social inequality. However, the key to sustainable development is making smart decisions and strategies that ensure a balance between growth and work, ensuring that today's progress does not jeopardize tomorrow's opportunities.</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Cs/>
          <w:color w:val="000000"/>
          <w:sz w:val="24"/>
          <w:szCs w:val="24"/>
          <w:shd w:fill="FFFFFF" w:val="clear"/>
          <w:lang w:val="en-US"/>
        </w:rPr>
        <w:t>At the global level, the Sustainable Development Goals (SDGs) are a worldwide call for action to eradicate poverty, protect the planet, improve human health, and empower all people. Adopted in 2015 by all UN member States as part of the 2030 Agenda for Sustainable Development, SDG 16 reflects a 15-year global agenda for building a just, sustainable and inclusive world. Despite progress towards achieving these goals, the overall results remain uneven and the pace of change does not match the needs. Thus, 2020 marks the beginning of an important "decade of action" that highlights the urgent need to redouble efforts to achieve these goals by 2030. An equally important role is played by the annual DIM global reporting system, which provides a comprehensive assessment of progress, identifies areas of success and areas where attention should be focused. These reports are compiled on the basis of data provided by international and regional organizations, specialized agencies, foundations and monitoring centers under the auspices of the United Nations Department of Economic and Social Affairs. In addition, national statistical authorities, civil society representatives, and academics play an important role in ensuring that the monitoring process reflects diverse perspectives and provides reliable information. The purpose of this article in this global context is to assess the current state of rural development in Kazakhstan and to assess the implementation of National Environmental Policy in the economic, social and environmental context.</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
          <w:bCs/>
          <w:sz w:val="24"/>
          <w:szCs w:val="24"/>
          <w:lang w:val="en-US"/>
        </w:rPr>
        <w:t>Materials and methods.</w:t>
      </w:r>
      <w:r>
        <w:rPr>
          <w:rFonts w:eastAsia="Times New Roman" w:cs="Times New Roman" w:ascii="Times New Roman" w:hAnsi="Times New Roman"/>
          <w:sz w:val="24"/>
          <w:szCs w:val="24"/>
          <w:lang w:val="en-US"/>
        </w:rPr>
        <w:t xml:space="preserve"> Developing a comprehensive framework for measuring sustainable development, which integrates both quantitative indicators and qualitative characteristics, represents one of the central and most challenging tasks within the broader concept of rural sustainability. Such an approach is essential because rural development involves not only economic growth but also the preservation of ecological balance, improvement of social well-being, and strengthening of institutional capacity at the local level. The “Agenda for the 21st Century” program, adopted at the United Nations Conference on Environment and Development in Rio de Janeiro in 1992, drew attention to the importance of creating a structured system of sustainability indicators. </w:t>
      </w:r>
      <w:r>
        <w:rPr>
          <w:rFonts w:eastAsia="Times New Roman" w:cs="Times New Roman" w:ascii="Times New Roman" w:hAnsi="Times New Roman"/>
          <w:bCs/>
          <w:sz w:val="24"/>
          <w:szCs w:val="24"/>
          <w:shd w:fill="FFFFFF" w:val="clear"/>
          <w:lang w:val="en-US"/>
        </w:rPr>
        <w:t>These indicators have been identified as important tools for decision makers that enable them to monitor trends, assess risks, and make informed decisions. In addition, they form the methodological basis for ensuring the sustainability and longevity of integrated ecological systems and rural areas dependent on them.</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Cs/>
          <w:sz w:val="24"/>
          <w:szCs w:val="24"/>
          <w:shd w:fill="FFFFFF" w:val="clear"/>
          <w:lang w:val="en-US"/>
        </w:rPr>
        <w:t>At the current stage of research and based on a review of the scientific literature, it is becoming clear that there are no generally accepted quantitative criteria that can be consistently used to determine the level of development in different countries, regions or rural areas. Despite significant progress in this area, researchers and scientists still have different and sometimes contradictory opinions about the fundamentals of "sustainable development", its definition and the best ways to achieve it. This diversity of viewpoints reflects the complexity of the concept itself, but at the same time enriches scientific discussions and opens up the possibility for collaborative approaches. After studying numerous studies and scientific literature on this topic, two main approaches to the development of sustainability indicators can be identified. The first approach focuses on economic and environmental sustainability, while the second focuses more on the environment and long-term institutional development.</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Cs/>
          <w:sz w:val="24"/>
          <w:szCs w:val="24"/>
          <w:shd w:fill="FFFFFF" w:val="clear"/>
          <w:lang w:val="en-US"/>
        </w:rPr>
        <w:t>Theoretical and empirical data were used in the preparation of this article. The theoretical framework was built on the basis of basic concepts and applied methods developed by domestic and foreign researchers in the field of rural development. In addition, various materials presented at international and domestic scientific and practical conferences and forums were presented, as well as technical work on practical models of sustainable development management and their direct impact on rural development dynamics. These resources have provided a better understanding of global trends and how these principles can be adapted to the specifics of Kazakhstan.</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Cs/>
          <w:sz w:val="24"/>
          <w:szCs w:val="24"/>
          <w:shd w:fill="FFFFFF" w:val="clear"/>
          <w:lang w:val="en-US"/>
        </w:rPr>
        <w:t>The empirical basis of the study was mainly based on statistical data published by the National Bureau of Statistics of the Agency for Strategic Planning and Reforms of the Republic of Kazakhstan. Statistical bulletins, collections, and official documents provided reliable and up-to-date information reflecting the current state of rural areas, their development dynamics, and major challenges. In addition, the analytical work of modern researchers on rural sustainability was reviewed, the main indicators of rural development, socio-economic changes were presented, and an in-depth analysis of environmental conditions was conducted. The combination of these sources provided a unique analytical approach to the article, which allowed us to explore not only abstract theoretical models, but also real-world experience, supported by empirical evidence and substantial observations.</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
          <w:sz w:val="24"/>
          <w:szCs w:val="24"/>
          <w:shd w:fill="FFFFFF" w:val="clear"/>
          <w:lang w:val="en-US"/>
        </w:rPr>
        <w:t xml:space="preserve">Results and Discussion. </w:t>
      </w:r>
      <w:r>
        <w:rPr>
          <w:rFonts w:eastAsia="Times New Roman" w:cs="Times New Roman" w:ascii="Times New Roman" w:hAnsi="Times New Roman"/>
          <w:bCs/>
          <w:sz w:val="24"/>
          <w:szCs w:val="24"/>
          <w:shd w:fill="FFFFFF" w:val="clear"/>
          <w:lang w:val="en-US"/>
        </w:rPr>
        <w:t>Achieving sustainable economic growth remains one of the most difficult challenges facing all countries of the world today. This issue is not only economic, but also social and environmental in nature and requires a multidimensional approach. It should be emphasized that the main goal of development is to ensure long-term economic growth and economic development while preserving, strengthening, managing natural resources and protecting the environment for future generations. In modern discourse, the concept of "sustainable development" is defined as a state of the national economy in which three closely related goals are simultaneously achieved: economic stability, human health promotion and effective environmental protection. These three components are the cornerstone of sustainable development, and the balance between them determines the sustainability and longevity of any society. However, it should be emphasized that although the concept of sustainable development is internationally recognized and is increasingly being discussed in academic, political and professional circles, the depth and scope of research on this issue remains limited, especially in national studies. However, with the focus on rural development, there has been growing cooperation. Among the scientists who have made significant contributions to this field are Faber A., Khambar B., Utebayeva A. B., Kafyatullina D. F. and others [1-2]. Their research highlights the difficulty of integrating the economic, social and environmental aspects of rural development into a single concept.</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Cs/>
          <w:sz w:val="24"/>
          <w:szCs w:val="24"/>
          <w:shd w:fill="FFFFFF" w:val="clear"/>
          <w:lang w:val="en-US"/>
        </w:rPr>
        <w:t xml:space="preserve">Clarifying the precise definition of "sustainable development" is a key element in advancing the discussion, as different authors interpret this concept in different ways. It is well known that the World Commission on Environment and Development defines sustainable development as a set of measures aimed at meeting the needs of our time while preserving the quality of the environment and natural resources in order not to jeopardize the ability of future generations to meet their own needs. </w:t>
      </w:r>
      <w:r>
        <w:rPr>
          <w:rFonts w:eastAsia="Times New Roman" w:cs="Times New Roman" w:ascii="Times New Roman" w:hAnsi="Times New Roman"/>
          <w:bCs/>
          <w:color w:val="000000"/>
          <w:sz w:val="24"/>
          <w:szCs w:val="24"/>
          <w:shd w:fill="FFFFFF" w:val="clear"/>
          <w:lang w:val="en-US"/>
        </w:rPr>
        <w:t>Similarly, G.H. Brundtland articulated it as a model of human progress in which the basic needs of the current generation are fulfilled without depriving future generations of this opportunity. In contrast, Aitzhanova D.A. and Omarov A.K. emphasize a transformative process whereby natural resource management, investment flows, scientific and technological progress, social conditions, and institutional reforms are carefully coordinated, thereby strengthening the state’s ability to meet the population’s needs in the long term</w:t>
      </w:r>
      <w:r>
        <w:rPr>
          <w:rFonts w:eastAsia="Times New Roman" w:cs="Times New Roman" w:ascii="Times New Roman" w:hAnsi="Times New Roman"/>
          <w:bCs/>
          <w:sz w:val="24"/>
          <w:szCs w:val="24"/>
          <w:shd w:fill="FFFFFF" w:val="clear"/>
          <w:lang w:val="en-US"/>
        </w:rPr>
        <w:t>. At the same time, Pustnikova E. V. and Uskova E. O. emphasize that sustainability should be considered as a system in which competing economic and social systems of society are formed by harmonizing and balancing the interests of all participants - initially within the framework of economic well-being, gradually moving towards ecological and natural systems.</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Cs/>
          <w:sz w:val="24"/>
          <w:szCs w:val="24"/>
          <w:shd w:fill="FFFFFF" w:val="clear"/>
          <w:lang w:val="en-US"/>
        </w:rPr>
        <w:t>From this other point of view, it can be concluded that the concept of sustainability is a global human structure based on two fundamental principles: anthropocentrism and biospherocentrism. Anthropocentrism presupposes equal opportunities to meet their basic needs by ensuring the universal right of all people to life, health and dignity. On the other hand, biospherocentrism emphasizes the importance of preserving the biosphere as the fundamental basis of all life on Earth. He emphasizes the importance of ecological stability, natural evolution, and ecological balance, but also emphasizes that human development should not take place in a way that damages the environment or destroys the natural systems on which life depends.</w:t>
      </w:r>
    </w:p>
    <w:p>
      <w:pPr>
        <w:pStyle w:val="Normal"/>
        <w:widowControl w:val="false"/>
        <w:spacing w:lineRule="auto" w:line="240" w:before="0" w:after="0"/>
        <w:ind w:firstLine="567"/>
        <w:contextualSpacing/>
        <w:jc w:val="both"/>
        <w:rPr>
          <w:rFonts w:ascii="Times New Roman" w:hAnsi="Times New Roman" w:eastAsia="Times New Roman" w:cs="Times New Roman"/>
          <w:bCs/>
          <w:sz w:val="24"/>
          <w:szCs w:val="24"/>
          <w:shd w:fill="FFFFFF" w:val="clear"/>
          <w:lang w:val="en-US"/>
        </w:rPr>
      </w:pPr>
      <w:r>
        <w:rPr>
          <w:rFonts w:eastAsia="Times New Roman" w:cs="Times New Roman" w:ascii="Times New Roman" w:hAnsi="Times New Roman"/>
          <w:bCs/>
          <w:sz w:val="24"/>
          <w:szCs w:val="24"/>
          <w:shd w:fill="FFFFFF" w:val="clear"/>
          <w:lang w:val="en-US"/>
        </w:rPr>
        <w:t>A number of local scientists also expressed valuable ideas about the development of the village. For example, Y. N. Buzdalov emphasizes the exceptional role of the economic factor in ensuring the sustainability of rural areas. A. A. Anfinogentova considers the development of the socio-economic structure of the food industry as an important factor of sustainability, emphasizes its importance for ensuring food security of the country. E. N. Aile, a member of the Russian Academy of Agricultural Sciences, emphasizes the versatility of agriculture and the important role of agriculture in the context of agricultural development. His work demonstrates not only the interdependence and interaction of the main factors — economic, social and environmental — but also the role of agricultural knowledge and skills in food security. This vision reflects a unique perspective for rural development, in which the agricultural sector acts not only as a producer of products, but also as the main driver of innovation, knowledge transfer and prosperity in rural areas [3, 4].</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Cs/>
          <w:sz w:val="24"/>
          <w:szCs w:val="24"/>
          <w:shd w:fill="FFFFFF" w:val="clear"/>
          <w:lang w:val="en-US"/>
        </w:rPr>
        <w:t xml:space="preserve">This perspective is further expanded by V. V. Kozlov, V. M. Bautin and A.V. Merzlov, who provide a broad and comprehensive definition of rural development. According to their interpretation, this is a rural development strategy that ensures the fulfillment of basic economic functions (food production, processing of agricultural and related products, provision of public utilities), as well as rural livelihoods, cultural traditions, rational use of land, developed territories and the preservation and maintenance of human development. </w:t>
      </w:r>
      <w:r>
        <w:rPr>
          <w:rFonts w:eastAsia="Times New Roman" w:cs="Times New Roman" w:ascii="Times New Roman" w:hAnsi="Times New Roman"/>
          <w:bCs/>
          <w:color w:val="000000"/>
          <w:sz w:val="24"/>
          <w:szCs w:val="24"/>
          <w:shd w:fill="FFFFFF" w:val="clear"/>
          <w:lang w:val="en-US"/>
        </w:rPr>
        <w:t>Moreover, their approach stresses the importance of improving the quality of rural living, maintaining ecological equilibrium in the biosphere, and safeguarding the environment as an inseparable component of rural development [5].</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Cs/>
          <w:color w:val="000000"/>
          <w:sz w:val="24"/>
          <w:szCs w:val="24"/>
          <w:shd w:fill="FFFFFF" w:val="clear"/>
          <w:lang w:val="en-US"/>
        </w:rPr>
        <w:t>At present, rural areas remain the backbone of agricultural and food production, serving as the primary source of resources that guarantee the food security of the nation. Agriculture is the main producer of agricultural products, which is the basis of national stability and self-sufficiency. Food security, which is one of the pillars of sustainable development, is directly linked to the ability of rural areas to maintain and increase production. However, problems remain: the lack of sustainable farming practices often leads not only to shortages at the national level, but also exacerbates global food security problems. As a result, rural development is becoming an important factor not only for meeting domestic needs, but also for addressing global challenges related to hunger, poverty, and equal access to resources.</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Cs/>
          <w:color w:val="000000"/>
          <w:sz w:val="24"/>
          <w:szCs w:val="24"/>
          <w:shd w:fill="FFFFFF" w:val="clear"/>
          <w:lang w:val="en-US"/>
        </w:rPr>
        <w:t>Since the introduction of market relations, Kazakhstan's food sector has undergone profound and multifaceted changes, the consequences of which continue to shape the national economy. These changes have had a significant impact on many aspects of this sector, in particular on the volume and structure of agricultural and food production, the balance between supply and demand in the domestic market, the ratio between domestic production and imports, the dynamics of prices for basic foodstuffs and the overall stability of the food economy. First of all, it should be recognized that compared to the period before the reform, production volumes and productivity levels have significantly decreased. These events had long-term consequences for the viability of agriculture and food security.</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en-US"/>
        </w:rPr>
      </w:pPr>
      <w:r>
        <w:rPr>
          <w:rFonts w:eastAsia="Times New Roman" w:cs="Times New Roman" w:ascii="Times New Roman" w:hAnsi="Times New Roman"/>
          <w:bCs/>
          <w:color w:val="000000"/>
          <w:sz w:val="24"/>
          <w:szCs w:val="24"/>
          <w:shd w:fill="FFFFFF" w:val="clear"/>
          <w:lang w:val="en-US"/>
        </w:rPr>
        <w:t>One of the main reasons for these changes is the restructuring of the primary sector, in particular the introduction of private ownership. The privatization process has led to a reorganization of land use and a reduction in the centralized allocation of agricultural resources. This has led to a decrease in the area of land used for large-scale agricultural activities. As a result, large agricultural enterprises that previously provided the main means of production have been replaced by small farmers such as family farms, peasant farms, and individual farmers. While this diversification has led to increased ownership, it has also led to fragmentation of production, weakening its efficiency and reducing its ability to meet industrial demand.</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Simultaneously, the processing capacity of the food industry underwent a sharp decline. Many enterprises, including large meat processing and dairy processing plants, have ceased operations or significantly reduced production. This situation has weakened the infrastructure that previously ensured Kazakhstan's food self-sufficiency. The decrease in production capacity has not only affected production volumes, but has also changed the quality and range of food products offered to consumers, as well as increased the country's dependence on imports. In this context, it is important to emphasize the key role of rural development in the implementation of food security policies. Rural areas form the backbone of the country's food production, and their sustainable production capacities directly reflect the effectiveness of the Government's efforts to ensure food security. Therefore, it is important to constantly monitor and evaluate in detail the potential of rural development. At the same time, promoting rural development requires making reasonable use of the comparative advantages of geographical location, identifying and promoting "growth zones", creating priority development zones, and integrating institutional and financial mechanisms to promote progress. Another important task is to create a financial base for regions and rural areas so that they can respond independently and flexibly to new challenges. It is also important to recognize that within the same region, many rural areas may have different socio-economic characteristics, levels of sustainability, and development prospects. The sustainability and viability of these zones depend on the coordinated interaction of many factors: rational resource management, reasonable allocation of investments, promotion of scientific and technological knowledge, formation of human capital and institutional reforms. Together, these factors create conditions for fair and equitable development, thus strengthening the ability of communities to meet the needs and aspirations of the population. This, in turn, guarantees an increase in the standard of living not only for current generations, but also for future ones.</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At the international level, sustainable development is defined as a path of economic growth that simultaneously promotes human progress and prevents the depletion of natural resources. Sustainable change requires the gradual introduction of self-organizing social systems, including economic, social, and environmental systems. Sustainable development itself is characterized by three principles: effective economic management, environmental protection and rational use, and social justice. These principles serve as criteria for formulating public policy and evaluating development successes.</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 xml:space="preserve">Currently, the state planning system of Kazakhstan plays a decisive and strategic role in guiding the nation toward the achievement of its sustainable development objectives. Over the past several years, this system has been substantially restructured to emphasize not only abstract priorities but also clearly measurable and concrete outcomes. Since 2021, Kazakhstan has adopted a renewed state planning model (see Figure 1), where the central principle is the integration of measurable indicators directly linked to the United Nations Sustainable Development Goals (SDGs) into state planning and programmatic documents. </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This transformation reflects the country's desire to align its national planning system more closely with global standards of sustainable development. In the same year, Kazakhstan also adopted a set of national SDG indicators, which provide a framework for assessing progress towards achieving global goals. These indicators serve as tools to track progress in national development, strengthen government accountability, and ensure that local initiatives align with global development commitments. The transformation of the Kazakh food sector reflects, in particular, the duality of this evolution: on the one hand, there are serious challenges associated with structural reforms, on the other - there are new opportunities to strengthen the political base of the government. Although market mechanisms and trade have significantly transformed the agro-industrial sector, the long-term success of food security policies depends on strengthening rural resilience, increasing sustainability, and integrating sustainable development principles into planning and budgeting.</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At the same time, it should be underlined that Kazakhstan is still at an early stage of embedding the SDGs into its budgetary planning framework. Recognizing this, the government, with the technical support of the UN Development Programme (UNDP), undertook a rapid yet detailed review of budgetary programs in order to evaluate the degree to which the allocation of national resources is aligned with the SDGs [6]. This assessment covered a wide range of functional groups and revealed that budget programs currently address approximately 46% of the SDG-related targets (77 out of 167).</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The analysis further demonstrated uneven alignment across the different goals. The strongest compliance was found with SDG 16, which addresses “peace, justice, and effective institutions” – achieving an impressive 92%. This was followed by SDG 11, on “sustainable cities and human settlements,” with 80%, and SDG 9, focusing on “industrialization, innovation, and infrastructure,” with 75%. Education (SDG 4) also demonstrated high compliance at 70%, while “good health and well-being” (SDG 3) reached 69%, and SDG 13, on climate change action, showed 67% alignment. Moderate correspondence was observed for SDG 7 on clean and affordable energy (60%), SDG 8 on decent work and economic growth (50%), and SDG 12 on responsible consumption and production (45%). However, alignment was weaker in relation to SDG 1, “ending poverty” (43%), and SDG 10, “reducing inequality” (40%). The lowest levels of compliance were recorded for SDG 17, “partnerships for sustainable development” (37%), SDG 15, “life on land” (33%), and SDG 2, “zero hunger,” which reached only 25%.</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These findings highlight a critical issue: although progress has been made, the current degree of budget program compliance with the SDGs cannot yet be regarded as a strong or sufficient indicator of financial support for achieving these goals. Ongoing efforts are therefore aimed at further harmonizing budget programs with SDG targets, ensuring more efficient distribution of financial resources, and aligning state expenditure with sustainable development priorities [7].</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Another important aspect is the need to integrate cross-cutting social issues into planning and budgeting. For example, the effective realization of SDG principles requires a comprehensive approach that considers gender equality across all demographic groups. In Kazakhstan, efforts are already being made to incorporate the needs of different population categories into the budgetary process. With the support of the UN Children’s Fund (UNICEF), a child-oriented budgeting framework has been developed, designed to measure and strengthen the level of social protection for children [8</w:t>
      </w:r>
      <w:r>
        <w:rPr>
          <w:rFonts w:eastAsia="Times New Roman" w:cs="Times New Roman" w:ascii="Times New Roman" w:hAnsi="Times New Roman"/>
          <w:bCs/>
          <w:color w:val="000000"/>
          <w:sz w:val="24"/>
          <w:szCs w:val="24"/>
          <w:shd w:fill="FFFFFF" w:val="clear"/>
          <w:lang w:val="en-US"/>
        </w:rPr>
        <w:t>,</w:t>
      </w:r>
      <w:r>
        <w:rPr>
          <w:rFonts w:eastAsia="Times New Roman" w:cs="Times New Roman" w:ascii="Times New Roman" w:hAnsi="Times New Roman"/>
          <w:bCs/>
          <w:color w:val="000000"/>
          <w:sz w:val="24"/>
          <w:szCs w:val="24"/>
          <w:shd w:fill="FFFFFF" w:val="clear"/>
          <w:lang w:val="kk-KZ"/>
        </w:rPr>
        <w:t xml:space="preserve"> 9]. This initiative demonstrates Kazakhstan’s movement toward more inclusive budgeting practices that reflect the diversity of its population.</w:t>
      </w:r>
    </w:p>
    <w:p>
      <w:pPr>
        <w:pStyle w:val="Normal"/>
        <w:widowControl w:val="false"/>
        <w:spacing w:lineRule="auto" w:line="240" w:before="0" w:after="0"/>
        <w:ind w:firstLine="567"/>
        <w:contextualSpacing/>
        <w:jc w:val="both"/>
        <w:rPr>
          <w:rFonts w:ascii="Times New Roman" w:hAnsi="Times New Roman" w:eastAsia="Times New Roman" w:cs="Times New Roman"/>
          <w:bCs/>
          <w:color w:val="EE0000"/>
          <w:sz w:val="24"/>
          <w:szCs w:val="24"/>
          <w:shd w:fill="FFFFFF" w:val="clear"/>
          <w:lang w:val="kk-KZ"/>
        </w:rPr>
      </w:pPr>
      <w:r>
        <w:rPr>
          <w:rFonts w:eastAsia="Times New Roman" w:cs="Times New Roman" w:ascii="Times New Roman" w:hAnsi="Times New Roman"/>
          <w:bCs/>
          <w:sz w:val="24"/>
          <w:szCs w:val="24"/>
          <w:shd w:fill="FFFFFF" w:val="clear"/>
          <w:lang w:val="kk-KZ"/>
        </w:rPr>
        <w:t xml:space="preserve">In addition to institutional changes, Kazakhstan's future development will largely depend on the development of new approaches to agricultural production. Increasing the efficiency and sustainability of agriculture is considered by the population as a key factor in food security and overall economic efficiency. However, the development, implementation and management of efficient agricultural systems remains a challenging task. Sustainable agriculture is important not only to meet domestic needs, but also to address global challenges such as population growth, income inequality, environmental degradation, and resource depletion. It also helps to meet these two future needs. </w:t>
      </w:r>
      <w:r>
        <w:rPr>
          <w:rFonts w:eastAsia="Times New Roman" w:cs="Times New Roman" w:ascii="Times New Roman" w:hAnsi="Times New Roman"/>
          <w:bCs/>
          <w:color w:val="000000"/>
          <w:sz w:val="24"/>
          <w:szCs w:val="24"/>
          <w:shd w:fill="FFFFFF" w:val="clear"/>
          <w:lang w:val="kk-KZ"/>
        </w:rPr>
        <w:t>Agricultural sustainability, therefore, requires close integration of economic, social, and environmental dimensions, as well as active collaboration between different sectors [10</w:t>
      </w:r>
      <w:r>
        <w:rPr>
          <w:rFonts w:eastAsia="Times New Roman" w:cs="Times New Roman" w:ascii="Times New Roman" w:hAnsi="Times New Roman"/>
          <w:bCs/>
          <w:color w:val="000000"/>
          <w:sz w:val="24"/>
          <w:szCs w:val="24"/>
          <w:shd w:fill="FFFFFF" w:val="clear"/>
          <w:lang w:val="en-US"/>
        </w:rPr>
        <w:t>,</w:t>
      </w:r>
      <w:r>
        <w:rPr>
          <w:rFonts w:eastAsia="Times New Roman" w:cs="Times New Roman" w:ascii="Times New Roman" w:hAnsi="Times New Roman"/>
          <w:bCs/>
          <w:color w:val="000000"/>
          <w:sz w:val="24"/>
          <w:szCs w:val="24"/>
          <w:shd w:fill="FFFFFF" w:val="clear"/>
          <w:lang w:val="kk-KZ"/>
        </w:rPr>
        <w:t xml:space="preserve"> 11].</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The establishment of an effective management mechanism within the agrarian economy represents a key prerequisite for enhancing Kazakhstan’s overall competitiveness at the current stage of its development. Recent progress in the national economy has facilitated a more rational and structured performance of the agricultural management system. Moreover, the utilization of local agricultural products offers several competitive advantages, including vast expanses of arable land, the ecological purity of domestic products, and the availability of surplus labor in rural areas.</w:t>
      </w:r>
      <w:r>
        <w:rPr>
          <w:rFonts w:eastAsia="Times New Roman" w:cs="Times New Roman" w:ascii="Cambria" w:hAnsi="Cambria"/>
          <w:sz w:val="24"/>
          <w:szCs w:val="24"/>
          <w:lang w:val="en-US"/>
        </w:rPr>
        <w:t xml:space="preserve"> </w:t>
      </w:r>
      <w:r>
        <w:rPr>
          <w:rFonts w:eastAsia="Times New Roman" w:cs="Times New Roman" w:ascii="Times New Roman" w:hAnsi="Times New Roman"/>
          <w:bCs/>
          <w:color w:val="000000"/>
          <w:sz w:val="24"/>
          <w:szCs w:val="24"/>
          <w:shd w:fill="FFFFFF" w:val="clear"/>
          <w:lang w:val="kk-KZ"/>
        </w:rPr>
        <w:t>Together, these factors create favorable conditions for high-quality and competitive food production, thereby strengthening the country's food security and Kazakhstan's opportunities on world agricultural markets [12, 13].</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 xml:space="preserve"> </w:t>
      </w:r>
      <w:r>
        <w:rPr>
          <w:rFonts w:eastAsia="Times New Roman" w:cs="Times New Roman" w:ascii="Times New Roman" w:hAnsi="Times New Roman"/>
          <w:bCs/>
          <w:color w:val="000000"/>
          <w:sz w:val="24"/>
          <w:szCs w:val="24"/>
          <w:shd w:fill="FFFFFF" w:val="clear"/>
          <w:lang w:val="kk-KZ"/>
        </w:rPr>
        <w:t>It should be emphasized that the development of agriculture is inextricably linked to various security measures, in particular political, legal, economic, environmental, social, information, governance and international cooperation. Agriculture is not an isolated sector but a system that interacts with virtually every area of national development, making its effective regulation a matter of strategic importance. In this context, government regulation of agriculture is rightly regarded as one of the most crucial functions of public administration. Without Government oversight and targeted policy measures, it would be difficult, if not impossible, to ensure food security, protect the interests of rural populations, and conserve natural resources.</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From an economic point of view, the best way to achieve good results within the framework of sustainable growth is to maintain a balance between two forces: direct government intervention and the autonomy of producers in market mechanisms. A balanced approach allows governments to set common standards, provide infrastructure, and protect vulnerable sectors, while leaving producers free to adapt to market conditions, innovate, and compete.</w:t>
      </w:r>
      <w:r>
        <w:rPr>
          <w:rFonts w:eastAsia="Times New Roman" w:cs="Times New Roman" w:ascii="Times New Roman" w:hAnsi="Times New Roman"/>
          <w:bCs/>
          <w:color w:val="EE0000"/>
          <w:sz w:val="24"/>
          <w:szCs w:val="24"/>
          <w:shd w:fill="FFFFFF" w:val="clear"/>
          <w:lang w:val="kk-KZ"/>
        </w:rPr>
        <w:t xml:space="preserve"> </w:t>
      </w:r>
      <w:r>
        <w:rPr>
          <w:rFonts w:eastAsia="Times New Roman" w:cs="Times New Roman" w:ascii="Times New Roman" w:hAnsi="Times New Roman"/>
          <w:bCs/>
          <w:color w:val="000000"/>
          <w:sz w:val="24"/>
          <w:szCs w:val="24"/>
          <w:shd w:fill="FFFFFF" w:val="clear"/>
          <w:lang w:val="kk-KZ"/>
        </w:rPr>
        <w:t>However, in practice, agriculture and the food market cannot be regarded as fully self-regulating systems. Their distinctive characteristics – reliance on land as the principal production resource, underdeveloped infrastructure, limited pace of technological modernization, dependence on natural and climatic conditions, conservatism of production practices, rigidity of institutional structures, low profitability, and persistent disparities in agricultural pricing – hinder their ability to self-balance and adapt quickly to shocks [14</w:t>
      </w:r>
      <w:r>
        <w:rPr>
          <w:rFonts w:eastAsia="Times New Roman" w:cs="Times New Roman" w:ascii="Times New Roman" w:hAnsi="Times New Roman"/>
          <w:bCs/>
          <w:color w:val="000000"/>
          <w:sz w:val="24"/>
          <w:szCs w:val="24"/>
          <w:shd w:fill="FFFFFF" w:val="clear"/>
          <w:lang w:val="en-US"/>
        </w:rPr>
        <w:t>,</w:t>
      </w:r>
      <w:r>
        <w:rPr>
          <w:rFonts w:eastAsia="Times New Roman" w:cs="Times New Roman" w:ascii="Times New Roman" w:hAnsi="Times New Roman"/>
          <w:bCs/>
          <w:color w:val="000000"/>
          <w:sz w:val="24"/>
          <w:szCs w:val="24"/>
          <w:shd w:fill="FFFFFF" w:val="clear"/>
          <w:lang w:val="kk-KZ"/>
        </w:rPr>
        <w:t xml:space="preserve">15]. </w:t>
      </w:r>
    </w:p>
    <w:p>
      <w:pPr>
        <w:pStyle w:val="Normal"/>
        <w:widowControl w:val="false"/>
        <w:spacing w:lineRule="auto" w:line="240" w:before="0" w:after="0"/>
        <w:ind w:firstLine="567"/>
        <w:contextualSpacing/>
        <w:jc w:val="both"/>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For this reason, government involvement remains indispensable.</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color w:val="EE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When discussing the modern sustainability of rural territories, several important aspects should be underlined. First, the financial resources of rural areas are generally much smaller compared to those of urban centers. Limited local budgets restrict the ability of rural administrations to address pressing social and environmental problems, which, in turn, hampers their ability to achieve a sustainable balance across the economic, social, and ecological dimensions</w:t>
      </w:r>
      <w:r>
        <w:rPr>
          <w:rFonts w:eastAsia="Times New Roman" w:cs="Times New Roman" w:ascii="Times New Roman" w:hAnsi="Times New Roman"/>
          <w:bCs/>
          <w:color w:val="EE0000"/>
          <w:sz w:val="24"/>
          <w:szCs w:val="24"/>
          <w:shd w:fill="FFFFFF" w:val="clear"/>
          <w:lang w:val="kk-KZ"/>
        </w:rPr>
        <w:t xml:space="preserve">. </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sz w:val="24"/>
          <w:szCs w:val="24"/>
          <w:shd w:fill="FFFFFF" w:val="clear"/>
          <w:lang w:val="kk-KZ"/>
        </w:rPr>
      </w:pPr>
      <w:r>
        <w:rPr>
          <w:rFonts w:eastAsia="Times New Roman" w:cs="Times New Roman" w:ascii="Times New Roman" w:hAnsi="Times New Roman"/>
          <w:bCs/>
          <w:sz w:val="24"/>
          <w:szCs w:val="24"/>
          <w:shd w:fill="FFFFFF" w:val="clear"/>
          <w:lang w:val="kk-KZ"/>
        </w:rPr>
        <w:t>However, ensuring rural sustainability requires not only local initiatives, but also government support, allocation of resources, and well-designed rural development programs.</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sz w:val="24"/>
          <w:szCs w:val="24"/>
          <w:shd w:fill="FFFFFF" w:val="clear"/>
          <w:lang w:val="kk-KZ"/>
        </w:rPr>
      </w:pPr>
      <w:r>
        <w:rPr>
          <w:rFonts w:eastAsia="Times New Roman" w:cs="Times New Roman" w:ascii="Times New Roman" w:hAnsi="Times New Roman"/>
          <w:bCs/>
          <w:sz w:val="24"/>
          <w:szCs w:val="24"/>
          <w:shd w:fill="FFFFFF" w:val="clear"/>
          <w:lang w:val="kk-KZ"/>
        </w:rPr>
        <w:t>In this context, territorial planning plays a key role, which determines the distribution of population and resources in the territory of the Republic of Kazakhstan. Territorial planning allows a country to distinguish between different types of settlements and their development needs, whether they are large cities, growing cities, medium-sized cities or small rural settlements. This distinction is important because each type of settlement faces different challenges: while cities experience overcrowding and problems with urban infrastructure, villages often face demographic decline, lack of investment, and unemployment.</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sz w:val="24"/>
          <w:szCs w:val="24"/>
          <w:shd w:fill="FFFFFF" w:val="clear"/>
          <w:lang w:val="kk-KZ"/>
        </w:rPr>
      </w:pPr>
      <w:r>
        <w:rPr>
          <w:rFonts w:eastAsia="Times New Roman" w:cs="Times New Roman" w:ascii="Times New Roman" w:hAnsi="Times New Roman"/>
          <w:bCs/>
          <w:sz w:val="24"/>
          <w:szCs w:val="24"/>
          <w:shd w:fill="FFFFFF" w:val="clear"/>
          <w:lang w:val="kk-KZ"/>
        </w:rPr>
        <w:t>The structure of Kazakhstan's territorial administration reflects this diversity. At the beginning of 2023, there were 17 regions, 188 districts and 89 cities in the country, three of which - Astana, Almaty and Shymkent - were declared the capitals of the country. In addition, there were 29 cities, 2,177 administrative districts and 6,295 settlements in Kazakhstan. This structure reflects the scale and complexity of rural and urban area management within a single administration.</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sz w:val="24"/>
          <w:szCs w:val="24"/>
          <w:shd w:fill="FFFFFF" w:val="clear"/>
          <w:lang w:val="kk-KZ"/>
        </w:rPr>
      </w:pPr>
      <w:r>
        <w:rPr>
          <w:rFonts w:eastAsia="Times New Roman" w:cs="Times New Roman" w:ascii="Times New Roman" w:hAnsi="Times New Roman"/>
          <w:bCs/>
          <w:sz w:val="24"/>
          <w:szCs w:val="24"/>
          <w:shd w:fill="FFFFFF" w:val="clear"/>
          <w:lang w:val="kk-KZ"/>
        </w:rPr>
        <w:t>By July 1, 2025, the administrative and territorial system of Kazakhstan has become more extensive and organized. It included 17 regions and three national capitals: Astana, Almaty and Shymkent. At the regional level, there were 195 administrative districts that functioned as integral parts of regional Governments and played a key role in the implementation of national policies at the local level. The urban network included 90 cities, including three cities of national significance and 29 cities with official status. The rural system was represented by 2,159 administrative districts and 6,124 villages, which emphasized the predominance of rural areas in terms of land distribution and settlement patterns.</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t>This administrative system therefore combines large urbanized centers with an expansive network of rural districts, creating a multi-level governance framework capable of managing both the challenges of modernization and the needs of rural sustainability. The coexistence of megacities with dynamic economies and small villages dependent on agriculture illustrates the diversity of Kazakhstan’s territorial development model. It also highlights the importance of designing policies that are flexible enough to meet the requirements of different settlement types, while simultaneously ensuring coherence and balance at the national level (Table 1).</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bCs/>
          <w:color w:val="000000"/>
          <w:sz w:val="24"/>
          <w:szCs w:val="24"/>
          <w:shd w:fill="FFFFFF" w:val="clear"/>
          <w:lang w:val="kk-KZ"/>
        </w:rPr>
      </w:pPr>
      <w:r>
        <w:rPr>
          <w:rFonts w:eastAsia="Times New Roman" w:cs="Times New Roman" w:ascii="Times New Roman" w:hAnsi="Times New Roman"/>
          <w:bCs/>
          <w:color w:val="000000"/>
          <w:sz w:val="24"/>
          <w:szCs w:val="24"/>
          <w:shd w:fill="FFFFFF" w:val="clear"/>
          <w:lang w:val="kk-KZ"/>
        </w:rPr>
      </w:r>
    </w:p>
    <w:p>
      <w:pPr>
        <w:pStyle w:val="Normal"/>
        <w:widowControl w:val="false"/>
        <w:numPr>
          <w:ilvl w:val="0"/>
          <w:numId w:val="0"/>
        </w:numPr>
        <w:spacing w:lineRule="auto" w:line="240" w:before="0" w:after="0"/>
        <w:ind w:firstLine="567"/>
        <w:jc w:val="center"/>
        <w:outlineLvl w:val="0"/>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t>Table 1</w:t>
      </w:r>
      <w:r>
        <w:rPr>
          <w:rFonts w:eastAsia="Times New Roman" w:cs="Times New Roman" w:ascii="Times New Roman" w:hAnsi="Times New Roman"/>
          <w:b/>
          <w:bCs/>
          <w:sz w:val="20"/>
          <w:szCs w:val="20"/>
          <w:lang w:val="kk-KZ"/>
        </w:rPr>
        <w:t>-</w:t>
      </w:r>
      <w:r>
        <w:rPr>
          <w:rFonts w:eastAsia="Times New Roman" w:cs="Times New Roman" w:ascii="Cambria" w:hAnsi="Cambria"/>
          <w:sz w:val="20"/>
          <w:szCs w:val="20"/>
          <w:lang w:val="en-US"/>
        </w:rPr>
        <w:t xml:space="preserve"> </w:t>
      </w:r>
      <w:r>
        <w:rPr>
          <w:rFonts w:eastAsia="Times New Roman" w:cs="Times New Roman" w:ascii="Times New Roman" w:hAnsi="Times New Roman"/>
          <w:b/>
          <w:bCs/>
          <w:sz w:val="20"/>
          <w:szCs w:val="20"/>
          <w:lang w:val="en-US"/>
        </w:rPr>
        <w:t>Administrative-territorial units of the Republic of Kazakhstan as of July 1, 2025</w:t>
      </w:r>
    </w:p>
    <w:p>
      <w:pPr>
        <w:pStyle w:val="Normal"/>
        <w:widowControl w:val="false"/>
        <w:numPr>
          <w:ilvl w:val="0"/>
          <w:numId w:val="0"/>
        </w:numPr>
        <w:spacing w:lineRule="auto" w:line="240" w:before="0" w:after="0"/>
        <w:ind w:firstLine="567"/>
        <w:jc w:val="center"/>
        <w:outlineLvl w:val="0"/>
        <w:rPr>
          <w:rFonts w:ascii="Times New Roman" w:hAnsi="Times New Roman" w:eastAsia="Times New Roman" w:cs="Times New Roman"/>
          <w:b/>
          <w:bCs/>
          <w:sz w:val="24"/>
          <w:szCs w:val="24"/>
          <w:lang w:val="kk-KZ"/>
        </w:rPr>
      </w:pPr>
      <w:r>
        <w:rPr>
          <w:rFonts w:eastAsia="Times New Roman" w:cs="Times New Roman" w:ascii="Times New Roman" w:hAnsi="Times New Roman"/>
          <w:b/>
          <w:bCs/>
          <w:sz w:val="24"/>
          <w:szCs w:val="24"/>
          <w:lang w:val="en-US"/>
        </w:rPr>
        <w:t xml:space="preserve"> </w:t>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761"/>
        <w:gridCol w:w="543"/>
        <w:gridCol w:w="738"/>
        <w:gridCol w:w="737"/>
        <w:gridCol w:w="543"/>
        <w:gridCol w:w="544"/>
        <w:gridCol w:w="543"/>
        <w:gridCol w:w="544"/>
        <w:gridCol w:w="616"/>
        <w:gridCol w:w="544"/>
        <w:gridCol w:w="544"/>
        <w:gridCol w:w="617"/>
        <w:gridCol w:w="547"/>
        <w:gridCol w:w="533"/>
      </w:tblGrid>
      <w:tr>
        <w:trPr>
          <w:trHeight w:val="345" w:hRule="atLeast"/>
        </w:trPr>
        <w:tc>
          <w:tcPr>
            <w:tcW w:w="1761" w:type="dxa"/>
            <w:vMerge w:val="restart"/>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 </w:t>
            </w:r>
          </w:p>
        </w:tc>
        <w:tc>
          <w:tcPr>
            <w:tcW w:w="20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Districts</w:t>
            </w:r>
          </w:p>
        </w:tc>
        <w:tc>
          <w:tcPr>
            <w:tcW w:w="2790"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val="en-US" w:eastAsia="ru-RU"/>
              </w:rPr>
              <w:t>Settlements</w:t>
            </w:r>
          </w:p>
        </w:tc>
        <w:tc>
          <w:tcPr>
            <w:tcW w:w="2785"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val="en-US" w:eastAsia="ru-RU"/>
              </w:rPr>
              <w:t xml:space="preserve">  </w:t>
            </w:r>
            <w:r>
              <w:rPr>
                <w:rFonts w:eastAsia="Times New Roman" w:cs="Times New Roman" w:ascii="Times New Roman" w:hAnsi="Times New Roman"/>
                <w:b/>
                <w:sz w:val="20"/>
                <w:szCs w:val="20"/>
                <w:lang w:val="en-US" w:eastAsia="ru-RU"/>
              </w:rPr>
              <w:t>Akim's Office</w:t>
            </w:r>
          </w:p>
        </w:tc>
      </w:tr>
      <w:tr>
        <w:trPr>
          <w:trHeight w:val="345" w:hRule="atLeast"/>
        </w:trPr>
        <w:tc>
          <w:tcPr>
            <w:tcW w:w="176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3"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total</w:t>
            </w:r>
          </w:p>
        </w:tc>
        <w:tc>
          <w:tcPr>
            <w:tcW w:w="1475"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of these:districtsin cities</w:t>
            </w:r>
          </w:p>
        </w:tc>
        <w:tc>
          <w:tcPr>
            <w:tcW w:w="163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City</w:t>
            </w:r>
          </w:p>
        </w:tc>
        <w:tc>
          <w:tcPr>
            <w:tcW w:w="544"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Villages</w:t>
            </w:r>
          </w:p>
        </w:tc>
        <w:tc>
          <w:tcPr>
            <w:tcW w:w="616"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Village</w:t>
            </w:r>
          </w:p>
        </w:tc>
        <w:tc>
          <w:tcPr>
            <w:tcW w:w="108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Village</w:t>
            </w:r>
          </w:p>
        </w:tc>
        <w:tc>
          <w:tcPr>
            <w:tcW w:w="116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county</w:t>
            </w:r>
          </w:p>
        </w:tc>
        <w:tc>
          <w:tcPr>
            <w:tcW w:w="533"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rural </w:t>
            </w:r>
          </w:p>
        </w:tc>
      </w:tr>
      <w:tr>
        <w:trPr>
          <w:trHeight w:val="375" w:hRule="atLeast"/>
        </w:trPr>
        <w:tc>
          <w:tcPr>
            <w:tcW w:w="176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1475"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3"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total</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Of these:</w:t>
            </w:r>
          </w:p>
        </w:tc>
        <w:tc>
          <w:tcPr>
            <w:tcW w:w="5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6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4"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total</w:t>
            </w:r>
          </w:p>
        </w:tc>
        <w:tc>
          <w:tcPr>
            <w:tcW w:w="544"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of which: consisting of only one LS*</w:t>
            </w:r>
          </w:p>
        </w:tc>
        <w:tc>
          <w:tcPr>
            <w:tcW w:w="617"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total</w:t>
            </w:r>
          </w:p>
        </w:tc>
        <w:tc>
          <w:tcPr>
            <w:tcW w:w="547" w:type="dxa"/>
            <w:vMerge w:val="restart"/>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of which: consisting of only one LS*</w:t>
            </w:r>
          </w:p>
        </w:tc>
        <w:tc>
          <w:tcPr>
            <w:tcW w:w="5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tc>
      </w:tr>
      <w:tr>
        <w:trPr>
          <w:trHeight w:val="1755" w:hRule="atLeast"/>
        </w:trPr>
        <w:tc>
          <w:tcPr>
            <w:tcW w:w="176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tc>
        <w:tc>
          <w:tcPr>
            <w:tcW w:w="5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tc>
        <w:tc>
          <w:tcPr>
            <w:tcW w:w="738" w:type="dxa"/>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Republican Significance</w:t>
            </w:r>
          </w:p>
        </w:tc>
        <w:tc>
          <w:tcPr>
            <w:tcW w:w="737" w:type="dxa"/>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of regional significance</w:t>
            </w:r>
          </w:p>
        </w:tc>
        <w:tc>
          <w:tcPr>
            <w:tcW w:w="54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4" w:type="dxa"/>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of regional significance</w:t>
            </w:r>
          </w:p>
        </w:tc>
        <w:tc>
          <w:tcPr>
            <w:tcW w:w="543" w:type="dxa"/>
            <w:tcBorders>
              <w:top w:val="single" w:sz="4" w:space="0" w:color="000000"/>
              <w:left w:val="single" w:sz="4" w:space="0" w:color="000000"/>
              <w:bottom w:val="single" w:sz="4" w:space="0" w:color="000000"/>
              <w:right w:val="single" w:sz="4" w:space="0" w:color="000000"/>
            </w:tcBorders>
            <w:textDirection w:val="btLr"/>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val="en-US" w:eastAsia="ru-RU"/>
              </w:rPr>
              <w:t>of District Significance</w:t>
            </w:r>
          </w:p>
        </w:tc>
        <w:tc>
          <w:tcPr>
            <w:tcW w:w="5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6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6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5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val="en-US" w:eastAsia="ru-RU"/>
              </w:rPr>
              <w:t>Kazakhstan</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195</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19</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90</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39</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48</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29</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6124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27</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19</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2159</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508</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105</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Abay</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10</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320</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134</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39</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Akmola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17</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589</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191</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19</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38</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Aktobe</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312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133</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32</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Almaty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9</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368</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131</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33</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Atyrau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153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67</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23</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West Kazakhstan</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12</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405</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147</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25</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Zhambyl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12</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353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146</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38</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Zhetysu</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350</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112</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15</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Karaganda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9</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342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151</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54</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Kostanay</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16</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492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156</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27</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36</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Kyzylorda</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223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142</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97</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Mangystau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59</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34</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24</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12</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Pavlodar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10</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352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119</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North Kazakhstan</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590</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186</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26</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 xml:space="preserve">Turkestan </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794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174</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21</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Ulytau</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72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33</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11</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East Kazakhstan</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11</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350</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103</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10</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Astana city</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Almaty city</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8</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176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val="en-US" w:eastAsia="ru-RU"/>
              </w:rPr>
              <w:t>Shymkent city</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73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w:t>
            </w:r>
          </w:p>
        </w:tc>
        <w:tc>
          <w:tcPr>
            <w:tcW w:w="73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6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4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c>
          <w:tcPr>
            <w:tcW w:w="53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w:t>
            </w:r>
          </w:p>
        </w:tc>
      </w:tr>
      <w:tr>
        <w:trPr>
          <w:trHeight w:val="300" w:hRule="atLeast"/>
        </w:trPr>
        <w:tc>
          <w:tcPr>
            <w:tcW w:w="9354" w:type="dxa"/>
            <w:gridSpan w:val="14"/>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val="en-US" w:eastAsia="ru-RU"/>
              </w:rPr>
              <w:t>LS - Local Settlements</w:t>
            </w:r>
          </w:p>
        </w:tc>
      </w:tr>
    </w:tbl>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It should be emphasized that promising rural settlements must include infrastructure elements that enable the expansion of entrepreneurial initiatives, as well as essential components such as advisory support and organizational structuring of enterprises.</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During the years of independence, rural development has faced a structural crisis caused by the transformation of ownership models and the transition of all spheres of activity to market-based principles.</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en-US"/>
        </w:rPr>
        <w:t>In GDP composition, the agricultural sector’s share in 2022 reached 5.2%, with the physical volume index compared to the same period of the previous year standing at 106.4%. It should also be highlighted that the growth of the rural population in 2022 rose from 155</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lang w:val="en-US"/>
        </w:rPr>
        <w:t>8 thousand people in 2018 to 111</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lang w:val="en-US"/>
        </w:rPr>
        <w:t>9 thousand people</w:t>
      </w:r>
      <w:r>
        <w:rPr>
          <w:rFonts w:eastAsia="Times New Roman" w:cs="Times New Roman" w:ascii="Times New Roman" w:hAnsi="Times New Roman"/>
          <w:color w:val="EE0000"/>
          <w:sz w:val="24"/>
          <w:szCs w:val="24"/>
          <w:lang w:val="en-US"/>
        </w:rPr>
        <w:t xml:space="preserve">. </w:t>
      </w:r>
      <w:r>
        <w:rPr>
          <w:rFonts w:eastAsia="Times New Roman" w:cs="Times New Roman" w:ascii="Times New Roman" w:hAnsi="Times New Roman"/>
          <w:sz w:val="24"/>
          <w:szCs w:val="24"/>
          <w:lang w:val="en-US"/>
        </w:rPr>
        <w:t>According to the Bureau of National Statistics, by the close of 2023, the gross volume of agricultural production amounted to 37</w:t>
      </w:r>
      <w:r>
        <w:rPr>
          <w:rFonts w:eastAsia="Times New Roman" w:cs="Times New Roman" w:ascii="Times New Roman" w:hAnsi="Times New Roman"/>
          <w:sz w:val="24"/>
          <w:szCs w:val="24"/>
          <w:lang w:val="kk-KZ"/>
        </w:rPr>
        <w:t> </w:t>
      </w:r>
      <w:r>
        <w:rPr>
          <w:rFonts w:eastAsia="Times New Roman" w:cs="Times New Roman" w:ascii="Times New Roman" w:hAnsi="Times New Roman"/>
          <w:sz w:val="24"/>
          <w:szCs w:val="24"/>
          <w:lang w:val="en-US"/>
        </w:rPr>
        <w:t>754</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lang w:val="en-US"/>
        </w:rPr>
        <w:t>7 million tenge, showing a substantial increase. For instance, in 2018, the gross output grew from 4</w:t>
      </w:r>
      <w:r>
        <w:rPr>
          <w:rFonts w:eastAsia="Times New Roman" w:cs="Times New Roman" w:ascii="Times New Roman" w:hAnsi="Times New Roman"/>
          <w:sz w:val="24"/>
          <w:szCs w:val="24"/>
          <w:lang w:val="kk-KZ"/>
        </w:rPr>
        <w:t> </w:t>
      </w:r>
      <w:r>
        <w:rPr>
          <w:rFonts w:eastAsia="Times New Roman" w:cs="Times New Roman" w:ascii="Times New Roman" w:hAnsi="Times New Roman"/>
          <w:sz w:val="24"/>
          <w:szCs w:val="24"/>
          <w:lang w:val="en-US"/>
        </w:rPr>
        <w:t>497</w:t>
      </w:r>
      <w:r>
        <w:rPr>
          <w:rFonts w:eastAsia="Times New Roman" w:cs="Times New Roman" w:ascii="Times New Roman" w:hAnsi="Times New Roman"/>
          <w:sz w:val="24"/>
          <w:szCs w:val="24"/>
          <w:lang w:val="kk-KZ"/>
        </w:rPr>
        <w:t> </w:t>
      </w:r>
      <w:r>
        <w:rPr>
          <w:rFonts w:eastAsia="Times New Roman" w:cs="Times New Roman" w:ascii="Times New Roman" w:hAnsi="Times New Roman"/>
          <w:sz w:val="24"/>
          <w:szCs w:val="24"/>
          <w:lang w:val="en-US"/>
        </w:rPr>
        <w:t>585</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lang w:val="en-US"/>
        </w:rPr>
        <w:t>4 million tenge to 9</w:t>
      </w:r>
      <w:r>
        <w:rPr>
          <w:rFonts w:eastAsia="Times New Roman" w:cs="Times New Roman" w:ascii="Times New Roman" w:hAnsi="Times New Roman"/>
          <w:sz w:val="24"/>
          <w:szCs w:val="24"/>
          <w:lang w:val="kk-KZ"/>
        </w:rPr>
        <w:t> </w:t>
      </w:r>
      <w:r>
        <w:rPr>
          <w:rFonts w:eastAsia="Times New Roman" w:cs="Times New Roman" w:ascii="Times New Roman" w:hAnsi="Times New Roman"/>
          <w:sz w:val="24"/>
          <w:szCs w:val="24"/>
          <w:lang w:val="en-US"/>
        </w:rPr>
        <w:t>521</w:t>
      </w:r>
      <w:r>
        <w:rPr>
          <w:rFonts w:eastAsia="Times New Roman" w:cs="Times New Roman" w:ascii="Times New Roman" w:hAnsi="Times New Roman"/>
          <w:sz w:val="24"/>
          <w:szCs w:val="24"/>
          <w:lang w:val="kk-KZ"/>
        </w:rPr>
        <w:t> </w:t>
      </w:r>
      <w:r>
        <w:rPr>
          <w:rFonts w:eastAsia="Times New Roman" w:cs="Times New Roman" w:ascii="Times New Roman" w:hAnsi="Times New Roman"/>
          <w:sz w:val="24"/>
          <w:szCs w:val="24"/>
          <w:lang w:val="en-US"/>
        </w:rPr>
        <w:t>002</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lang w:val="en-US"/>
        </w:rPr>
        <w:t xml:space="preserve">3 million tenge in 2022- nearly doubling. Next, let us examine the availability of cereals and legumes by Kazakhstan’s regions as of January 1, 2024. </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en-US"/>
        </w:rPr>
        <w:t>As of July 1, 2025, the reserves of cereals and legumes in the Republic of Kazakhstan amounted to 6.7 million tons, of which the main part is wheat — 5.7 million tons. At the same time, food grains form the predominant volume (5.8 million tons), while the share of seed and feed grains is significantly less — 149 thousand tons and 692 thousand tons, respectively. Among other crops, significant amounts are accounted for by barley (502 thousand tons), oats (118 thousand tons), rice (111 thousand tons), corn (63 thousand tons), buckwheat (48 thousand tons) and millet (23 thousand tons). Thus, the stock structure shows the dominant importance of wheat in the country's food security, while the share of other crops remains relatively small, indicating weak diversification, but at the same time underscores the strategic role of the grain sector for the economy and sustainable development of Kazakhstan's agricultural regions</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(Table 2) [15].</w:t>
      </w:r>
    </w:p>
    <w:p>
      <w:pPr>
        <w:pStyle w:val="Normal"/>
        <w:widowControl w:val="false"/>
        <w:numPr>
          <w:ilvl w:val="0"/>
          <w:numId w:val="0"/>
        </w:numPr>
        <w:spacing w:lineRule="auto" w:line="240" w:before="0" w:after="0"/>
        <w:jc w:val="both"/>
        <w:outlineLvl w:val="0"/>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widowControl w:val="false"/>
        <w:numPr>
          <w:ilvl w:val="0"/>
          <w:numId w:val="0"/>
        </w:numPr>
        <w:spacing w:lineRule="auto" w:line="240" w:before="0" w:after="0"/>
        <w:ind w:firstLine="567"/>
        <w:jc w:val="center"/>
        <w:outlineLvl w:val="0"/>
        <w:rPr>
          <w:rFonts w:ascii="Times New Roman" w:hAnsi="Times New Roman" w:eastAsia="Times New Roman" w:cs="Times New Roman"/>
          <w:b/>
          <w:bCs/>
          <w:lang w:val="en-US"/>
        </w:rPr>
      </w:pPr>
      <w:bookmarkStart w:id="0" w:name="_Hlk208499859"/>
      <w:r>
        <w:rPr>
          <w:rFonts w:eastAsia="Times New Roman" w:cs="Times New Roman" w:ascii="Times New Roman" w:hAnsi="Times New Roman"/>
          <w:b/>
          <w:bCs/>
          <w:lang w:val="en-US"/>
        </w:rPr>
        <w:t xml:space="preserve">Table 2 - </w:t>
      </w:r>
      <w:bookmarkEnd w:id="0"/>
      <w:r>
        <w:rPr>
          <w:rFonts w:eastAsia="Times New Roman" w:cs="Times New Roman" w:ascii="Times New Roman" w:hAnsi="Times New Roman"/>
          <w:b/>
          <w:bCs/>
          <w:lang w:val="en-US"/>
        </w:rPr>
        <w:t>Availability of grain and legumes by region as of July 1, 2025 (tons)</w:t>
      </w:r>
    </w:p>
    <w:p>
      <w:pPr>
        <w:pStyle w:val="Normal"/>
        <w:widowControl w:val="false"/>
        <w:numPr>
          <w:ilvl w:val="0"/>
          <w:numId w:val="0"/>
        </w:numPr>
        <w:spacing w:lineRule="auto" w:line="240" w:before="0" w:after="0"/>
        <w:ind w:firstLine="567"/>
        <w:jc w:val="center"/>
        <w:outlineLvl w:val="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tbl>
      <w:tblPr>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55"/>
        <w:gridCol w:w="640"/>
        <w:gridCol w:w="922"/>
        <w:gridCol w:w="910"/>
        <w:gridCol w:w="856"/>
        <w:gridCol w:w="1035"/>
        <w:gridCol w:w="910"/>
        <w:gridCol w:w="909"/>
        <w:gridCol w:w="803"/>
        <w:gridCol w:w="1304"/>
      </w:tblGrid>
      <w:tr>
        <w:trPr>
          <w:trHeight w:val="300" w:hRule="atLeast"/>
        </w:trPr>
        <w:tc>
          <w:tcPr>
            <w:tcW w:w="105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w:t>
            </w:r>
          </w:p>
        </w:tc>
        <w:tc>
          <w:tcPr>
            <w:tcW w:w="6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color w:val="000000"/>
                <w:sz w:val="20"/>
                <w:szCs w:val="20"/>
                <w:lang w:val="en-US" w:eastAsia="ru-RU"/>
              </w:rPr>
              <w:t>Total</w:t>
            </w:r>
          </w:p>
          <w:p>
            <w:pPr>
              <w:pStyle w:val="Normal"/>
              <w:spacing w:lineRule="auto" w:line="240" w:before="0" w:after="0"/>
              <w:jc w:val="center"/>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color w:val="000000"/>
                <w:sz w:val="20"/>
                <w:szCs w:val="20"/>
                <w:lang w:val="en-US" w:eastAsia="ru-RU"/>
              </w:rPr>
            </w:r>
          </w:p>
        </w:tc>
        <w:tc>
          <w:tcPr>
            <w:tcW w:w="7649" w:type="dxa"/>
            <w:gridSpan w:val="8"/>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sz w:val="20"/>
                <w:szCs w:val="20"/>
                <w:lang w:eastAsia="ru-RU"/>
              </w:rPr>
            </w:pPr>
            <w:r>
              <w:rPr>
                <w:rFonts w:eastAsia="Times New Roman" w:cs="Times New Roman" w:ascii="Times New Roman" w:hAnsi="Times New Roman"/>
                <w:b/>
                <w:color w:val="000000"/>
                <w:sz w:val="20"/>
                <w:szCs w:val="20"/>
                <w:lang w:eastAsia="ru-RU"/>
              </w:rPr>
              <w:t>Including</w:t>
            </w:r>
          </w:p>
        </w:tc>
      </w:tr>
      <w:tr>
        <w:trPr>
          <w:trHeight w:val="300" w:hRule="atLeast"/>
        </w:trPr>
        <w:tc>
          <w:tcPr>
            <w:tcW w:w="105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r>
          </w:p>
        </w:tc>
        <w:tc>
          <w:tcPr>
            <w:tcW w:w="6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r>
          </w:p>
        </w:tc>
        <w:tc>
          <w:tcPr>
            <w:tcW w:w="5542" w:type="dxa"/>
            <w:gridSpan w:val="6"/>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
                <w:color w:val="000000"/>
                <w:sz w:val="20"/>
                <w:szCs w:val="20"/>
                <w:lang w:val="en-US" w:eastAsia="ru-RU"/>
              </w:rPr>
            </w:pPr>
            <w:r>
              <w:rPr>
                <w:rFonts w:eastAsia="Times New Roman" w:cs="Times New Roman" w:ascii="Times New Roman" w:hAnsi="Times New Roman"/>
                <w:b/>
                <w:color w:val="000000"/>
                <w:sz w:val="20"/>
                <w:szCs w:val="20"/>
                <w:lang w:val="en-US" w:eastAsia="ru-RU"/>
              </w:rPr>
              <w:t>for legal entities with the main type of activity</w:t>
            </w:r>
          </w:p>
        </w:tc>
        <w:tc>
          <w:tcPr>
            <w:tcW w:w="803"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for other</w:t>
            </w:r>
          </w:p>
          <w:p>
            <w:pPr>
              <w:pStyle w:val="Normal"/>
              <w:spacing w:lineRule="auto" w:line="240" w:before="0" w:after="0"/>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legal entities</w:t>
            </w:r>
          </w:p>
        </w:tc>
        <w:tc>
          <w:tcPr>
            <w:tcW w:w="130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sz w:val="20"/>
                <w:szCs w:val="20"/>
                <w:lang w:val="kk-KZ" w:eastAsia="ru-RU"/>
              </w:rPr>
            </w:pPr>
            <w:r>
              <w:rPr>
                <w:rFonts w:eastAsia="Times New Roman" w:cs="Times New Roman" w:ascii="Times New Roman" w:hAnsi="Times New Roman"/>
                <w:color w:val="000000"/>
                <w:sz w:val="20"/>
                <w:szCs w:val="20"/>
                <w:lang w:val="en-US" w:eastAsia="ru-RU"/>
              </w:rPr>
              <w:t>for individual entrepreneurs and peasant/farm enterprises</w:t>
            </w:r>
          </w:p>
        </w:tc>
      </w:tr>
      <w:tr>
        <w:trPr>
          <w:trHeight w:val="1335" w:hRule="atLeast"/>
        </w:trPr>
        <w:tc>
          <w:tcPr>
            <w:tcW w:w="105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r>
          </w:p>
        </w:tc>
        <w:tc>
          <w:tcPr>
            <w:tcW w:w="6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r>
          </w:p>
        </w:tc>
        <w:tc>
          <w:tcPr>
            <w:tcW w:w="92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t>crop and animal husbandry, hunting and provision of services in these areas</w:t>
            </w:r>
          </w:p>
        </w:tc>
        <w:tc>
          <w:tcPr>
            <w:tcW w:w="91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t>production of the flour and cereal industry</w:t>
            </w:r>
          </w:p>
        </w:tc>
        <w:tc>
          <w:tcPr>
            <w:tcW w:w="856"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t>wholesale of grain, seeds and animal feed</w:t>
            </w:r>
          </w:p>
        </w:tc>
        <w:tc>
          <w:tcPr>
            <w:tcW w:w="103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16"/>
                <w:szCs w:val="16"/>
                <w:lang w:eastAsia="ru-RU"/>
              </w:rPr>
            </w:pPr>
            <w:r>
              <w:rPr>
                <w:rFonts w:eastAsia="Times New Roman" w:cs="Times New Roman" w:ascii="Times New Roman" w:hAnsi="Times New Roman"/>
                <w:color w:val="000000"/>
                <w:sz w:val="16"/>
                <w:szCs w:val="16"/>
                <w:lang w:eastAsia="ru-RU"/>
              </w:rPr>
              <w:t>grain warehousing and</w:t>
            </w:r>
          </w:p>
          <w:p>
            <w:pPr>
              <w:pStyle w:val="Normal"/>
              <w:spacing w:lineRule="auto" w:line="240" w:before="0" w:after="0"/>
              <w:rPr>
                <w:rFonts w:ascii="Times New Roman" w:hAnsi="Times New Roman" w:eastAsia="Times New Roman" w:cs="Times New Roman"/>
                <w:color w:val="000000"/>
                <w:sz w:val="16"/>
                <w:szCs w:val="16"/>
                <w:lang w:eastAsia="ru-RU"/>
              </w:rPr>
            </w:pPr>
            <w:r>
              <w:rPr>
                <w:rFonts w:eastAsia="Times New Roman" w:cs="Times New Roman" w:ascii="Times New Roman" w:hAnsi="Times New Roman"/>
                <w:color w:val="000000"/>
                <w:sz w:val="16"/>
                <w:szCs w:val="16"/>
                <w:lang w:eastAsia="ru-RU"/>
              </w:rPr>
              <w:t>storage</w:t>
            </w:r>
          </w:p>
        </w:tc>
        <w:tc>
          <w:tcPr>
            <w:tcW w:w="91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production of ready-made feed for farm animals</w:t>
            </w:r>
          </w:p>
        </w:tc>
        <w:tc>
          <w:tcPr>
            <w:tcW w:w="90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production of other basic organic chemicals</w:t>
            </w:r>
          </w:p>
        </w:tc>
        <w:tc>
          <w:tcPr>
            <w:tcW w:w="80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r>
          </w:p>
        </w:tc>
        <w:tc>
          <w:tcPr>
            <w:tcW w:w="130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sz w:val="16"/>
                <w:szCs w:val="16"/>
                <w:lang w:val="en-US" w:eastAsia="ru-RU"/>
              </w:rPr>
            </w:pPr>
            <w:r>
              <w:rPr>
                <w:rFonts w:eastAsia="Times New Roman" w:cs="Times New Roman" w:ascii="Times New Roman" w:hAnsi="Times New Roman"/>
                <w:color w:val="000000"/>
                <w:sz w:val="16"/>
                <w:szCs w:val="16"/>
                <w:lang w:val="en-US" w:eastAsia="ru-RU"/>
              </w:rPr>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b/>
                <w:bCs/>
                <w:color w:val="000000"/>
                <w:sz w:val="18"/>
                <w:szCs w:val="18"/>
                <w:lang w:eastAsia="ru-RU"/>
              </w:rPr>
            </w:pPr>
            <w:r>
              <w:rPr>
                <w:rFonts w:eastAsia="Times New Roman" w:cs="Times New Roman" w:ascii="Times New Roman" w:hAnsi="Times New Roman"/>
                <w:sz w:val="18"/>
                <w:szCs w:val="18"/>
                <w:lang w:val="en-US"/>
              </w:rPr>
              <w:t>Kazakhstan</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6 679 010,6</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2 323 493,1</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903 658,6</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188 409,0</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2 156 179,4</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12 547,5</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7 300,5</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151 055,0</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936 367,5</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Abay</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128 898,3</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55 757,7</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19 178,1</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8 317,1</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45 645,4</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Akmola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1 678 481,7</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561 168,4</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179 590,2</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4 710,5</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734 037,5</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4 424,3</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11 273,0</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183 277,8</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Aktobe</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153 559,2</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27 537,7</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39 365,4</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49 607,2</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30 321,4</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1 890,7</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1 515,7</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3 321,1</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Almaty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52 250,7</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31 661,4</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14 103,7</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809,4</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x</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21,0</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x</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818,9</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1 949,1</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Atyrau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347,3</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347,3</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West Kazakhstan</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118 651,7</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17 615,6</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55 421,8</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2 861,8</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23 775,8</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x</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2 267,7</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16 609,0</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Zhambyl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47 395,9</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9 252,0</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1 808,5</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19,7</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36 315,7</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Zhetysu</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12 708,5</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1 568,2</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4 053,2</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7 033,5</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53,6</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Karaganda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463 105,8</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240 749,8</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52 568,8</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5 413,8</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46 728,2</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7 890,5</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109 754,7</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Kostanay</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1 384 167,5</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399 044,6</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172 645,8</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72 091,5</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471 162,9</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64,7</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4 685,7</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264 472,3</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Kyzylorda</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110 168,3</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32 679,5</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47 564,1</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11 143,8</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18 780,9</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Mangystau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2 082,0</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x</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x</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Pavlodar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264 325,5</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122 870,9</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27 654,1</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21 644,3</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37 473,1</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16 326,3</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38 356,8</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North Kazakhstan</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1 903 621,7</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739 069,6</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128 182,9</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12 392,8</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769 669,2</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8 568,8</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58 912,2</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186 826,2</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 xml:space="preserve">Turkestan </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52 467,5</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12 022,5</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36 635,7</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96,0</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3 713,3</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Ulytau</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2 265,1</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1 800,0</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465,1</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East Kazakhstan</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203 511,6</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65 411,6</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52 510,6</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6 445,1</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25 675,5</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3 793,0</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27 226,6</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22 449,2</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Astana city</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23 965,1</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7 990,0</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15 434,1</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541,0</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Almaty city</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1 286,1</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x</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62,3</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r>
      <w:tr>
        <w:trPr>
          <w:trHeight w:val="282" w:hRule="atLeast"/>
        </w:trPr>
        <w:tc>
          <w:tcPr>
            <w:tcW w:w="10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sz w:val="18"/>
                <w:szCs w:val="18"/>
                <w:lang w:val="en-US"/>
              </w:rPr>
              <w:t>Shymkent city</w:t>
            </w:r>
          </w:p>
        </w:tc>
        <w:tc>
          <w:tcPr>
            <w:tcW w:w="64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75 751,1</w:t>
            </w:r>
          </w:p>
        </w:tc>
        <w:tc>
          <w:tcPr>
            <w:tcW w:w="92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5 919,6</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64 497,1</w:t>
            </w:r>
          </w:p>
        </w:tc>
        <w:tc>
          <w:tcPr>
            <w:tcW w:w="8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10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9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w:t>
            </w:r>
          </w:p>
        </w:tc>
        <w:tc>
          <w:tcPr>
            <w:tcW w:w="80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957,1</w:t>
            </w:r>
          </w:p>
        </w:tc>
        <w:tc>
          <w:tcPr>
            <w:tcW w:w="130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18"/>
                <w:szCs w:val="18"/>
                <w:lang w:eastAsia="ru-RU"/>
              </w:rPr>
            </w:pPr>
            <w:r>
              <w:rPr>
                <w:rFonts w:eastAsia="Times New Roman" w:cs="Times New Roman" w:ascii="Times New Roman" w:hAnsi="Times New Roman"/>
                <w:color w:val="000000"/>
                <w:sz w:val="18"/>
                <w:szCs w:val="18"/>
                <w:lang w:eastAsia="ru-RU"/>
              </w:rPr>
              <w:t xml:space="preserve">  </w:t>
            </w:r>
            <w:r>
              <w:rPr>
                <w:rFonts w:eastAsia="Times New Roman" w:cs="Times New Roman" w:ascii="Times New Roman" w:hAnsi="Times New Roman"/>
                <w:color w:val="000000"/>
                <w:sz w:val="18"/>
                <w:szCs w:val="18"/>
                <w:lang w:eastAsia="ru-RU"/>
              </w:rPr>
              <w:t>4 377,3</w:t>
            </w:r>
          </w:p>
        </w:tc>
      </w:tr>
    </w:tbl>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2022, Kazakhstan’s agricultural sector demonstrated notable growth in both animal husbandry and crop production, reflecting positive dynamics in comparison with the previous year. The French total production volume in the livestock sector reached 25 127.3 million tenge, which is 103.6% of the level of 2021, which indicates the stability and steady growth of this sector. The volume of production in crop production amounted to 12</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623.7 million</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tenge, which is 110.6% more than in the previous year, which indicates a rapid increase in agricultural production. If we consider the specific results of animal husbandry, the country produced 12 463.3 tons of meat (in live weight), which is 104.3% of the previous year's level. Milk production also increased to 40 727.6 tons (105.2%), and egg production reached 2 578.200, which is 102.5% more than in the previous year. These figures confirm not only the high growth rates of the agricultural sector, but also its significant contribution to ensuring food security. In this regard, it is important to continue analyzing the main trends in agricultural production in Kazakhstan, as this region plays an important role in the development of agricultural production and the stability of the country's economy.</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January-July 2025, Kazakhstan's livestock industry demonstrated positive dynamics: the gross physical output index was 103.2% compared to the same period last year, the volume of livestock and poultry slaughter in live weight increased by 1.4%, milk production increased by 7%, and the production of eggs increased by 0.9%. At the same time, the structure of the livestock population was distributed as follows: cattle are concentrated mainly in the population (46.3%) and farms (43.7%), sheep — in farms (52.4%) and in the population (41%), goats mainly in the population (65%), while pig and poultry farming They are mostly concentrated in agricultural enterprises (50.5% and 82.8%, respectively). Average productivity indicators show mixed trends: milk yield per cow decreased by 0.6%, and egg yield per laying hen increased by 0.8%. These results confirm the sustainable development of the industry while maintaining its key role in ensuring the country's food security (Table 3).</w:t>
      </w:r>
    </w:p>
    <w:p>
      <w:pPr>
        <w:pStyle w:val="Normal"/>
        <w:widowControl w:val="false"/>
        <w:numPr>
          <w:ilvl w:val="0"/>
          <w:numId w:val="0"/>
        </w:numPr>
        <w:spacing w:lineRule="auto" w:line="240" w:before="0" w:after="0"/>
        <w:ind w:firstLine="567"/>
        <w:jc w:val="both"/>
        <w:outlineLvl w:val="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widowControl w:val="false"/>
        <w:numPr>
          <w:ilvl w:val="0"/>
          <w:numId w:val="0"/>
        </w:numPr>
        <w:spacing w:lineRule="auto" w:line="240" w:before="0" w:after="0"/>
        <w:ind w:firstLine="567"/>
        <w:jc w:val="center"/>
        <w:outlineLvl w:val="0"/>
        <w:rPr>
          <w:rFonts w:ascii="Times New Roman" w:hAnsi="Times New Roman" w:eastAsia="Times New Roman" w:cs="Times New Roman"/>
          <w:b/>
          <w:bCs/>
          <w:lang w:val="en-US"/>
        </w:rPr>
      </w:pPr>
      <w:r>
        <w:rPr>
          <w:rFonts w:eastAsia="Times New Roman" w:cs="Times New Roman" w:ascii="Times New Roman" w:hAnsi="Times New Roman"/>
          <w:b/>
          <w:bCs/>
          <w:lang w:val="en-US"/>
        </w:rPr>
        <w:t xml:space="preserve">Table 3 - </w:t>
      </w:r>
      <w:r>
        <w:rPr>
          <w:rFonts w:eastAsia="Times New Roman" w:cs="Times New Roman" w:ascii="Times New Roman" w:hAnsi="Times New Roman"/>
          <w:b/>
          <w:bCs/>
          <w:lang w:val="kk-KZ"/>
        </w:rPr>
        <w:t>The main indicators of livestock development in all categories of farms</w:t>
      </w:r>
    </w:p>
    <w:p>
      <w:pPr>
        <w:pStyle w:val="Normal"/>
        <w:widowControl w:val="false"/>
        <w:numPr>
          <w:ilvl w:val="0"/>
          <w:numId w:val="0"/>
        </w:numPr>
        <w:spacing w:lineRule="auto" w:line="240" w:before="0" w:after="0"/>
        <w:ind w:firstLine="567"/>
        <w:jc w:val="center"/>
        <w:outlineLvl w:val="0"/>
        <w:rPr>
          <w:rFonts w:ascii="Cambria" w:hAnsi="Cambria" w:eastAsia="Times New Roman" w:cs="Times New Roman"/>
          <w:sz w:val="24"/>
          <w:szCs w:val="24"/>
          <w:lang w:val="kk-KZ"/>
        </w:rPr>
      </w:pPr>
      <w:r>
        <w:rPr>
          <w:rFonts w:eastAsia="Times New Roman" w:cs="Times New Roman" w:ascii="Cambria" w:hAnsi="Cambria"/>
          <w:sz w:val="24"/>
          <w:szCs w:val="24"/>
          <w:lang w:val="kk-KZ"/>
        </w:rPr>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93"/>
        <w:gridCol w:w="591"/>
        <w:gridCol w:w="590"/>
        <w:gridCol w:w="557"/>
        <w:gridCol w:w="610"/>
        <w:gridCol w:w="610"/>
        <w:gridCol w:w="556"/>
        <w:gridCol w:w="609"/>
        <w:gridCol w:w="610"/>
        <w:gridCol w:w="557"/>
        <w:gridCol w:w="589"/>
        <w:gridCol w:w="590"/>
        <w:gridCol w:w="556"/>
        <w:gridCol w:w="590"/>
        <w:gridCol w:w="590"/>
        <w:gridCol w:w="554"/>
      </w:tblGrid>
      <w:tr>
        <w:trPr>
          <w:trHeight w:val="360" w:hRule="atLeast"/>
        </w:trPr>
        <w:tc>
          <w:tcPr>
            <w:tcW w:w="59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 </w:t>
            </w:r>
          </w:p>
        </w:tc>
        <w:tc>
          <w:tcPr>
            <w:tcW w:w="1738"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16"/>
                <w:szCs w:val="16"/>
                <w:lang w:eastAsia="ru-RU"/>
              </w:rPr>
            </w:pPr>
            <w:r>
              <w:rPr>
                <w:rFonts w:eastAsia="Times New Roman" w:cs="Times New Roman" w:ascii="Times New Roman" w:hAnsi="Times New Roman"/>
                <w:b/>
                <w:sz w:val="16"/>
                <w:szCs w:val="16"/>
                <w:lang w:eastAsia="ru-RU"/>
              </w:rPr>
              <w:t>Agricultural formations</w:t>
            </w:r>
          </w:p>
        </w:tc>
        <w:tc>
          <w:tcPr>
            <w:tcW w:w="3552"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16"/>
                <w:szCs w:val="16"/>
                <w:lang w:eastAsia="ru-RU"/>
              </w:rPr>
            </w:pPr>
            <w:r>
              <w:rPr>
                <w:rFonts w:eastAsia="Times New Roman" w:cs="Times New Roman" w:ascii="Times New Roman" w:hAnsi="Times New Roman"/>
                <w:b/>
                <w:sz w:val="16"/>
                <w:szCs w:val="16"/>
                <w:lang w:eastAsia="ru-RU"/>
              </w:rPr>
              <w:t>Including</w:t>
            </w:r>
          </w:p>
        </w:tc>
        <w:tc>
          <w:tcPr>
            <w:tcW w:w="1735"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16"/>
                <w:szCs w:val="16"/>
                <w:lang w:eastAsia="ru-RU"/>
              </w:rPr>
            </w:pPr>
            <w:r>
              <w:rPr>
                <w:rFonts w:eastAsia="Times New Roman" w:cs="Times New Roman" w:ascii="Times New Roman" w:hAnsi="Times New Roman"/>
                <w:b/>
                <w:sz w:val="16"/>
                <w:szCs w:val="16"/>
                <w:lang w:eastAsia="ru-RU"/>
              </w:rPr>
              <w:t>Households of the population</w:t>
            </w:r>
          </w:p>
        </w:tc>
        <w:tc>
          <w:tcPr>
            <w:tcW w:w="1734"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16"/>
                <w:szCs w:val="16"/>
                <w:lang w:eastAsia="ru-RU"/>
              </w:rPr>
            </w:pPr>
            <w:r>
              <w:rPr>
                <w:rFonts w:eastAsia="Times New Roman" w:cs="Times New Roman" w:ascii="Times New Roman" w:hAnsi="Times New Roman"/>
                <w:b/>
                <w:sz w:val="16"/>
                <w:szCs w:val="16"/>
                <w:lang w:eastAsia="ru-RU"/>
              </w:rPr>
              <w:t>All categories of farms</w:t>
            </w:r>
          </w:p>
        </w:tc>
      </w:tr>
      <w:tr>
        <w:trPr>
          <w:trHeight w:val="675" w:hRule="atLeast"/>
        </w:trPr>
        <w:tc>
          <w:tcPr>
            <w:tcW w:w="59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1738"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r>
          </w:p>
        </w:tc>
        <w:tc>
          <w:tcPr>
            <w:tcW w:w="1776"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16"/>
                <w:szCs w:val="16"/>
                <w:lang w:eastAsia="ru-RU"/>
              </w:rPr>
            </w:pPr>
            <w:r>
              <w:rPr>
                <w:rFonts w:eastAsia="Times New Roman" w:cs="Times New Roman" w:ascii="Times New Roman" w:hAnsi="Times New Roman"/>
                <w:b/>
                <w:sz w:val="16"/>
                <w:szCs w:val="16"/>
                <w:lang w:eastAsia="ru-RU"/>
              </w:rPr>
              <w:t>agricultural enterprises</w:t>
            </w:r>
          </w:p>
        </w:tc>
        <w:tc>
          <w:tcPr>
            <w:tcW w:w="1776"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sz w:val="16"/>
                <w:szCs w:val="16"/>
                <w:lang w:val="en-US" w:eastAsia="ru-RU"/>
              </w:rPr>
            </w:pPr>
            <w:r>
              <w:rPr>
                <w:rFonts w:eastAsia="Times New Roman" w:cs="Times New Roman" w:ascii="Times New Roman" w:hAnsi="Times New Roman"/>
                <w:b/>
                <w:sz w:val="16"/>
                <w:szCs w:val="16"/>
                <w:lang w:val="en-US" w:eastAsia="ru-RU"/>
              </w:rPr>
              <w:t>individual entrepreneurs and peasant or farm enterprises</w:t>
            </w:r>
          </w:p>
        </w:tc>
        <w:tc>
          <w:tcPr>
            <w:tcW w:w="1735"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tc>
        <w:tc>
          <w:tcPr>
            <w:tcW w:w="1734"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tc>
      </w:tr>
      <w:tr>
        <w:trPr>
          <w:trHeight w:val="795" w:hRule="atLeast"/>
        </w:trPr>
        <w:tc>
          <w:tcPr>
            <w:tcW w:w="59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r>
          </w:p>
        </w:tc>
        <w:tc>
          <w:tcPr>
            <w:tcW w:w="5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w:t>
            </w:r>
          </w:p>
        </w:tc>
        <w:tc>
          <w:tcPr>
            <w:tcW w:w="5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2024</w:t>
            </w:r>
          </w:p>
        </w:tc>
        <w:tc>
          <w:tcPr>
            <w:tcW w:w="5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  as a percentage of 2024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2024.</w:t>
            </w:r>
          </w:p>
        </w:tc>
        <w:tc>
          <w:tcPr>
            <w:tcW w:w="5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2025 as a percentage of 2024</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2024</w:t>
            </w:r>
          </w:p>
        </w:tc>
        <w:tc>
          <w:tcPr>
            <w:tcW w:w="5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 xml:space="preserve">2025 </w:t>
            </w:r>
            <w:r>
              <w:rPr>
                <w:rFonts w:eastAsia="Times New Roman" w:cs="Times New Roman" w:ascii="Times New Roman" w:hAnsi="Times New Roman"/>
                <w:sz w:val="16"/>
                <w:szCs w:val="16"/>
                <w:lang w:eastAsia="ru-RU"/>
              </w:rPr>
              <w:t>г</w:t>
            </w:r>
            <w:r>
              <w:rPr>
                <w:rFonts w:eastAsia="Times New Roman" w:cs="Times New Roman" w:ascii="Times New Roman" w:hAnsi="Times New Roman"/>
                <w:sz w:val="16"/>
                <w:szCs w:val="16"/>
                <w:lang w:val="en-US" w:eastAsia="ru-RU"/>
              </w:rPr>
              <w:t xml:space="preserve">. </w:t>
            </w:r>
            <w:r>
              <w:rPr>
                <w:rFonts w:eastAsia="Times New Roman" w:cs="Times New Roman" w:ascii="Times New Roman" w:hAnsi="Times New Roman"/>
                <w:sz w:val="16"/>
                <w:szCs w:val="16"/>
                <w:lang w:eastAsia="ru-RU"/>
              </w:rPr>
              <w:t>в</w:t>
            </w:r>
            <w:r>
              <w:rPr>
                <w:rFonts w:eastAsia="Times New Roman" w:cs="Times New Roman" w:ascii="Times New Roman" w:hAnsi="Times New Roman"/>
                <w:sz w:val="16"/>
                <w:szCs w:val="16"/>
                <w:lang w:val="en-US" w:eastAsia="ru-RU"/>
              </w:rPr>
              <w:t xml:space="preserve"> as a percentage of 2024</w:t>
            </w:r>
          </w:p>
        </w:tc>
        <w:tc>
          <w:tcPr>
            <w:tcW w:w="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w:t>
            </w:r>
          </w:p>
        </w:tc>
        <w:tc>
          <w:tcPr>
            <w:tcW w:w="5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2024</w:t>
            </w:r>
          </w:p>
        </w:tc>
        <w:tc>
          <w:tcPr>
            <w:tcW w:w="5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 as a percentage of 2024</w:t>
            </w:r>
          </w:p>
        </w:tc>
        <w:tc>
          <w:tcPr>
            <w:tcW w:w="5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w:t>
            </w:r>
          </w:p>
        </w:tc>
        <w:tc>
          <w:tcPr>
            <w:tcW w:w="5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2024</w:t>
            </w:r>
          </w:p>
        </w:tc>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2025 as a percentage of 2024</w:t>
            </w:r>
          </w:p>
        </w:tc>
      </w:tr>
      <w:tr>
        <w:trPr>
          <w:trHeight w:val="72" w:hRule="atLeast"/>
        </w:trPr>
        <w:tc>
          <w:tcPr>
            <w:tcW w:w="9352"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sz w:val="16"/>
                <w:szCs w:val="16"/>
                <w:lang w:val="en-US" w:eastAsia="ru-RU"/>
              </w:rPr>
            </w:pPr>
            <w:r>
              <w:rPr>
                <w:rFonts w:eastAsia="Times New Roman" w:cs="Times New Roman" w:ascii="Times New Roman" w:hAnsi="Times New Roman"/>
                <w:b/>
                <w:bCs/>
                <w:sz w:val="16"/>
                <w:szCs w:val="16"/>
                <w:lang w:val="en-US" w:eastAsia="ru-RU"/>
              </w:rPr>
              <w:t>Production of certain types of livestock products in January-July</w:t>
            </w:r>
          </w:p>
        </w:tc>
      </w:tr>
      <w:tr>
        <w:trPr>
          <w:trHeight w:val="675" w:hRule="atLeast"/>
        </w:trPr>
        <w:tc>
          <w:tcPr>
            <w:tcW w:w="59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Slaughtered on the farm or sold for slaughter of livestock and poultry (in live weight), tons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577 688,1</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572 202,8</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101,0</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378 221,2</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383 512,2</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98,6</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199 466,9</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188 690,6</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105,7</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442 304,9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429 497,9</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1 019 993,0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1 001 700,7</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101,8</w:t>
            </w:r>
          </w:p>
        </w:tc>
      </w:tr>
      <w:tr>
        <w:trPr>
          <w:trHeight w:val="675" w:hRule="atLeast"/>
        </w:trPr>
        <w:tc>
          <w:tcPr>
            <w:tcW w:w="59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Slaughtered on the farm or sold for slaughter of livestock and poultry (in slaughter weight), tons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380 048,3</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374 092,1</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101,6</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277 163,9</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277 221,2</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100,0</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102 884,4</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96 870,9</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106,2</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228 804,9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222 930,9</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102,6</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608 853,2</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597 023,0</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102,0</w:t>
            </w:r>
          </w:p>
        </w:tc>
      </w:tr>
      <w:tr>
        <w:trPr>
          <w:trHeight w:val="330" w:hRule="atLeast"/>
        </w:trPr>
        <w:tc>
          <w:tcPr>
            <w:tcW w:w="59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Cow's milk, tons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865 922,4</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804 383,2</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107,7</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439 954,4</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391 770,8</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112,3</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425 968,0</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412 612,4</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103,2</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1 389 455,5</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1 313 776,2</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105,8</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2 255 377,9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2 118 159,4</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106,5</w:t>
            </w:r>
          </w:p>
        </w:tc>
      </w:tr>
      <w:tr>
        <w:trPr>
          <w:trHeight w:val="330" w:hRule="atLeast"/>
        </w:trPr>
        <w:tc>
          <w:tcPr>
            <w:tcW w:w="59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Chicken eggs, thousand pieces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2 199 851,8</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2 157 046,8</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102,0</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2 178 800,2</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2 143 881,8</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101,6</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21 051,6</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13 165,0</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159,9</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410 217,0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425 496,5</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96,4</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2 610 068,8</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2 582 543,3</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101,1</w:t>
            </w:r>
          </w:p>
        </w:tc>
      </w:tr>
      <w:tr>
        <w:trPr>
          <w:trHeight w:val="330" w:hRule="atLeast"/>
        </w:trPr>
        <w:tc>
          <w:tcPr>
            <w:tcW w:w="59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16"/>
                <w:szCs w:val="16"/>
                <w:lang w:val="en-US" w:eastAsia="ru-RU"/>
              </w:rPr>
            </w:pPr>
            <w:r>
              <w:rPr>
                <w:rFonts w:eastAsia="Times New Roman" w:cs="Times New Roman" w:ascii="Times New Roman" w:hAnsi="Times New Roman"/>
                <w:sz w:val="16"/>
                <w:szCs w:val="16"/>
                <w:lang w:val="en-US" w:eastAsia="ru-RU"/>
              </w:rPr>
              <w:t>The skins are large, pieces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505 809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550 587</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91,9</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105 007</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154 593</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67,9</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400 802</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395 994</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101,2</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819 694</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809 937</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101,2</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1 325 503</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1 360 524</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97,4</w:t>
            </w:r>
          </w:p>
        </w:tc>
      </w:tr>
      <w:tr>
        <w:trPr>
          <w:trHeight w:val="330" w:hRule="atLeast"/>
        </w:trPr>
        <w:tc>
          <w:tcPr>
            <w:tcW w:w="593"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Small skins, pieces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942 599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984 446</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95,7</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77 217</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97 277</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79,4</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865 382</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887 169</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97,5</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2 068 190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2 207 297</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93,7</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3 010 789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3 191 743</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94,3</w:t>
            </w:r>
          </w:p>
        </w:tc>
      </w:tr>
      <w:tr>
        <w:trPr>
          <w:trHeight w:val="146" w:hRule="atLeast"/>
        </w:trPr>
        <w:tc>
          <w:tcPr>
            <w:tcW w:w="9352"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sz w:val="16"/>
                <w:szCs w:val="16"/>
                <w:lang w:val="en-US" w:eastAsia="ru-RU"/>
              </w:rPr>
            </w:pPr>
            <w:r>
              <w:rPr>
                <w:rFonts w:eastAsia="Times New Roman" w:cs="Times New Roman" w:ascii="Times New Roman" w:hAnsi="Times New Roman"/>
                <w:b/>
                <w:bCs/>
                <w:sz w:val="16"/>
                <w:szCs w:val="16"/>
                <w:lang w:val="en-US" w:eastAsia="ru-RU"/>
              </w:rPr>
              <w:t>Number of livestock and poultry as of August 1, 2025, heads</w:t>
            </w:r>
          </w:p>
        </w:tc>
      </w:tr>
      <w:tr>
        <w:trPr>
          <w:trHeight w:val="255"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Cattle</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4 696 141</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4 678 781</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100,4</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884 146</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871 245</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101,5</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3 811 995</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3 807 536</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100,1</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4 003 463</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3 996 057</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100,2</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8 699 604</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8 674 838</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100,3</w:t>
            </w:r>
          </w:p>
        </w:tc>
      </w:tr>
      <w:tr>
        <w:trPr>
          <w:trHeight w:val="263"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from it cows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2 446 929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2 377 473</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102,9</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363 216</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362 983</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100,1</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2 083 713</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2 014 490</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103,4</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2 101 888</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2 033 863</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103,3</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4 548 817</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4 411 336</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103,1</w:t>
            </w:r>
          </w:p>
        </w:tc>
      </w:tr>
      <w:tr>
        <w:trPr>
          <w:trHeight w:val="263"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Sheep</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12 593 777</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13 056 228</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96,5</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1 406 083</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1 401 858</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100,3</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11 187 694</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11 654 370</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96,0</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8 504 079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8 860 857</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21 097 856</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21 917 085</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96,3</w:t>
            </w:r>
          </w:p>
        </w:tc>
      </w:tr>
      <w:tr>
        <w:trPr>
          <w:trHeight w:val="278"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Goats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670 127</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696 805</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96,2</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30 187</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27 690</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109,0</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639 940</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669 115</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95,6</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1 225 828</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1 305 718</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93,9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1 895 955</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2 002 523</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94,7</w:t>
            </w:r>
          </w:p>
        </w:tc>
      </w:tr>
      <w:tr>
        <w:trPr>
          <w:trHeight w:val="278"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Pigs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309 357</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313 904</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98,6</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257 873</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264 376</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97,5</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51 484</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49 528</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103,9</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169 473</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182 211</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93,0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478 830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496 115</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96,5</w:t>
            </w:r>
          </w:p>
        </w:tc>
      </w:tr>
      <w:tr>
        <w:trPr>
          <w:trHeight w:val="240"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Horses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2 817 035</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2 612 136</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107,8</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412 701</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379 989</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108,6</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2 404 334</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2 232 147</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107,7</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1 784 661</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1 701 520</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104,9</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4 601 696</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4 313 656</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106,7</w:t>
            </w:r>
          </w:p>
        </w:tc>
      </w:tr>
      <w:tr>
        <w:trPr>
          <w:trHeight w:val="240"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Camels</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168 834</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164 273</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102,8</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18 763</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18 891</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99,3</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150 071</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145 382</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103,2</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131 521</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124 674</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105,5</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300 355</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288 947</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103,9</w:t>
            </w:r>
          </w:p>
        </w:tc>
      </w:tr>
      <w:tr>
        <w:trPr>
          <w:trHeight w:val="240" w:hRule="atLeast"/>
        </w:trPr>
        <w:tc>
          <w:tcPr>
            <w:tcW w:w="5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Bird</w:t>
            </w:r>
          </w:p>
        </w:tc>
        <w:tc>
          <w:tcPr>
            <w:tcW w:w="591"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40 474 115</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37 312 521</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108,5</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39 880 005</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36 868 094</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108,2</w:t>
            </w:r>
          </w:p>
        </w:tc>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594 110</w:t>
            </w:r>
          </w:p>
        </w:tc>
        <w:tc>
          <w:tcPr>
            <w:tcW w:w="61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444 427</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133,7</w:t>
            </w:r>
          </w:p>
        </w:tc>
        <w:tc>
          <w:tcPr>
            <w:tcW w:w="58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7 555 181</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 xml:space="preserve">  </w:t>
            </w:r>
            <w:r>
              <w:rPr>
                <w:rFonts w:eastAsia="Times New Roman" w:cs="Times New Roman" w:ascii="Times New Roman" w:hAnsi="Times New Roman"/>
                <w:sz w:val="16"/>
                <w:szCs w:val="16"/>
                <w:lang w:eastAsia="ru-RU"/>
              </w:rPr>
              <w:t>7 755 875</w:t>
            </w:r>
          </w:p>
        </w:tc>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97,4</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48 029 296</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45 068 396</w:t>
            </w:r>
          </w:p>
        </w:tc>
        <w:tc>
          <w:tcPr>
            <w:tcW w:w="554"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106,6</w:t>
            </w:r>
          </w:p>
        </w:tc>
      </w:tr>
    </w:tbl>
    <w:p>
      <w:pPr>
        <w:pStyle w:val="Normal"/>
        <w:widowControl w:val="false"/>
        <w:numPr>
          <w:ilvl w:val="0"/>
          <w:numId w:val="0"/>
        </w:numPr>
        <w:spacing w:lineRule="auto" w:line="240" w:before="0" w:after="0"/>
        <w:jc w:val="both"/>
        <w:outlineLvl w:val="0"/>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Overall, it is important to emphasize that the available data clearly demonstrates positive dynamics in the development of rural territories, indicating that their current state is gradually improving and moving toward greater stability.</w:t>
      </w:r>
      <w:r>
        <w:rPr>
          <w:rFonts w:eastAsia="Times New Roman" w:cs="Times New Roman" w:ascii="Cambria" w:hAnsi="Cambria"/>
          <w:sz w:val="24"/>
          <w:szCs w:val="24"/>
          <w:lang w:val="en-US"/>
        </w:rPr>
        <w:t xml:space="preserve"> </w:t>
      </w:r>
      <w:r>
        <w:rPr>
          <w:rFonts w:eastAsia="Times New Roman" w:cs="Times New Roman" w:ascii="Times New Roman" w:hAnsi="Times New Roman"/>
          <w:sz w:val="24"/>
          <w:szCs w:val="24"/>
          <w:lang w:val="kk-KZ"/>
        </w:rPr>
        <w:t>The role of public administration in the sustainable development of rural areas is of great importance during this transition period. The main activities of the state:</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d</w:t>
      </w:r>
      <w:r>
        <w:rPr>
          <w:rFonts w:eastAsia="Times New Roman" w:cs="Times New Roman" w:ascii="Times New Roman" w:hAnsi="Times New Roman"/>
          <w:sz w:val="24"/>
          <w:szCs w:val="24"/>
          <w:lang w:val="kk-KZ"/>
        </w:rPr>
        <w:t>evelopment of mechanisms of cooperation and interaction in rural communities in order to strengthen cooperation between stakeholders;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e</w:t>
      </w:r>
      <w:r>
        <w:rPr>
          <w:rFonts w:eastAsia="Times New Roman" w:cs="Times New Roman" w:ascii="Times New Roman" w:hAnsi="Times New Roman"/>
          <w:sz w:val="24"/>
          <w:szCs w:val="24"/>
          <w:lang w:val="kk-KZ"/>
        </w:rPr>
        <w:t>nsuring broad and equitable access to credit and financing in rural areas;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implementation of a fair and transparent pricing policy that guarantees a fair distribution of profits between producers and consumers;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implementation of an effective policy for the distribution of agricultural and food products on the national market;</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implementation of comprehensive insurance systems to protect agricultural producers from production risks;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systematic implementation of advanced agricultural technologies;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p</w:t>
      </w:r>
      <w:r>
        <w:rPr>
          <w:rFonts w:eastAsia="Times New Roman" w:cs="Times New Roman" w:ascii="Times New Roman" w:hAnsi="Times New Roman"/>
          <w:sz w:val="24"/>
          <w:szCs w:val="24"/>
          <w:lang w:val="kk-KZ"/>
        </w:rPr>
        <w:t>rotect, effectively use and restore lands and natural resources; promote environmentally sound production methods;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m</w:t>
      </w:r>
      <w:r>
        <w:rPr>
          <w:rFonts w:eastAsia="Times New Roman" w:cs="Times New Roman" w:ascii="Times New Roman" w:hAnsi="Times New Roman"/>
          <w:sz w:val="24"/>
          <w:szCs w:val="24"/>
          <w:lang w:val="kk-KZ"/>
        </w:rPr>
        <w:t>odernize tax systems to better coordinate with agricultural systems;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i</w:t>
      </w:r>
      <w:r>
        <w:rPr>
          <w:rFonts w:eastAsia="Times New Roman" w:cs="Times New Roman" w:ascii="Times New Roman" w:hAnsi="Times New Roman"/>
          <w:sz w:val="24"/>
          <w:szCs w:val="24"/>
          <w:lang w:val="kk-KZ"/>
        </w:rPr>
        <w:t>mprove the legal and institutional framework of the agro-industrial complex;</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c</w:t>
      </w:r>
      <w:r>
        <w:rPr>
          <w:rFonts w:eastAsia="Times New Roman" w:cs="Times New Roman" w:ascii="Times New Roman" w:hAnsi="Times New Roman"/>
          <w:sz w:val="24"/>
          <w:szCs w:val="24"/>
          <w:lang w:val="kk-KZ"/>
        </w:rPr>
        <w:t>reate an integrated knowledge platform for the agricultural sector; and promote rural development through environmentally sound and socially inclusive initiatives.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The discrepancy between the pace of agricultural reproduction and the actual demand for food products within the country makes state regulation of agricultural production and the food market not only necessary but also strategically vital. The central goal of such regulation is to guarantee the sustainable growth of the agrarian sector by accounting for its specific structural features, while at the same time ensuring that the agricultural potential of Kazakhstan is used rationally and efficiently to meet the social and economic needs of society. Within this regulatory process, the interests of a wide range of actors</w:t>
      </w:r>
      <w:r>
        <w:rPr>
          <w:rFonts w:eastAsia="Times New Roman" w:cs="Times New Roman" w:ascii="Times New Roman" w:hAnsi="Times New Roman"/>
          <w:sz w:val="24"/>
          <w:szCs w:val="24"/>
          <w:lang w:val="en-US"/>
        </w:rPr>
        <w:t>-</w:t>
      </w:r>
      <w:r>
        <w:rPr>
          <w:rFonts w:eastAsia="Times New Roman" w:cs="Times New Roman" w:ascii="Times New Roman" w:hAnsi="Times New Roman"/>
          <w:sz w:val="24"/>
          <w:szCs w:val="24"/>
          <w:lang w:val="kk-KZ"/>
        </w:rPr>
        <w:t>state institutions, agricultural and industrial producers, financial and credit organizations, trade companies, and the population of both urban and rural areas</w:t>
      </w:r>
      <w:r>
        <w:rPr>
          <w:rFonts w:eastAsia="Times New Roman" w:cs="Times New Roman" w:ascii="Times New Roman" w:hAnsi="Times New Roman"/>
          <w:sz w:val="24"/>
          <w:szCs w:val="24"/>
          <w:lang w:val="en-US"/>
        </w:rPr>
        <w:t>-</w:t>
      </w:r>
      <w:r>
        <w:rPr>
          <w:rFonts w:eastAsia="Times New Roman" w:cs="Times New Roman" w:ascii="Times New Roman" w:hAnsi="Times New Roman"/>
          <w:sz w:val="24"/>
          <w:szCs w:val="24"/>
          <w:lang w:val="kk-KZ"/>
        </w:rPr>
        <w:t xml:space="preserve">intersect. Therefore, the key task of the state is to develop mechanisms and tools that harmonize these interests and prevent conflicts between them. The effectiveness of government regulation is reflected in the degree to which the objectives outlined in state programs and legislation are achieved. </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The guiding principle of agricultural policy is the promotion of agriculture and rural development. The goal is to increase the competitiveness of agricultural products, create jobs for rural populations, conserve natural resources, and make the sector more attractive for investment. These goals serve as a guideline for administrative activities. Performance indicators include the growth of gross domestic product and high added value, investment potential, profitability of enterprises and increased labor productivity. At the same time, the analysis of the agricultural sector reveals a number of internal and external factors hindering its overall development. External challenges include increased competition from foreign markets, lower consumer demand, and increased imports. Internal constraints are related to poor governance, insufficient and often fragmented government support, barriers to market entry, and general inefficiency of institutional mechanisms. In addition, agricultural organizations themselves face numerous operational constraints: lack of working capital, inefficient management due to traditional methods, dependence on outdated and energy-intensive technologies, rising but inaccessible production costs, inflation, dependence on weather conditions, limited access to credit and affordable financing. </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b/>
          <w:bCs/>
          <w:sz w:val="24"/>
          <w:szCs w:val="24"/>
          <w:lang w:val="kk-KZ"/>
        </w:rPr>
        <w:t>Conclusion.</w:t>
      </w:r>
      <w:r>
        <w:rPr>
          <w:rFonts w:eastAsia="Times New Roman" w:cs="Times New Roman" w:ascii="Times New Roman" w:hAnsi="Times New Roman"/>
          <w:sz w:val="24"/>
          <w:szCs w:val="24"/>
          <w:lang w:val="kk-KZ"/>
        </w:rPr>
        <w:t xml:space="preserve"> in order to overcome these problems and ensure their long-term competitiveness, agricultural producers should focus on strengthening their positions in national and international markets. This requires the adoption of modern cost-cutting strategies, the implementation of diversification strategies to increase production and the introduction of non-traditional agricultural activities such as camel farming or rice farming in areas where these sectors have not previously developed. Of particular importance is the introduction of advanced technologies, improved equipment, new plant and animal species, improved storage and processing systems, increased investment and increased productivity through reliable access to water resources. To achieve these goals, it is also necessary to switch to less water-intensive agricultural production, reduce the use of aggressive pesticides, introduce integrated pest and disease control methods, and take measures to protect soils from erosion. Special attention should be paid to supporting environmentally friendly projects, as they are an important foundation for the sustainable development of Kazakhstan's agricultural sector and balanced socio-economic development of rural areas.</w:t>
      </w:r>
    </w:p>
    <w:p>
      <w:pPr>
        <w:pStyle w:val="Normal"/>
        <w:shd w:val="clear" w:color="auto" w:fill="FFFFFF"/>
        <w:spacing w:lineRule="auto" w:line="240" w:before="0" w:after="0"/>
        <w:ind w:firstLine="567"/>
        <w:jc w:val="both"/>
        <w:textAlignment w:val="top"/>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hd w:val="clear" w:color="auto" w:fill="FFFFFF"/>
        <w:spacing w:lineRule="auto" w:line="240" w:before="0" w:after="0"/>
        <w:ind w:firstLine="567"/>
        <w:jc w:val="center"/>
        <w:textAlignment w:val="top"/>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Литература</w:t>
      </w:r>
    </w:p>
    <w:p>
      <w:pPr>
        <w:pStyle w:val="Normal"/>
        <w:shd w:val="clear" w:color="auto" w:fill="FFFFFF"/>
        <w:spacing w:lineRule="auto" w:line="240" w:before="0" w:after="0"/>
        <w:ind w:firstLine="567"/>
        <w:jc w:val="center"/>
        <w:textAlignment w:val="top"/>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1. Лукьянчиков Н. Н., Потравный И. М. Экономика и организация природопользования/ ЮНИТИ</w:t>
      </w:r>
      <w:r>
        <w:rPr>
          <w:rFonts w:eastAsia="Times New Roman" w:cs="Times New Roman" w:ascii="Times New Roman" w:hAnsi="Times New Roman"/>
          <w:sz w:val="24"/>
          <w:szCs w:val="24"/>
          <w:shd w:fill="FFFFFF" w:val="clear"/>
        </w:rPr>
        <w:t xml:space="preserve"> –ДАНА. -</w:t>
      </w:r>
      <w:r>
        <w:rPr>
          <w:rFonts w:eastAsia="Times New Roman" w:cs="Times New Roman" w:ascii="Times New Roman" w:hAnsi="Times New Roman"/>
          <w:sz w:val="24"/>
          <w:szCs w:val="24"/>
          <w:lang w:eastAsia="ru-RU"/>
        </w:rPr>
        <w:t>2017. - 454 с.</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eastAsia="ru-RU"/>
        </w:rPr>
        <w:t>ISBN 978-5-238-01672-6.</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 Иволга А.Г., Чаплицкая А.А. Обоснование подхода к концепции устойчивого развития региональной экономики // Биоресурсы и природопользование. - 2014.  -Т. 6 (1-2). -С. 151-154.</w:t>
      </w:r>
      <w:r>
        <w:rPr>
          <w:rFonts w:eastAsia="Times New Roman" w:cs="Times New Roman" w:ascii="Times New Roman" w:hAnsi="Times New Roman"/>
          <w:sz w:val="24"/>
          <w:szCs w:val="24"/>
        </w:rPr>
        <w:t xml:space="preserve"> </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3. Родионова О.А., Борхунов Н.А., Гришкина С.Н. Сельское хозяйство и другие виды экономической деятельности: новые стереотипы // Агропромышленный комплекс: экономика, управление. - 2016. -№ 4. -С. 16-23.</w:t>
      </w:r>
      <w:r>
        <w:rPr>
          <w:rFonts w:eastAsia="Times New Roman" w:cs="Times New Roman" w:ascii="Times New Roman" w:hAnsi="Times New Roman"/>
          <w:sz w:val="24"/>
          <w:szCs w:val="24"/>
        </w:rPr>
        <w:t xml:space="preserve"> </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lang w:eastAsia="ru-RU"/>
        </w:rPr>
        <w:t xml:space="preserve">4. Молдашев А.Б., Никитина Г.А. Проблемы устойчивого функционирования продовольственной системы Республики Казахстан // Проблемы агрорынка. -2019. </w:t>
      </w:r>
      <w:r>
        <w:rPr>
          <w:rFonts w:eastAsia="Times New Roman" w:cs="Times New Roman" w:ascii="Times New Roman" w:hAnsi="Times New Roman"/>
          <w:sz w:val="24"/>
          <w:szCs w:val="24"/>
          <w:lang w:eastAsia="ru-RU" w:bidi="ar-QA"/>
        </w:rPr>
        <w:t>-</w:t>
      </w:r>
      <w:r>
        <w:rPr>
          <w:rFonts w:eastAsia="Times New Roman" w:cs="Times New Roman" w:ascii="Times New Roman" w:hAnsi="Times New Roman"/>
          <w:sz w:val="24"/>
          <w:szCs w:val="24"/>
          <w:lang w:eastAsia="ru-RU"/>
        </w:rPr>
        <w:t>№ 2. -</w:t>
      </w:r>
      <w:r>
        <w:rPr>
          <w:rFonts w:eastAsia="Times New Roman" w:cs="Times New Roman" w:ascii="Times New Roman" w:hAnsi="Times New Roman"/>
          <w:sz w:val="24"/>
          <w:szCs w:val="24"/>
          <w:lang w:val="en-US" w:eastAsia="ru-RU"/>
        </w:rPr>
        <w:t>C</w:t>
      </w:r>
      <w:r>
        <w:rPr>
          <w:rFonts w:eastAsia="Times New Roman" w:cs="Times New Roman" w:ascii="Times New Roman" w:hAnsi="Times New Roman"/>
          <w:sz w:val="24"/>
          <w:szCs w:val="24"/>
          <w:lang w:eastAsia="ru-RU"/>
        </w:rPr>
        <w:t>. 11-19.</w:t>
      </w:r>
      <w:r>
        <w:rPr>
          <w:rFonts w:eastAsia="Times New Roman" w:cs="Times New Roman" w:ascii="Times New Roman" w:hAnsi="Times New Roman"/>
          <w:sz w:val="24"/>
          <w:szCs w:val="24"/>
        </w:rPr>
        <w:t xml:space="preserve"> </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shd w:fill="FFFFFF" w:val="clear"/>
          <w:lang w:val="en-US"/>
        </w:rPr>
      </w:pPr>
      <w:r>
        <w:rPr>
          <w:rFonts w:eastAsia="Times New Roman" w:cs="Times New Roman" w:ascii="Times New Roman" w:hAnsi="Times New Roman"/>
          <w:sz w:val="24"/>
          <w:szCs w:val="24"/>
          <w:shd w:fill="FFFFFF" w:val="clear"/>
          <w:lang w:val="en-US"/>
        </w:rPr>
        <w:t>5.</w:t>
      </w:r>
      <w:r>
        <w:rPr>
          <w:rFonts w:eastAsia="Times New Roman" w:cs="Times New Roman" w:ascii="Times New Roman" w:hAnsi="Times New Roman"/>
          <w:sz w:val="24"/>
          <w:szCs w:val="24"/>
          <w:lang w:val="en-US" w:eastAsia="ru-RU"/>
        </w:rPr>
        <w:t xml:space="preserve">The Sustainable Development Goals. The United Nations. </w:t>
      </w:r>
      <w:r>
        <w:rPr>
          <w:rFonts w:eastAsia="Times New Roman" w:cs="Times New Roman" w:ascii="Times New Roman" w:hAnsi="Times New Roman"/>
          <w:sz w:val="24"/>
          <w:szCs w:val="24"/>
          <w:lang w:val="en-US"/>
        </w:rPr>
        <w:t xml:space="preserve">URL: </w:t>
      </w:r>
      <w:hyperlink r:id="rId47">
        <w:r>
          <w:rPr>
            <w:rStyle w:val="Style3"/>
            <w:rFonts w:eastAsia="Times New Roman" w:cs="Times New Roman" w:ascii="Times New Roman" w:hAnsi="Times New Roman"/>
            <w:sz w:val="24"/>
            <w:szCs w:val="24"/>
            <w:lang w:val="en-US"/>
          </w:rPr>
          <w:t>https://www.un.org/sustainabledevelopment/</w:t>
        </w:r>
      </w:hyperlink>
      <w:r>
        <w:rPr>
          <w:rFonts w:eastAsia="Times New Roman" w:cs="Times New Roman" w:ascii="Times New Roman" w:hAnsi="Times New Roman"/>
          <w:sz w:val="24"/>
          <w:szCs w:val="24"/>
          <w:lang w:val="en-US"/>
        </w:rPr>
        <w:t xml:space="preserve">. - </w:t>
      </w:r>
      <w:r>
        <w:rPr>
          <w:rFonts w:cs="Times New Roman" w:ascii="Times New Roman" w:hAnsi="Times New Roman"/>
          <w:sz w:val="24"/>
          <w:szCs w:val="24"/>
          <w:lang w:val="en-US"/>
        </w:rPr>
        <w:t>Date of access:</w:t>
      </w:r>
      <w:r>
        <w:rPr>
          <w:lang w:val="en-US"/>
        </w:rPr>
        <w:t xml:space="preserve"> </w:t>
      </w:r>
      <w:r>
        <w:rPr>
          <w:rFonts w:eastAsia="Times New Roman" w:cs="Times New Roman" w:ascii="Times New Roman" w:hAnsi="Times New Roman"/>
          <w:sz w:val="24"/>
          <w:szCs w:val="24"/>
          <w:lang w:val="en-US"/>
        </w:rPr>
        <w:t>01.07.2025.</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6. Мерзлов А. В. Переход к устойчивому развитию сельских территорий: теория, методология и практика// М. -2006. </w:t>
      </w:r>
      <w:r>
        <w:rPr>
          <w:rFonts w:eastAsia="Times New Roman" w:cs="Times New Roman" w:ascii="Times New Roman" w:hAnsi="Times New Roman"/>
          <w:sz w:val="24"/>
          <w:szCs w:val="24"/>
          <w:lang w:val="en-US" w:eastAsia="ru-RU"/>
        </w:rPr>
        <w:t>ISBN</w:t>
      </w:r>
      <w:r>
        <w:rPr>
          <w:rFonts w:eastAsia="Times New Roman" w:cs="Times New Roman" w:ascii="Times New Roman" w:hAnsi="Times New Roman"/>
          <w:sz w:val="24"/>
          <w:szCs w:val="24"/>
          <w:lang w:eastAsia="ru-RU"/>
        </w:rPr>
        <w:t xml:space="preserve"> 5-94797-090-2.</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7. Антипов А. Н., Федоров В. Н. Ландшафтно-гидрологическая организация территории//</w:t>
      </w:r>
      <w:r>
        <w:rPr>
          <w:rFonts w:eastAsia="Times New Roman" w:cs="Times New Roman" w:ascii="Times New Roman" w:hAnsi="Times New Roman"/>
          <w:b/>
          <w:bCs/>
          <w:spacing w:val="1"/>
          <w:sz w:val="24"/>
          <w:szCs w:val="24"/>
          <w:shd w:fill="FFFFFF" w:val="clear"/>
        </w:rPr>
        <w:t xml:space="preserve"> </w:t>
      </w:r>
      <w:r>
        <w:rPr>
          <w:rFonts w:eastAsia="Times New Roman" w:cs="Times New Roman" w:ascii="Times New Roman" w:hAnsi="Times New Roman"/>
          <w:bCs/>
          <w:spacing w:val="1"/>
          <w:sz w:val="24"/>
          <w:szCs w:val="24"/>
          <w:shd w:fill="FFFFFF" w:val="clear"/>
        </w:rPr>
        <w:t>Издательство Сибирского отделения РАН.</w:t>
      </w:r>
      <w:r>
        <w:rPr>
          <w:rFonts w:eastAsia="Times New Roman" w:cs="Times New Roman" w:ascii="Times New Roman" w:hAnsi="Times New Roman"/>
          <w:b/>
          <w:bCs/>
          <w:spacing w:val="1"/>
          <w:sz w:val="24"/>
          <w:szCs w:val="24"/>
          <w:shd w:fill="FFFFFF" w:val="clear"/>
        </w:rPr>
        <w:t xml:space="preserve"> -</w:t>
      </w:r>
      <w:r>
        <w:rPr>
          <w:rFonts w:eastAsia="Times New Roman" w:cs="Times New Roman" w:ascii="Times New Roman" w:hAnsi="Times New Roman"/>
          <w:sz w:val="24"/>
          <w:szCs w:val="24"/>
          <w:lang w:eastAsia="ru-RU"/>
        </w:rPr>
        <w:t xml:space="preserve"> 2000.- 254 </w:t>
      </w:r>
      <w:r>
        <w:rPr>
          <w:rFonts w:eastAsia="Times New Roman" w:cs="Times New Roman" w:ascii="Times New Roman" w:hAnsi="Times New Roman"/>
          <w:sz w:val="24"/>
          <w:szCs w:val="24"/>
          <w:lang w:val="en-US" w:eastAsia="ru-RU"/>
        </w:rPr>
        <w:t>c</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eastAsia="ru-RU"/>
        </w:rPr>
        <w:t>ISBN 5-94115-0090-1</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8. Меньщикова В. И. Устойчивое развитие сельских территорий // Социально-экономические явления и процессы. -2012. - № 7-8 (041-042). -С.106-110.</w:t>
      </w:r>
      <w:r>
        <w:rPr>
          <w:rFonts w:eastAsia="Times New Roman" w:cs="Times New Roman" w:ascii="Times New Roman" w:hAnsi="Times New Roman"/>
          <w:sz w:val="24"/>
          <w:szCs w:val="24"/>
        </w:rPr>
        <w:t xml:space="preserve"> </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en-US" w:eastAsia="ru-RU"/>
        </w:rPr>
        <w:t>9. Tasmaganbetov A.B., Abayev A.A., Rahmanova A.S., Tleukabylova K.B. Theoretical and methodological bases of assessment of sustainable development of rural areas// Bulletin of Karaganda University. Series "Economics". -2019. -№ 4 (96). -P. 67-74.</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eastAsia="ru-RU"/>
        </w:rPr>
        <w:t>ISSN: 2518-1998.</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10. Nakipova G., Lemechshenko O. Sustainable development of agro-industrial complex and rural areas: regional and applied aspect//Economic Series of the Bulletin of the L N Gumilyov ENU. -2023. -№.1. -P. 98-107. DOI</w:t>
      </w:r>
      <w:r>
        <w:rPr>
          <w:rFonts w:eastAsia="Times New Roman" w:cs="Times New Roman" w:ascii="Times New Roman" w:hAnsi="Times New Roman"/>
          <w:sz w:val="24"/>
          <w:szCs w:val="24"/>
          <w:lang w:eastAsia="ru-RU"/>
        </w:rPr>
        <w:t xml:space="preserve"> 10.32523/2079-620</w:t>
      </w:r>
      <w:r>
        <w:rPr>
          <w:rFonts w:eastAsia="Times New Roman" w:cs="Times New Roman" w:ascii="Times New Roman" w:hAnsi="Times New Roman"/>
          <w:sz w:val="24"/>
          <w:szCs w:val="24"/>
          <w:lang w:val="en-US" w:eastAsia="ru-RU"/>
        </w:rPr>
        <w:t>X</w:t>
      </w:r>
      <w:r>
        <w:rPr>
          <w:rFonts w:eastAsia="Times New Roman" w:cs="Times New Roman" w:ascii="Times New Roman" w:hAnsi="Times New Roman"/>
          <w:sz w:val="24"/>
          <w:szCs w:val="24"/>
          <w:lang w:eastAsia="ru-RU"/>
        </w:rPr>
        <w:t>-2021-1-98-107.</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11. Коваленко Е. Г. Механизм устойчивого развития сельских территорий региона // Современные проблемы науки и образования. - 2012. - № 2. </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 xml:space="preserve">12. Хамбар Б., Утебаева А.Б., Гафятуллина Д.Ф. Внедрение принципа бюджетирования Целей устойчивого развития ООН в Казахстане // </w:t>
      </w:r>
      <w:r>
        <w:rPr>
          <w:rFonts w:eastAsia="Times New Roman" w:cs="Times New Roman" w:ascii="Times New Roman" w:hAnsi="Times New Roman"/>
          <w:sz w:val="24"/>
          <w:szCs w:val="24"/>
        </w:rPr>
        <w:t>Қазақ экономика, қаржы және халықаралық сауда университетінің жаршысы</w:t>
      </w:r>
      <w:r>
        <w:rPr>
          <w:rFonts w:eastAsia="Times New Roman" w:cs="Times New Roman" w:ascii="Times New Roman" w:hAnsi="Times New Roman"/>
          <w:sz w:val="24"/>
          <w:szCs w:val="24"/>
          <w:lang w:eastAsia="ru-RU"/>
        </w:rPr>
        <w:t xml:space="preserve">. -2022.-№ </w:t>
      </w:r>
      <w:r>
        <w:rPr>
          <w:rFonts w:eastAsia="Times New Roman" w:cs="Times New Roman" w:ascii="Times New Roman" w:hAnsi="Times New Roman"/>
          <w:sz w:val="24"/>
          <w:szCs w:val="24"/>
          <w:lang w:val="en-US" w:eastAsia="ru-RU"/>
        </w:rPr>
        <w:t>3(48). -</w:t>
      </w:r>
      <w:r>
        <w:rPr>
          <w:rFonts w:eastAsia="Times New Roman" w:cs="Times New Roman" w:ascii="Times New Roman" w:hAnsi="Times New Roman"/>
          <w:sz w:val="24"/>
          <w:szCs w:val="24"/>
          <w:lang w:eastAsia="ru-RU"/>
        </w:rPr>
        <w:t>С</w:t>
      </w:r>
      <w:r>
        <w:rPr>
          <w:rFonts w:eastAsia="Times New Roman" w:cs="Times New Roman" w:ascii="Times New Roman" w:hAnsi="Times New Roman"/>
          <w:sz w:val="24"/>
          <w:szCs w:val="24"/>
          <w:lang w:val="en-US" w:eastAsia="ru-RU"/>
        </w:rPr>
        <w:t>.56-62. DOI 10.52260/2304-7216.2022.3(48).7.</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13. </w:t>
      </w:r>
      <w:r>
        <w:rPr>
          <w:rFonts w:eastAsia="Times New Roman" w:cs="Times New Roman" w:ascii="Times New Roman" w:hAnsi="Times New Roman"/>
          <w:sz w:val="24"/>
          <w:szCs w:val="24"/>
          <w:lang w:val="en-US"/>
        </w:rPr>
        <w:t>Soltangazinov A.R.</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rPr>
        <w:t xml:space="preserve">Adieva </w:t>
      </w:r>
      <w:r>
        <w:rPr>
          <w:rFonts w:eastAsia="Times New Roman" w:cs="Times New Roman" w:ascii="Times New Roman" w:hAnsi="Times New Roman"/>
          <w:sz w:val="24"/>
          <w:szCs w:val="24"/>
          <w:lang w:eastAsia="ru-RU"/>
        </w:rPr>
        <w:t>А</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eastAsia="ru-RU"/>
        </w:rPr>
        <w:t>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rPr>
        <w:t>The ways of sustainable development of supporting rural areas</w:t>
      </w:r>
      <w:r>
        <w:rPr>
          <w:rFonts w:eastAsia="Times New Roman" w:cs="Times New Roman" w:ascii="Times New Roman" w:hAnsi="Times New Roman"/>
          <w:sz w:val="24"/>
          <w:szCs w:val="24"/>
          <w:lang w:val="en-US" w:eastAsia="ru-RU"/>
        </w:rPr>
        <w:t xml:space="preserve"> // </w:t>
      </w:r>
      <w:r>
        <w:rPr>
          <w:rFonts w:eastAsia="Times New Roman" w:cs="Times New Roman" w:ascii="Times New Roman" w:hAnsi="Times New Roman"/>
          <w:sz w:val="24"/>
          <w:szCs w:val="24"/>
          <w:lang w:val="en-US"/>
        </w:rPr>
        <w:t>Bulletin of The Innovative University of Eurasia</w:t>
      </w:r>
      <w:r>
        <w:rPr>
          <w:rFonts w:eastAsia="Times New Roman" w:cs="Times New Roman" w:ascii="Times New Roman" w:hAnsi="Times New Roman"/>
          <w:sz w:val="24"/>
          <w:szCs w:val="24"/>
          <w:lang w:val="en-US" w:eastAsia="ru-RU"/>
        </w:rPr>
        <w:t>. - 2023. - № 2 (90). - P. 60-67.</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eastAsia="ru-RU"/>
        </w:rPr>
        <w:t>DOI https://doi.org/10.37788/2023-2/60-67.</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14. Dorosh Yu., Barvinskyi A., Kupriyanchik I., Kravchenko O., Saliuta V. Optimization of the agricultural land structureas the basis of sustainable development of rural areas // Zemleustrìj, kadastr ì monìtorìng zemelʹ. - 2019.- Vol</w:t>
      </w:r>
      <w:r>
        <w:rPr>
          <w:rFonts w:eastAsia="Times New Roman" w:cs="Times New Roman" w:ascii="Times New Roman" w:hAnsi="Times New Roman"/>
          <w:sz w:val="24"/>
          <w:szCs w:val="24"/>
          <w:lang w:eastAsia="ru-RU"/>
        </w:rPr>
        <w:t xml:space="preserve">.25(4). - </w:t>
      </w:r>
      <w:r>
        <w:rPr>
          <w:rFonts w:eastAsia="Times New Roman" w:cs="Times New Roman" w:ascii="Times New Roman" w:hAnsi="Times New Roman"/>
          <w:sz w:val="24"/>
          <w:szCs w:val="24"/>
          <w:lang w:val="en-US" w:eastAsia="ru-RU"/>
        </w:rPr>
        <w:t>P</w:t>
      </w:r>
      <w:r>
        <w:rPr>
          <w:rFonts w:eastAsia="Times New Roman" w:cs="Times New Roman" w:ascii="Times New Roman" w:hAnsi="Times New Roman"/>
          <w:sz w:val="24"/>
          <w:szCs w:val="24"/>
          <w:lang w:eastAsia="ru-RU"/>
        </w:rPr>
        <w:t>. 4-13.</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val="en-US" w:eastAsia="ru-RU"/>
        </w:rPr>
        <w:t>DOI</w:t>
      </w:r>
      <w:r>
        <w:rPr>
          <w:rFonts w:eastAsia="Times New Roman" w:cs="Times New Roman" w:ascii="Times New Roman" w:hAnsi="Times New Roman"/>
          <w:sz w:val="24"/>
          <w:szCs w:val="24"/>
          <w:lang w:eastAsia="ru-RU"/>
        </w:rPr>
        <w:t xml:space="preserve"> 10.31548/</w:t>
      </w:r>
      <w:r>
        <w:rPr>
          <w:rFonts w:eastAsia="Times New Roman" w:cs="Times New Roman" w:ascii="Times New Roman" w:hAnsi="Times New Roman"/>
          <w:sz w:val="24"/>
          <w:szCs w:val="24"/>
          <w:lang w:val="en-US" w:eastAsia="ru-RU"/>
        </w:rPr>
        <w:t>zemleustriy</w:t>
      </w:r>
      <w:r>
        <w:rPr>
          <w:rFonts w:eastAsia="Times New Roman" w:cs="Times New Roman" w:ascii="Times New Roman" w:hAnsi="Times New Roman"/>
          <w:sz w:val="24"/>
          <w:szCs w:val="24"/>
          <w:lang w:eastAsia="ru-RU"/>
        </w:rPr>
        <w:t>2019.04.01.</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15. Официальный интернет-источник Бюро национальной статистики Агентства по стратегическому планированию и реформам Республики Казахстан. </w:t>
      </w:r>
      <w:r>
        <w:rPr>
          <w:rFonts w:eastAsia="Times New Roman" w:cs="Times New Roman" w:ascii="Times New Roman" w:hAnsi="Times New Roman"/>
          <w:sz w:val="24"/>
          <w:szCs w:val="24"/>
          <w:lang w:val="en-US" w:eastAsia="ru-RU"/>
        </w:rPr>
        <w:t>URL</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https</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stat</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gov</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kz</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en</w:t>
      </w:r>
      <w:r>
        <w:rPr>
          <w:rFonts w:eastAsia="Times New Roman" w:cs="Times New Roman" w:ascii="Times New Roman" w:hAnsi="Times New Roman"/>
          <w:sz w:val="24"/>
          <w:szCs w:val="24"/>
          <w:lang w:eastAsia="ru-RU"/>
        </w:rPr>
        <w:t>/.- Дата обращения: 01.07.2025.</w:t>
      </w:r>
    </w:p>
    <w:p>
      <w:pPr>
        <w:pStyle w:val="Normal"/>
        <w:shd w:val="clear" w:color="auto" w:fill="FFFFFF"/>
        <w:spacing w:lineRule="auto" w:line="240" w:before="0" w:after="0"/>
        <w:ind w:firstLine="567"/>
        <w:jc w:val="center"/>
        <w:textAlignment w:val="top"/>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hd w:val="clear" w:color="auto" w:fill="FFFFFF"/>
        <w:spacing w:lineRule="auto" w:line="240" w:before="0" w:after="0"/>
        <w:ind w:firstLine="567"/>
        <w:jc w:val="center"/>
        <w:textAlignment w:val="top"/>
        <w:rPr>
          <w:rFonts w:ascii="Times New Roman" w:hAnsi="Times New Roman" w:eastAsia="Times New Roman" w:cs="Times New Roman"/>
          <w:b/>
          <w:bCs/>
          <w:color w:val="000000"/>
          <w:sz w:val="24"/>
          <w:szCs w:val="24"/>
          <w:lang w:val="en-US" w:eastAsia="ru-RU"/>
        </w:rPr>
      </w:pPr>
      <w:r>
        <w:rPr>
          <w:rFonts w:eastAsia="Times New Roman" w:cs="Times New Roman" w:ascii="Times New Roman" w:hAnsi="Times New Roman"/>
          <w:b/>
          <w:bCs/>
          <w:color w:val="000000"/>
          <w:sz w:val="24"/>
          <w:szCs w:val="24"/>
          <w:lang w:val="en-US" w:eastAsia="ru-RU"/>
        </w:rPr>
        <w:t>References</w:t>
      </w:r>
    </w:p>
    <w:p>
      <w:pPr>
        <w:pStyle w:val="Normal"/>
        <w:shd w:val="clear" w:color="auto" w:fill="FFFFFF"/>
        <w:spacing w:lineRule="auto" w:line="240" w:before="0" w:after="0"/>
        <w:ind w:firstLine="567"/>
        <w:jc w:val="center"/>
        <w:textAlignment w:val="top"/>
        <w:rPr>
          <w:rFonts w:ascii="Times New Roman" w:hAnsi="Times New Roman" w:eastAsia="Times New Roman" w:cs="Times New Roman"/>
          <w:b/>
          <w:bCs/>
          <w:color w:val="000000"/>
          <w:sz w:val="24"/>
          <w:szCs w:val="24"/>
          <w:lang w:val="en-US" w:eastAsia="ru-RU"/>
        </w:rPr>
      </w:pPr>
      <w:r>
        <w:rPr>
          <w:rFonts w:eastAsia="Times New Roman" w:cs="Times New Roman" w:ascii="Times New Roman" w:hAnsi="Times New Roman"/>
          <w:b/>
          <w:bCs/>
          <w:color w:val="000000"/>
          <w:sz w:val="24"/>
          <w:szCs w:val="24"/>
          <w:lang w:val="en-US" w:eastAsia="ru-RU"/>
        </w:rPr>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 Luk'janchikov N. N., Potravnyj I. M. Jekonomika i organizacija prirodopol'zovanija/ JuNITI –DANA. -2017. - 454 s. ISBN 978-5-238-01672-6. [in Russian]</w:t>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2. Ivolga A.G., Chaplickaja A.A. Obosnovanie podhoda k koncepcii ustojchivogo razvitija regional'noj jekonomiki // Bioresursy i prirodopol'zovanie. - 2014.  -T. 6 (1-2). -S. 151-154. [in Russian]</w:t>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3. Rodionova O.A., Borhunov N.A., Grishkina S.N. Sel'skoe hozjajstvo i drugie vidy jekonomicheskoj dejatel'nosti: novye stereotipy // Agropromyshlennyj kompleks: jekonomika, upravlenie. - 2016. -№ 4. -S. 16-23. [in Russian]</w:t>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4. Moldashev A.B., Nikitina G.A. Problemy ustojchivogo funkcionirovanija prodovol'stvennoj sistemy Respubliki Kazahstan // Problemy agrorynka. -2019. -№ 2. -C. 11-19. [in Russian]</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shd w:fill="FFFFFF" w:val="clear"/>
          <w:lang w:val="en-US"/>
        </w:rPr>
      </w:pPr>
      <w:r>
        <w:rPr>
          <w:rFonts w:eastAsia="Times New Roman" w:cs="Times New Roman" w:ascii="Times New Roman" w:hAnsi="Times New Roman"/>
          <w:sz w:val="24"/>
          <w:szCs w:val="24"/>
          <w:shd w:fill="FFFFFF" w:val="clear"/>
          <w:lang w:val="en-US"/>
        </w:rPr>
        <w:t xml:space="preserve">5. </w:t>
      </w:r>
      <w:r>
        <w:rPr>
          <w:rFonts w:eastAsia="Times New Roman" w:cs="Times New Roman" w:ascii="Times New Roman" w:hAnsi="Times New Roman"/>
          <w:sz w:val="24"/>
          <w:szCs w:val="24"/>
          <w:lang w:val="en-US" w:eastAsia="ru-RU"/>
        </w:rPr>
        <w:t xml:space="preserve">The Sustainable Development Goals. The United Nations. </w:t>
      </w:r>
      <w:r>
        <w:rPr>
          <w:rFonts w:eastAsia="Times New Roman" w:cs="Times New Roman" w:ascii="Times New Roman" w:hAnsi="Times New Roman"/>
          <w:sz w:val="24"/>
          <w:szCs w:val="24"/>
          <w:lang w:val="en-US"/>
        </w:rPr>
        <w:t xml:space="preserve">URL: </w:t>
      </w:r>
      <w:hyperlink r:id="rId48">
        <w:r>
          <w:rPr>
            <w:rStyle w:val="Style3"/>
            <w:rFonts w:eastAsia="Times New Roman" w:cs="Times New Roman" w:ascii="Times New Roman" w:hAnsi="Times New Roman"/>
            <w:sz w:val="24"/>
            <w:szCs w:val="24"/>
            <w:lang w:val="en-US"/>
          </w:rPr>
          <w:t>https://www.un.org/sustainabledevelopment/</w:t>
        </w:r>
      </w:hyperlink>
      <w:r>
        <w:rPr>
          <w:rFonts w:eastAsia="Times New Roman" w:cs="Times New Roman" w:ascii="Times New Roman" w:hAnsi="Times New Roman"/>
          <w:sz w:val="24"/>
          <w:szCs w:val="24"/>
          <w:lang w:val="en-US"/>
        </w:rPr>
        <w:t>. - Data obrashhenija: 01.07.2025.</w:t>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6. Merzlov A. V. Perehod k ustojchivomu razvitiju sel'skih territorij: teorija, metodologija i praktika// M. -2006. ISBN 5-94797-090-2. [in Russian]</w:t>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7. Antipov A. N., Fedorov V. N. Landshaftno-gidrologicheskaja organizacija territorii// Izdatel'stvo Sibirskogo otdelenija RAN. - 2000.- 254 c. ISBN 5-94115-0090-1. [in Russian]</w:t>
      </w:r>
    </w:p>
    <w:p>
      <w:pPr>
        <w:pStyle w:val="Normal"/>
        <w:shd w:val="clear" w:color="auto" w:fill="FFFFFF"/>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8. Men'shhikova V. I. Ustojchivoe razvitie sel'skih territorij // Social'no-jekonomicheskie javlenija i processy. -2012. - № 7-8 (041-042). -S.106-110. [in Russian]</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en-US" w:eastAsia="ru-RU"/>
        </w:rPr>
        <w:t>9. Tasmaganbetov A.B., Abayev A.A., Rahmanova A.S., Tleukabylova K.B. Theoretical and methodological bases of assessment of sustainable development of rural areas// Bulletin of Karaganda University. Series "Economics". -2019. -№ 4 (96). -P. 67-74.</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eastAsia="ru-RU"/>
        </w:rPr>
        <w:t>ISSN: 2518-1998.</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10. Nakipova G., Lemechshenko O. Sustainable development of agro-industrial complex and rural areas: regional and applied aspect//Economic Series of the Bulletin of the L N Gumilyov ENU. -2023. -№.1. -P. 98-107. DOI 10.32523/2079-620X-2021-1-98-107.</w:t>
      </w:r>
    </w:p>
    <w:p>
      <w:pPr>
        <w:pStyle w:val="Normal"/>
        <w:spacing w:lineRule="auto" w:line="240" w:before="0" w:after="0"/>
        <w:jc w:val="both"/>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color w:val="000000"/>
          <w:sz w:val="24"/>
          <w:szCs w:val="24"/>
          <w:lang w:val="en-US" w:eastAsia="ru-RU"/>
        </w:rPr>
        <w:t xml:space="preserve">11. Kovalenko E. G. Mehanizm ustojchivogo razvitija sel'skih territorij regiona // Sovremennye problemy nauki i obrazovanija. - 2012. - № 2. </w:t>
      </w:r>
      <w:r>
        <w:rPr>
          <w:rFonts w:eastAsia="Times New Roman" w:cs="Times New Roman" w:ascii="Times New Roman" w:hAnsi="Times New Roman"/>
          <w:bCs/>
          <w:color w:val="000000"/>
          <w:sz w:val="24"/>
          <w:szCs w:val="24"/>
          <w:lang w:val="en-US" w:eastAsia="ru-RU"/>
        </w:rPr>
        <w:t>[in Russian]</w:t>
      </w:r>
    </w:p>
    <w:p>
      <w:pPr>
        <w:pStyle w:val="Normal"/>
        <w:spacing w:lineRule="auto" w:line="240" w:before="0" w:after="0"/>
        <w:jc w:val="both"/>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color w:val="000000"/>
          <w:sz w:val="24"/>
          <w:szCs w:val="24"/>
          <w:lang w:val="en-US" w:eastAsia="ru-RU"/>
        </w:rPr>
        <w:t>12. Hambar B., Utebaeva A.B., Gafjatullina D.F. Vnedrenie principa bjudzhetirovanija Celej ustojchivogo razvitija OON v Kazahstane // Қazaқ jekonomika, қarzhy zhәne halyқaralyқ sauda universitetіnің zharshysy. -2022.-№ 3(48). -S.56-62. DOI 10.52260/2304-7216.2022.3(48).7.</w:t>
      </w:r>
      <w:r>
        <w:rPr>
          <w:rFonts w:eastAsia="Times New Roman" w:cs="Times New Roman" w:ascii="Times New Roman" w:hAnsi="Times New Roman"/>
          <w:bCs/>
          <w:color w:val="000000"/>
          <w:sz w:val="24"/>
          <w:szCs w:val="24"/>
          <w:lang w:val="en-US" w:eastAsia="ru-RU"/>
        </w:rPr>
        <w:t xml:space="preserve"> [in Russian]</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13. </w:t>
      </w:r>
      <w:r>
        <w:rPr>
          <w:rFonts w:eastAsia="Times New Roman" w:cs="Times New Roman" w:ascii="Times New Roman" w:hAnsi="Times New Roman"/>
          <w:sz w:val="24"/>
          <w:szCs w:val="24"/>
          <w:lang w:val="en-US"/>
        </w:rPr>
        <w:t>Soltangazinov A.R.</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rPr>
        <w:t xml:space="preserve">Adieva </w:t>
      </w:r>
      <w:r>
        <w:rPr>
          <w:rFonts w:eastAsia="Times New Roman" w:cs="Times New Roman" w:ascii="Times New Roman" w:hAnsi="Times New Roman"/>
          <w:sz w:val="24"/>
          <w:szCs w:val="24"/>
          <w:lang w:eastAsia="ru-RU"/>
        </w:rPr>
        <w:t>А</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eastAsia="ru-RU"/>
        </w:rPr>
        <w:t>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rPr>
        <w:t>The ways of sustainable development of supporting rural areas</w:t>
      </w:r>
      <w:r>
        <w:rPr>
          <w:rFonts w:eastAsia="Times New Roman" w:cs="Times New Roman" w:ascii="Times New Roman" w:hAnsi="Times New Roman"/>
          <w:sz w:val="24"/>
          <w:szCs w:val="24"/>
          <w:lang w:val="en-US" w:eastAsia="ru-RU"/>
        </w:rPr>
        <w:t xml:space="preserve"> // </w:t>
      </w:r>
      <w:r>
        <w:rPr>
          <w:rFonts w:eastAsia="Times New Roman" w:cs="Times New Roman" w:ascii="Times New Roman" w:hAnsi="Times New Roman"/>
          <w:sz w:val="24"/>
          <w:szCs w:val="24"/>
          <w:lang w:val="en-US"/>
        </w:rPr>
        <w:t>Bulletin of The Innovative University of Eurasia</w:t>
      </w:r>
      <w:r>
        <w:rPr>
          <w:rFonts w:eastAsia="Times New Roman" w:cs="Times New Roman" w:ascii="Times New Roman" w:hAnsi="Times New Roman"/>
          <w:sz w:val="24"/>
          <w:szCs w:val="24"/>
          <w:lang w:val="en-US" w:eastAsia="ru-RU"/>
        </w:rPr>
        <w:t>. - 2023. - № 2 (90). - P. 60-67.</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eastAsia="ru-RU"/>
        </w:rPr>
        <w:t>DOI https://doi.org/10.37788/2023-2/60-67.</w:t>
      </w:r>
    </w:p>
    <w:p>
      <w:pPr>
        <w:pStyle w:val="Normal"/>
        <w:shd w:val="clear" w:color="auto" w:fill="FFFFFF"/>
        <w:spacing w:lineRule="auto" w:line="240" w:before="0" w:after="0"/>
        <w:jc w:val="both"/>
        <w:textAlignment w:val="top"/>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14. Dorosh Yu., Barvinskyi A., Kupriyanchik I., Kravchenko O., Saliuta V. Optimization of the agricultural land structureas the basis of sustainable development of rural areas // Zemleustrìj, kadastr ì monìtorìng zemelʹ. - 2019.- Vol.25(4). - P. 4-13.</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eastAsia="ru-RU"/>
        </w:rPr>
        <w:t>DOI 10.31548/zemleustriy2019.04.01.</w:t>
      </w:r>
    </w:p>
    <w:p>
      <w:pPr>
        <w:pStyle w:val="Normal"/>
        <w:spacing w:lineRule="auto" w:line="240" w:before="0" w:after="0"/>
        <w:jc w:val="both"/>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color w:val="000000"/>
          <w:sz w:val="24"/>
          <w:szCs w:val="24"/>
          <w:lang w:val="en-US" w:eastAsia="ru-RU"/>
        </w:rPr>
        <w:t>15. Oficial'nyj internet-istochnik Bjuro nacional'noj statistiki Agentstva po strategicheskomu planirovaniju i reformam Respubliki Kazahstan. URL: https://stat.gov.kz/en/.- Data obrashhenija: 01.07.2025.</w:t>
      </w:r>
      <w:r>
        <w:rPr>
          <w:rFonts w:eastAsia="Times New Roman" w:cs="Times New Roman" w:ascii="Times New Roman" w:hAnsi="Times New Roman"/>
          <w:bCs/>
          <w:color w:val="000000"/>
          <w:sz w:val="24"/>
          <w:szCs w:val="24"/>
          <w:lang w:val="en-US" w:eastAsia="ru-RU"/>
        </w:rPr>
        <w:t xml:space="preserve"> [in Russian]</w:t>
      </w:r>
    </w:p>
    <w:p>
      <w:pPr>
        <w:pStyle w:val="Normal"/>
        <w:spacing w:lineRule="auto" w:line="240" w:before="0" w:after="0"/>
        <w:jc w:val="both"/>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color w:val="000000"/>
          <w:sz w:val="24"/>
          <w:szCs w:val="24"/>
          <w:lang w:val="en-US" w:eastAsia="ru-RU"/>
        </w:rPr>
      </w:r>
    </w:p>
    <w:p>
      <w:pPr>
        <w:pStyle w:val="Normal"/>
        <w:spacing w:lineRule="auto" w:line="240" w:before="0" w:after="0"/>
        <w:ind w:firstLine="708"/>
        <w:jc w:val="both"/>
        <w:rPr>
          <w:rFonts w:ascii="Times New Roman" w:hAnsi="Times New Roman" w:eastAsia="Times New Roman" w:cs="Times New Roman"/>
          <w:b/>
          <w:bCs/>
          <w:i/>
          <w:i/>
          <w:iCs/>
          <w:sz w:val="20"/>
          <w:szCs w:val="20"/>
          <w:lang w:val="en-US" w:eastAsia="ru-RU"/>
        </w:rPr>
      </w:pPr>
      <w:r>
        <w:rPr>
          <w:rFonts w:eastAsia="Times New Roman" w:cs="Times New Roman" w:ascii="Times New Roman" w:hAnsi="Times New Roman"/>
          <w:b/>
          <w:bCs/>
          <w:i/>
          <w:iCs/>
          <w:sz w:val="20"/>
          <w:szCs w:val="20"/>
          <w:lang w:val="en-US" w:eastAsia="ru-RU"/>
        </w:rPr>
        <w:t>Information about the authors</w:t>
      </w:r>
    </w:p>
    <w:p>
      <w:pPr>
        <w:pStyle w:val="Normal"/>
        <w:spacing w:lineRule="auto" w:line="240" w:before="0" w:after="0"/>
        <w:ind w:firstLine="708"/>
        <w:jc w:val="both"/>
        <w:rPr>
          <w:rFonts w:ascii="Times New Roman" w:hAnsi="Times New Roman" w:eastAsia="Times New Roman" w:cs="Times New Roman"/>
          <w:b/>
          <w:bCs/>
          <w:i/>
          <w:i/>
          <w:iCs/>
          <w:sz w:val="20"/>
          <w:szCs w:val="20"/>
          <w:lang w:val="en-US" w:eastAsia="ru-RU"/>
        </w:rPr>
      </w:pPr>
      <w:r>
        <w:rPr>
          <w:rFonts w:eastAsia="Times New Roman" w:cs="Times New Roman" w:ascii="Times New Roman" w:hAnsi="Times New Roman"/>
          <w:b/>
          <w:bCs/>
          <w:i/>
          <w:iCs/>
          <w:sz w:val="20"/>
          <w:szCs w:val="20"/>
          <w:lang w:val="en-US" w:eastAsia="ru-RU"/>
        </w:rPr>
      </w:r>
    </w:p>
    <w:p>
      <w:pPr>
        <w:pStyle w:val="Normal"/>
        <w:spacing w:lineRule="auto" w:line="240" w:before="0" w:after="0"/>
        <w:jc w:val="both"/>
        <w:rPr>
          <w:rFonts w:ascii="Times New Roman" w:hAnsi="Times New Roman" w:eastAsia="Times New Roman" w:cs="Times New Roman"/>
          <w:bCs/>
          <w:sz w:val="20"/>
          <w:szCs w:val="20"/>
          <w:lang w:val="kk-KZ" w:eastAsia="ru-RU"/>
        </w:rPr>
      </w:pPr>
      <w:bookmarkStart w:id="1" w:name="_Hlk156317058"/>
      <w:r>
        <w:rPr>
          <w:rFonts w:eastAsia="Times New Roman" w:cs="Times New Roman" w:ascii="Times New Roman" w:hAnsi="Times New Roman"/>
          <w:bCs/>
          <w:sz w:val="20"/>
          <w:szCs w:val="20"/>
          <w:lang w:val="en-US" w:eastAsia="ru-RU"/>
        </w:rPr>
        <w:t>Bulkhairova Zh.S. - PhD, Associate Professor, Director of Strategy and corporate development, Kazakh National University of Sports, Astana, Kazakhstan, e-mail: honeyzhu@mail.ru</w:t>
      </w:r>
      <w:r>
        <w:rPr>
          <w:rFonts w:eastAsia="Times New Roman" w:cs="Times New Roman" w:ascii="Times New Roman" w:hAnsi="Times New Roman"/>
          <w:bCs/>
          <w:sz w:val="20"/>
          <w:szCs w:val="20"/>
          <w:lang w:val="kk-KZ" w:eastAsia="ru-RU"/>
        </w:rPr>
        <w:t xml:space="preserve">; </w:t>
      </w:r>
    </w:p>
    <w:p>
      <w:pPr>
        <w:pStyle w:val="Normal"/>
        <w:spacing w:lineRule="auto" w:line="240" w:before="0" w:after="0"/>
        <w:jc w:val="both"/>
        <w:rPr>
          <w:rFonts w:ascii="Times New Roman" w:hAnsi="Times New Roman" w:eastAsia="Times New Roman" w:cs="Times New Roman"/>
          <w:bCs/>
          <w:sz w:val="20"/>
          <w:szCs w:val="20"/>
          <w:lang w:val="en-US"/>
        </w:rPr>
      </w:pPr>
      <w:r>
        <w:rPr>
          <w:rFonts w:eastAsia="Times New Roman" w:cs="Times New Roman" w:ascii="Times New Roman" w:hAnsi="Times New Roman"/>
          <w:bCs/>
          <w:sz w:val="20"/>
          <w:szCs w:val="20"/>
          <w:lang w:val="en-US"/>
        </w:rPr>
        <w:t xml:space="preserve">Yerniyazova Zh. - candidate of Economic Sciences, Associate Professor, </w:t>
      </w:r>
      <w:r>
        <w:rPr>
          <w:rFonts w:eastAsia="Times New Roman" w:cs="Times New Roman" w:ascii="Times New Roman" w:hAnsi="Times New Roman"/>
          <w:bCs/>
          <w:sz w:val="20"/>
          <w:szCs w:val="20"/>
          <w:lang w:val="en-US" w:eastAsia="ru-RU"/>
        </w:rPr>
        <w:t xml:space="preserve">Korkyt Ata Kyzylorda University, </w:t>
      </w:r>
      <w:r>
        <w:rPr>
          <w:rFonts w:eastAsia="Times New Roman" w:cs="Times New Roman" w:ascii="Times New Roman" w:hAnsi="Times New Roman"/>
          <w:bCs/>
          <w:sz w:val="20"/>
          <w:szCs w:val="20"/>
          <w:lang w:val="kk-KZ" w:eastAsia="ru-RU"/>
        </w:rPr>
        <w:t xml:space="preserve">Kyzylorda, </w:t>
      </w:r>
      <w:r>
        <w:rPr>
          <w:rFonts w:eastAsia="Times New Roman" w:cs="Times New Roman" w:ascii="Times New Roman" w:hAnsi="Times New Roman"/>
          <w:bCs/>
          <w:sz w:val="20"/>
          <w:szCs w:val="20"/>
          <w:lang w:val="en-US" w:eastAsia="ru-RU"/>
        </w:rPr>
        <w:t>Kazakhstan</w:t>
      </w:r>
      <w:r>
        <w:rPr>
          <w:rFonts w:eastAsia="Times New Roman" w:cs="Times New Roman" w:ascii="Times New Roman" w:hAnsi="Times New Roman"/>
          <w:bCs/>
          <w:sz w:val="20"/>
          <w:szCs w:val="20"/>
          <w:lang w:val="en-US"/>
        </w:rPr>
        <w:t>; e-mail: bolat39@mail.ru;</w:t>
      </w:r>
    </w:p>
    <w:p>
      <w:pPr>
        <w:pStyle w:val="Normal"/>
        <w:spacing w:lineRule="auto" w:line="240" w:before="0" w:after="0"/>
        <w:jc w:val="both"/>
        <w:rPr>
          <w:rFonts w:ascii="Times New Roman" w:hAnsi="Times New Roman" w:eastAsia="Times New Roman" w:cs="Times New Roman"/>
          <w:bCs/>
          <w:sz w:val="20"/>
          <w:szCs w:val="20"/>
          <w:lang w:val="en-US"/>
        </w:rPr>
      </w:pPr>
      <w:r>
        <w:rPr>
          <w:rFonts w:eastAsia="Times New Roman" w:cs="Times New Roman" w:ascii="Times New Roman" w:hAnsi="Times New Roman"/>
          <w:bCs/>
          <w:sz w:val="20"/>
          <w:szCs w:val="20"/>
          <w:lang w:val="en-US" w:eastAsia="ru-RU"/>
        </w:rPr>
        <w:t>Aidosova B. - senior lecturer at the Department of the</w:t>
      </w:r>
      <w:r>
        <w:rPr>
          <w:rFonts w:eastAsia="Times New Roman" w:cs="Times New Roman" w:ascii="Times New Roman" w:hAnsi="Times New Roman"/>
          <w:bCs/>
          <w:sz w:val="20"/>
          <w:szCs w:val="20"/>
          <w:lang w:val="kk-KZ" w:eastAsia="ru-RU"/>
        </w:rPr>
        <w:t xml:space="preserve"> </w:t>
      </w:r>
      <w:r>
        <w:rPr>
          <w:rFonts w:eastAsia="Times New Roman" w:cs="Times New Roman" w:ascii="Times New Roman" w:hAnsi="Times New Roman"/>
          <w:bCs/>
          <w:sz w:val="20"/>
          <w:szCs w:val="20"/>
          <w:lang w:val="en-US" w:eastAsia="ru-RU"/>
        </w:rPr>
        <w:t xml:space="preserve">«Finance, accounting and audit», candidate of economic sciences, Korkyt Ata Kyzylorda University, </w:t>
      </w:r>
      <w:r>
        <w:rPr>
          <w:rFonts w:eastAsia="Times New Roman" w:cs="Times New Roman" w:ascii="Times New Roman" w:hAnsi="Times New Roman"/>
          <w:bCs/>
          <w:sz w:val="20"/>
          <w:szCs w:val="20"/>
          <w:lang w:val="kk-KZ" w:eastAsia="ru-RU"/>
        </w:rPr>
        <w:t xml:space="preserve">Kyzylorda, </w:t>
      </w:r>
      <w:r>
        <w:rPr>
          <w:rFonts w:eastAsia="Times New Roman" w:cs="Times New Roman" w:ascii="Times New Roman" w:hAnsi="Times New Roman"/>
          <w:bCs/>
          <w:sz w:val="20"/>
          <w:szCs w:val="20"/>
          <w:lang w:val="en-US" w:eastAsia="ru-RU"/>
        </w:rPr>
        <w:t>Kazakhstan, e-mail</w:t>
      </w:r>
      <w:r>
        <w:rPr>
          <w:rFonts w:eastAsia="Times New Roman" w:cs="Times New Roman" w:ascii="Times New Roman" w:hAnsi="Times New Roman"/>
          <w:bCs/>
          <w:sz w:val="20"/>
          <w:szCs w:val="20"/>
          <w:lang w:val="kk-KZ" w:eastAsia="ru-RU"/>
        </w:rPr>
        <w:t xml:space="preserve">: </w:t>
      </w:r>
      <w:hyperlink r:id="rId49">
        <w:r>
          <w:rPr>
            <w:rStyle w:val="Style3"/>
            <w:rFonts w:eastAsia="Times New Roman" w:cs="Times New Roman" w:ascii="Times New Roman" w:hAnsi="Times New Roman"/>
            <w:bCs/>
            <w:sz w:val="20"/>
            <w:szCs w:val="20"/>
            <w:lang w:val="en-US" w:eastAsia="ru-RU"/>
          </w:rPr>
          <w:t>aidos65.65@mail.ru</w:t>
        </w:r>
      </w:hyperlink>
      <w:r>
        <w:rPr>
          <w:rFonts w:eastAsia="Times New Roman" w:cs="Times New Roman" w:ascii="Times New Roman" w:hAnsi="Times New Roman"/>
          <w:bCs/>
          <w:sz w:val="20"/>
          <w:szCs w:val="20"/>
          <w:lang w:val="en-US" w:eastAsia="ru-RU"/>
        </w:rPr>
        <w:t>;</w:t>
      </w:r>
      <w:r>
        <w:rPr>
          <w:rFonts w:eastAsia="Times New Roman" w:cs="Times New Roman" w:ascii="Times New Roman" w:hAnsi="Times New Roman"/>
          <w:bCs/>
          <w:sz w:val="20"/>
          <w:szCs w:val="20"/>
          <w:lang w:val="en-US"/>
        </w:rPr>
        <w:t xml:space="preserve"> </w:t>
      </w:r>
    </w:p>
    <w:p>
      <w:pPr>
        <w:pStyle w:val="Normal"/>
        <w:spacing w:lineRule="auto" w:line="240" w:before="0" w:after="0"/>
        <w:jc w:val="both"/>
        <w:rPr>
          <w:rFonts w:ascii="Times New Roman" w:hAnsi="Times New Roman" w:eastAsia="Times New Roman" w:cs="Times New Roman"/>
          <w:bCs/>
          <w:sz w:val="20"/>
          <w:szCs w:val="20"/>
          <w:lang w:val="en-US"/>
        </w:rPr>
      </w:pPr>
      <w:r>
        <w:rPr>
          <w:rFonts w:eastAsia="Times New Roman" w:cs="Times New Roman" w:ascii="Times New Roman" w:hAnsi="Times New Roman"/>
          <w:bCs/>
          <w:sz w:val="20"/>
          <w:szCs w:val="20"/>
          <w:lang w:val="en-US"/>
        </w:rPr>
        <w:t>Makenova A.      -    candidate of Economic Sciences</w:t>
      </w:r>
      <w:r>
        <w:rPr>
          <w:rFonts w:eastAsia="Times New Roman" w:cs="Times New Roman" w:ascii="Times New Roman" w:hAnsi="Times New Roman"/>
          <w:bCs/>
          <w:sz w:val="20"/>
          <w:szCs w:val="20"/>
          <w:lang w:val="kk-KZ" w:eastAsia="ru-RU"/>
        </w:rPr>
        <w:t xml:space="preserve">, Senior Lecturer of the OP "Finance", Accounting and Audit </w:t>
      </w:r>
      <w:r>
        <w:rPr>
          <w:rFonts w:eastAsia="Times New Roman" w:cs="Times New Roman" w:ascii="Times New Roman" w:hAnsi="Times New Roman"/>
          <w:bCs/>
          <w:sz w:val="20"/>
          <w:szCs w:val="20"/>
          <w:lang w:val="en-US" w:eastAsia="ru-RU"/>
        </w:rPr>
        <w:t>Department</w:t>
      </w:r>
      <w:r>
        <w:rPr>
          <w:rFonts w:eastAsia="Times New Roman" w:cs="Times New Roman" w:ascii="Times New Roman" w:hAnsi="Times New Roman"/>
          <w:bCs/>
          <w:sz w:val="20"/>
          <w:szCs w:val="20"/>
          <w:lang w:val="kk-KZ" w:eastAsia="ru-RU"/>
        </w:rPr>
        <w:t>, Korkyt Ata Kyzylorda University,</w:t>
      </w:r>
      <w:r>
        <w:rPr>
          <w:rFonts w:eastAsia="Times New Roman" w:cs="Times New Roman" w:ascii="Times New Roman" w:hAnsi="Times New Roman"/>
          <w:sz w:val="20"/>
          <w:szCs w:val="20"/>
          <w:lang w:val="en-US"/>
        </w:rPr>
        <w:t xml:space="preserve"> </w:t>
      </w:r>
      <w:r>
        <w:rPr>
          <w:rFonts w:eastAsia="Times New Roman" w:cs="Times New Roman" w:ascii="Times New Roman" w:hAnsi="Times New Roman"/>
          <w:bCs/>
          <w:sz w:val="20"/>
          <w:szCs w:val="20"/>
          <w:lang w:val="kk-KZ" w:eastAsia="ru-RU"/>
        </w:rPr>
        <w:t xml:space="preserve">Kyzylorda, Kazakhstan, </w:t>
      </w:r>
      <w:r>
        <w:rPr>
          <w:rFonts w:eastAsia="Times New Roman" w:cs="Times New Roman" w:ascii="Times New Roman" w:hAnsi="Times New Roman"/>
          <w:bCs/>
          <w:sz w:val="20"/>
          <w:szCs w:val="20"/>
          <w:lang w:val="en-US"/>
        </w:rPr>
        <w:t xml:space="preserve"> </w:t>
      </w:r>
      <w:r>
        <w:rPr>
          <w:rFonts w:eastAsia="Times New Roman" w:cs="Times New Roman" w:ascii="Times New Roman" w:hAnsi="Times New Roman"/>
          <w:bCs/>
          <w:sz w:val="20"/>
          <w:szCs w:val="20"/>
          <w:lang w:val="kk-KZ" w:eastAsia="ru-RU"/>
        </w:rPr>
        <w:t>e-mail:</w:t>
      </w:r>
      <w:r>
        <w:rPr>
          <w:rFonts w:eastAsia="Times New Roman" w:cs="Times New Roman" w:ascii="Times New Roman" w:hAnsi="Times New Roman"/>
          <w:bCs/>
          <w:sz w:val="20"/>
          <w:szCs w:val="20"/>
          <w:lang w:val="en-US"/>
        </w:rPr>
        <w:t xml:space="preserve"> Aigul.m. a</w:t>
      </w:r>
      <w:hyperlink r:id="rId50">
        <w:r>
          <w:rPr>
            <w:rStyle w:val="Style3"/>
            <w:rFonts w:eastAsia="Times New Roman" w:cs="Times New Roman" w:ascii="Times New Roman" w:hAnsi="Times New Roman"/>
            <w:bCs/>
            <w:sz w:val="20"/>
            <w:szCs w:val="20"/>
            <w:lang w:val="en-US"/>
          </w:rPr>
          <w:t>@mail.ru</w:t>
        </w:r>
      </w:hyperlink>
      <w:r>
        <w:rPr>
          <w:rFonts w:eastAsia="Times New Roman" w:cs="Times New Roman" w:ascii="Times New Roman" w:hAnsi="Times New Roman"/>
          <w:bCs/>
          <w:sz w:val="20"/>
          <w:szCs w:val="20"/>
          <w:lang w:val="en-US"/>
        </w:rPr>
        <w:t xml:space="preserve">; </w:t>
      </w:r>
    </w:p>
    <w:p>
      <w:pPr>
        <w:pStyle w:val="Normal"/>
        <w:spacing w:lineRule="auto" w:line="240" w:before="0" w:after="0"/>
        <w:rPr>
          <w:rFonts w:ascii="Times New Roman" w:hAnsi="Times New Roman" w:eastAsia="Times New Roman" w:cs="Times New Roman"/>
          <w:bCs/>
          <w:sz w:val="20"/>
          <w:szCs w:val="20"/>
          <w:lang w:val="en-US"/>
        </w:rPr>
      </w:pPr>
      <w:bookmarkStart w:id="2" w:name="_Hlk156317058"/>
      <w:r>
        <w:rPr>
          <w:rFonts w:eastAsia="Times New Roman" w:cs="Times New Roman" w:ascii="Times New Roman" w:hAnsi="Times New Roman"/>
          <w:bCs/>
          <w:sz w:val="20"/>
          <w:szCs w:val="20"/>
          <w:lang w:val="en-US"/>
        </w:rPr>
        <w:t xml:space="preserve">Mashayeva A. - </w:t>
      </w:r>
      <w:bookmarkEnd w:id="2"/>
      <w:r>
        <w:rPr>
          <w:rFonts w:eastAsia="Times New Roman" w:cs="Times New Roman" w:ascii="Times New Roman" w:hAnsi="Times New Roman"/>
          <w:bCs/>
          <w:sz w:val="20"/>
          <w:szCs w:val="20"/>
          <w:lang w:val="en-US"/>
        </w:rPr>
        <w:t>doctoral student PhD in educational program 8D04121 - "State audit”, L.N. Gumilyov Eurasian National University, Astana, Kazakhstan,</w:t>
      </w:r>
      <w:r>
        <w:rPr>
          <w:rFonts w:eastAsia="Times New Roman" w:cs="Times New Roman" w:ascii="Times New Roman" w:hAnsi="Times New Roman"/>
          <w:bCs/>
          <w:sz w:val="20"/>
          <w:szCs w:val="20"/>
          <w:lang w:val="kk-KZ"/>
        </w:rPr>
        <w:t xml:space="preserve"> </w:t>
      </w:r>
      <w:r>
        <w:rPr>
          <w:rFonts w:eastAsia="Times New Roman" w:cs="Times New Roman" w:ascii="Times New Roman" w:hAnsi="Times New Roman"/>
          <w:bCs/>
          <w:sz w:val="20"/>
          <w:szCs w:val="20"/>
        </w:rPr>
        <w:t>е</w:t>
      </w:r>
      <w:r>
        <w:rPr>
          <w:rFonts w:eastAsia="Times New Roman" w:cs="Times New Roman" w:ascii="Times New Roman" w:hAnsi="Times New Roman"/>
          <w:bCs/>
          <w:sz w:val="20"/>
          <w:szCs w:val="20"/>
          <w:lang w:val="en-US"/>
        </w:rPr>
        <w:t>-mail</w:t>
      </w:r>
      <w:r>
        <w:rPr>
          <w:rFonts w:eastAsia="Times New Roman" w:cs="Times New Roman" w:ascii="Times New Roman" w:hAnsi="Times New Roman"/>
          <w:bCs/>
          <w:sz w:val="20"/>
          <w:szCs w:val="20"/>
          <w:lang w:val="kk-KZ"/>
        </w:rPr>
        <w:t xml:space="preserve">: </w:t>
      </w:r>
      <w:hyperlink r:id="rId51">
        <w:r>
          <w:rPr>
            <w:rStyle w:val="Style3"/>
            <w:rFonts w:eastAsia="Times New Roman" w:cs="Times New Roman" w:ascii="Times New Roman" w:hAnsi="Times New Roman"/>
            <w:bCs/>
            <w:sz w:val="20"/>
            <w:szCs w:val="20"/>
            <w:lang w:val="en-US"/>
          </w:rPr>
          <w:t>ayagoz_mashaeva@mail.ru</w:t>
        </w:r>
      </w:hyperlink>
      <w:r>
        <w:rPr>
          <w:rFonts w:eastAsia="Times New Roman" w:cs="Times New Roman" w:ascii="Times New Roman" w:hAnsi="Times New Roman"/>
          <w:bCs/>
          <w:sz w:val="20"/>
          <w:szCs w:val="20"/>
          <w:lang w:val="en-US"/>
        </w:rPr>
        <w:t>;</w:t>
      </w:r>
    </w:p>
    <w:p>
      <w:pPr>
        <w:pStyle w:val="Normal"/>
        <w:spacing w:lineRule="auto" w:line="240" w:before="0" w:after="0"/>
        <w:jc w:val="both"/>
        <w:rPr>
          <w:rFonts w:ascii="Times New Roman" w:hAnsi="Times New Roman" w:eastAsia="Times New Roman" w:cs="Times New Roman"/>
          <w:b/>
          <w:bCs/>
          <w:sz w:val="20"/>
          <w:szCs w:val="20"/>
          <w:lang w:val="en-US"/>
        </w:rPr>
      </w:pPr>
      <w:r>
        <w:rPr>
          <w:rFonts w:eastAsia="Times New Roman" w:cs="Times New Roman" w:ascii="Times New Roman" w:hAnsi="Times New Roman"/>
          <w:bCs/>
          <w:sz w:val="20"/>
          <w:szCs w:val="20"/>
          <w:lang w:val="en-US"/>
        </w:rPr>
        <w:t>Ospanova  G</w:t>
      </w:r>
      <w:r>
        <w:rPr>
          <w:rFonts w:eastAsia="Times New Roman" w:cs="Times New Roman" w:ascii="Times New Roman" w:hAnsi="Times New Roman"/>
          <w:bCs/>
          <w:sz w:val="20"/>
          <w:szCs w:val="20"/>
          <w:lang w:val="kk-KZ"/>
        </w:rPr>
        <w:t>.</w:t>
      </w:r>
      <w:r>
        <w:rPr>
          <w:rFonts w:eastAsia="Times New Roman" w:cs="Times New Roman" w:ascii="Times New Roman" w:hAnsi="Times New Roman"/>
          <w:bCs/>
          <w:sz w:val="20"/>
          <w:szCs w:val="20"/>
          <w:lang w:val="en-US"/>
        </w:rPr>
        <w:t xml:space="preserve"> – Master of Statistics, Senior Lecturer at the Department of "Finance, Accounting and Auditing",</w:t>
      </w:r>
      <w:r>
        <w:rPr>
          <w:rFonts w:eastAsia="Times New Roman" w:cs="Times New Roman" w:ascii="Times New Roman" w:hAnsi="Times New Roman"/>
          <w:bCs/>
          <w:sz w:val="20"/>
          <w:szCs w:val="20"/>
          <w:lang w:val="kk-KZ"/>
        </w:rPr>
        <w:t xml:space="preserve"> </w:t>
      </w:r>
      <w:r>
        <w:rPr>
          <w:rFonts w:eastAsia="Times New Roman" w:cs="Times New Roman" w:ascii="Times New Roman" w:hAnsi="Times New Roman"/>
          <w:bCs/>
          <w:sz w:val="20"/>
          <w:szCs w:val="20"/>
          <w:lang w:val="en-US"/>
        </w:rPr>
        <w:t>Korkyt Ata Kyzylorda University, Kyzylorda, Kazakhstan</w:t>
      </w:r>
      <w:r>
        <w:rPr>
          <w:rFonts w:eastAsia="Times New Roman" w:cs="Times New Roman" w:ascii="Times New Roman" w:hAnsi="Times New Roman"/>
          <w:bCs/>
          <w:sz w:val="20"/>
          <w:szCs w:val="20"/>
          <w:lang w:val="kk-KZ"/>
        </w:rPr>
        <w:t>, е</w:t>
      </w:r>
      <w:r>
        <w:rPr>
          <w:rFonts w:eastAsia="Times New Roman" w:cs="Times New Roman" w:ascii="Times New Roman" w:hAnsi="Times New Roman"/>
          <w:bCs/>
          <w:sz w:val="20"/>
          <w:szCs w:val="20"/>
          <w:lang w:val="en-US"/>
        </w:rPr>
        <w:t>-mail: Gulpat73@mail.ru</w:t>
      </w:r>
      <w:r>
        <w:rPr>
          <w:rFonts w:eastAsia="Times New Roman" w:cs="Times New Roman" w:ascii="Times New Roman" w:hAnsi="Times New Roman"/>
          <w:bCs/>
          <w:sz w:val="20"/>
          <w:szCs w:val="20"/>
          <w:lang w:val="kk-KZ"/>
        </w:rPr>
        <w:t>.</w:t>
      </w:r>
    </w:p>
    <w:p>
      <w:pPr>
        <w:pStyle w:val="Normal"/>
        <w:spacing w:lineRule="auto" w:line="240" w:before="0" w:after="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r>
    </w:p>
    <w:p>
      <w:pPr>
        <w:pStyle w:val="Normal"/>
        <w:spacing w:lineRule="auto" w:line="240" w:before="0" w:after="0"/>
        <w:ind w:firstLine="708"/>
        <w:jc w:val="both"/>
        <w:rPr>
          <w:rFonts w:ascii="Times New Roman" w:hAnsi="Times New Roman" w:eastAsia="Times New Roman" w:cs="Times New Roman"/>
          <w:b/>
          <w:bCs/>
          <w:i/>
          <w:i/>
          <w:iCs/>
          <w:sz w:val="20"/>
          <w:szCs w:val="20"/>
        </w:rPr>
      </w:pPr>
      <w:r>
        <w:rPr>
          <w:rFonts w:eastAsia="Times New Roman" w:cs="Times New Roman" w:ascii="Times New Roman" w:hAnsi="Times New Roman"/>
          <w:b/>
          <w:bCs/>
          <w:i/>
          <w:iCs/>
          <w:sz w:val="20"/>
          <w:szCs w:val="20"/>
        </w:rPr>
        <w:t>Сведения об авторах</w:t>
      </w:r>
    </w:p>
    <w:p>
      <w:pPr>
        <w:pStyle w:val="Normal"/>
        <w:spacing w:lineRule="auto" w:line="240" w:before="0" w:after="0"/>
        <w:ind w:firstLine="708"/>
        <w:jc w:val="both"/>
        <w:rPr>
          <w:rFonts w:ascii="Times New Roman" w:hAnsi="Times New Roman" w:eastAsia="Times New Roman" w:cs="Times New Roman"/>
          <w:b/>
          <w:bCs/>
          <w:i/>
          <w:i/>
          <w:iCs/>
          <w:sz w:val="20"/>
          <w:szCs w:val="20"/>
        </w:rPr>
      </w:pPr>
      <w:r>
        <w:rPr>
          <w:rFonts w:eastAsia="Times New Roman" w:cs="Times New Roman" w:ascii="Times New Roman" w:hAnsi="Times New Roman"/>
          <w:b/>
          <w:bCs/>
          <w:i/>
          <w:iCs/>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Булхаирова Ж.С. - доктор </w:t>
      </w:r>
      <w:r>
        <w:rPr>
          <w:rFonts w:eastAsia="Times New Roman" w:cs="Times New Roman" w:ascii="Times New Roman" w:hAnsi="Times New Roman"/>
          <w:sz w:val="20"/>
          <w:szCs w:val="20"/>
          <w:lang w:val="en-US"/>
        </w:rPr>
        <w:t>PhD</w:t>
      </w:r>
      <w:r>
        <w:rPr>
          <w:rFonts w:eastAsia="Times New Roman" w:cs="Times New Roman" w:ascii="Times New Roman" w:hAnsi="Times New Roman"/>
          <w:sz w:val="20"/>
          <w:szCs w:val="20"/>
        </w:rPr>
        <w:t xml:space="preserve">, ассоциированный профессор, Директор стратегии и корпоративного развития, Казахский Национальный университет спорта, Астана, Казахстан, </w:t>
      </w:r>
      <w:r>
        <w:rPr>
          <w:rFonts w:eastAsia="Times New Roman" w:cs="Times New Roman" w:ascii="Times New Roman" w:hAnsi="Times New Roman"/>
          <w:sz w:val="20"/>
          <w:szCs w:val="20"/>
          <w:lang w:val="en-US"/>
        </w:rPr>
        <w:t>e</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en-US"/>
        </w:rPr>
        <w:t>mail</w:t>
      </w:r>
      <w:r>
        <w:rPr>
          <w:rFonts w:eastAsia="Times New Roman" w:cs="Times New Roman" w:ascii="Times New Roman" w:hAnsi="Times New Roman"/>
          <w:sz w:val="20"/>
          <w:szCs w:val="20"/>
        </w:rPr>
        <w:t xml:space="preserve">: </w:t>
      </w:r>
      <w:hyperlink r:id="rId52">
        <w:r>
          <w:rPr>
            <w:rStyle w:val="Style3"/>
            <w:rFonts w:eastAsia="Times New Roman" w:cs="Times New Roman" w:ascii="Times New Roman" w:hAnsi="Times New Roman"/>
            <w:sz w:val="20"/>
            <w:szCs w:val="20"/>
            <w:lang w:val="en-US"/>
          </w:rPr>
          <w:t>honeyzhu</w:t>
        </w:r>
        <w:r>
          <w:rPr>
            <w:rStyle w:val="Style3"/>
            <w:rFonts w:eastAsia="Times New Roman" w:cs="Times New Roman" w:ascii="Times New Roman" w:hAnsi="Times New Roman"/>
            <w:sz w:val="20"/>
            <w:szCs w:val="20"/>
          </w:rPr>
          <w:t>@</w:t>
        </w:r>
        <w:r>
          <w:rPr>
            <w:rStyle w:val="Style3"/>
            <w:rFonts w:eastAsia="Times New Roman" w:cs="Times New Roman" w:ascii="Times New Roman" w:hAnsi="Times New Roman"/>
            <w:sz w:val="20"/>
            <w:szCs w:val="20"/>
            <w:lang w:val="en-US"/>
          </w:rPr>
          <w:t>mail</w:t>
        </w:r>
        <w:r>
          <w:rPr>
            <w:rStyle w:val="Style3"/>
            <w:rFonts w:eastAsia="Times New Roman" w:cs="Times New Roman" w:ascii="Times New Roman" w:hAnsi="Times New Roman"/>
            <w:sz w:val="20"/>
            <w:szCs w:val="20"/>
          </w:rPr>
          <w:t>.</w:t>
        </w:r>
        <w:r>
          <w:rPr>
            <w:rStyle w:val="Style3"/>
            <w:rFonts w:eastAsia="Times New Roman" w:cs="Times New Roman" w:ascii="Times New Roman" w:hAnsi="Times New Roman"/>
            <w:sz w:val="20"/>
            <w:szCs w:val="20"/>
            <w:lang w:val="en-US"/>
          </w:rPr>
          <w:t>ru</w:t>
        </w:r>
      </w:hyperlink>
      <w:r>
        <w:rPr>
          <w:rFonts w:eastAsia="Times New Roman" w:cs="Times New Roman" w:ascii="Times New Roman" w:hAnsi="Times New Roman"/>
          <w:sz w:val="20"/>
          <w:szCs w:val="20"/>
        </w:rPr>
        <w:t>;</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Ерниязова </w:t>
      </w:r>
      <w:r>
        <w:rPr>
          <w:rFonts w:eastAsia="Times New Roman" w:cs="Times New Roman" w:ascii="Times New Roman" w:hAnsi="Times New Roman"/>
          <w:sz w:val="20"/>
          <w:szCs w:val="20"/>
          <w:lang w:val="kk-KZ"/>
        </w:rPr>
        <w:t>Ж.Н. - к</w:t>
      </w:r>
      <w:r>
        <w:rPr>
          <w:rFonts w:eastAsia="Times New Roman" w:cs="Times New Roman" w:ascii="Times New Roman" w:hAnsi="Times New Roman"/>
          <w:sz w:val="20"/>
          <w:szCs w:val="20"/>
        </w:rPr>
        <w:t xml:space="preserve">андидат экономических наук, старший преподаватель ОП Экономика и управление, Кызылординский университет им. Коркыт Ата, , Кызылорда, Казахстан, email: </w:t>
      </w:r>
      <w:hyperlink r:id="rId53">
        <w:r>
          <w:rPr>
            <w:rStyle w:val="Style3"/>
            <w:rFonts w:eastAsia="Times New Roman" w:cs="Times New Roman" w:ascii="Times New Roman" w:hAnsi="Times New Roman"/>
            <w:sz w:val="20"/>
            <w:szCs w:val="20"/>
          </w:rPr>
          <w:t>bolat39@mail.ru</w:t>
        </w:r>
      </w:hyperlink>
      <w:r>
        <w:rPr>
          <w:rFonts w:eastAsia="Times New Roman" w:cs="Times New Roman" w:ascii="Times New Roman" w:hAnsi="Times New Roman"/>
          <w:sz w:val="20"/>
          <w:szCs w:val="20"/>
        </w:rPr>
        <w:t>;</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Айдосова Б. – старший преподаватель кафедры «Финансы, бухгалтерский учет и аудит», кандидат экономических наук, Кызылординский университет им. Коркыт Ата, Кызылорда, Казахстан, e-mail: aidos65.65@mail.ru;</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Макенова А.      - кандидат экономических наук, старший преподаватель кафедры "Финансы", бухгалтерский учет и аудит, Кызылординский университет им. Коркыт Ата, e-mail: </w:t>
      </w:r>
      <w:hyperlink r:id="rId54">
        <w:r>
          <w:rPr>
            <w:rStyle w:val="Hyperlink"/>
            <w:rFonts w:eastAsia="Times New Roman" w:cs="Times New Roman" w:ascii="Times New Roman" w:hAnsi="Times New Roman"/>
            <w:color w:val="auto"/>
            <w:sz w:val="20"/>
            <w:szCs w:val="20"/>
            <w:u w:val="none"/>
          </w:rPr>
          <w:t>Aigul.m.a@mail.ru</w:t>
        </w:r>
      </w:hyperlink>
      <w:r>
        <w:rPr>
          <w:rFonts w:eastAsia="Times New Roman" w:cs="Times New Roman" w:ascii="Times New Roman" w:hAnsi="Times New Roman"/>
          <w:sz w:val="20"/>
          <w:szCs w:val="20"/>
        </w:rPr>
        <w:t>;</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Машаева А. - докторант PhD по образовательной программе 8D04121 – "Государственный аудит”, Евразийский национальный университет им. Л.Н. Гумилева, Астана, Казахстан, e-mail: ayagoz_mashaeva@mail.ru; </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Оспанова Г. - магистр статистики, старший преподаватель кафедры "Финансы, бухгалтерский учет и аудит", Кызылординский университет им. Коркыт Ата, Кызылорда, Казахстан, е-</w:t>
      </w:r>
      <w:r>
        <w:rPr>
          <w:rFonts w:eastAsia="Times New Roman" w:cs="Times New Roman" w:ascii="Times New Roman" w:hAnsi="Times New Roman"/>
          <w:sz w:val="20"/>
          <w:szCs w:val="20"/>
          <w:lang w:val="en-US"/>
        </w:rPr>
        <w:t>mail</w:t>
      </w:r>
      <w:r>
        <w:rPr>
          <w:rFonts w:eastAsia="Times New Roman" w:cs="Times New Roman" w:ascii="Times New Roman" w:hAnsi="Times New Roman"/>
          <w:sz w:val="20"/>
          <w:szCs w:val="20"/>
        </w:rPr>
        <w:t xml:space="preserve">: </w:t>
      </w:r>
      <w:hyperlink r:id="rId55">
        <w:r>
          <w:rPr>
            <w:rStyle w:val="Hyperlink"/>
            <w:rFonts w:eastAsia="Times New Roman" w:cs="Times New Roman" w:ascii="Times New Roman" w:hAnsi="Times New Roman"/>
            <w:color w:val="auto"/>
            <w:sz w:val="20"/>
            <w:szCs w:val="20"/>
            <w:u w:val="none"/>
            <w:lang w:val="en-US"/>
          </w:rPr>
          <w:t>Gulpat</w:t>
        </w:r>
        <w:r>
          <w:rPr>
            <w:rStyle w:val="Hyperlink"/>
            <w:rFonts w:eastAsia="Times New Roman" w:cs="Times New Roman" w:ascii="Times New Roman" w:hAnsi="Times New Roman"/>
            <w:color w:val="auto"/>
            <w:sz w:val="20"/>
            <w:szCs w:val="20"/>
            <w:u w:val="none"/>
          </w:rPr>
          <w:t>73@</w:t>
        </w:r>
        <w:r>
          <w:rPr>
            <w:rStyle w:val="Hyperlink"/>
            <w:rFonts w:eastAsia="Times New Roman" w:cs="Times New Roman" w:ascii="Times New Roman" w:hAnsi="Times New Roman"/>
            <w:color w:val="auto"/>
            <w:sz w:val="20"/>
            <w:szCs w:val="20"/>
            <w:u w:val="none"/>
            <w:lang w:val="en-US"/>
          </w:rPr>
          <w:t>mail</w:t>
        </w:r>
        <w:r>
          <w:rPr>
            <w:rStyle w:val="Hyperlink"/>
            <w:rFonts w:eastAsia="Times New Roman" w:cs="Times New Roman" w:ascii="Times New Roman" w:hAnsi="Times New Roman"/>
            <w:color w:val="auto"/>
            <w:sz w:val="20"/>
            <w:szCs w:val="20"/>
            <w:u w:val="none"/>
          </w:rPr>
          <w:t>.</w:t>
        </w:r>
        <w:r>
          <w:rPr>
            <w:rStyle w:val="Hyperlink"/>
            <w:rFonts w:eastAsia="Times New Roman" w:cs="Times New Roman" w:ascii="Times New Roman" w:hAnsi="Times New Roman"/>
            <w:color w:val="auto"/>
            <w:sz w:val="20"/>
            <w:szCs w:val="20"/>
            <w:u w:val="none"/>
            <w:lang w:val="en-US"/>
          </w:rPr>
          <w:t>ru</w:t>
        </w:r>
      </w:hyperlink>
      <w:r>
        <w:rPr>
          <w:rFonts w:eastAsia="Times New Roman" w:cs="Times New Roman" w:ascii="Times New Roman" w:hAnsi="Times New Roman"/>
          <w:sz w:val="20"/>
          <w:szCs w:val="20"/>
        </w:rPr>
        <w:t xml:space="preserve">. </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keepNext w:val="true"/>
        <w:keepLines/>
        <w:numPr>
          <w:ilvl w:val="0"/>
          <w:numId w:val="0"/>
        </w:numPr>
        <w:shd w:val="clear" w:color="auto" w:fill="FFFFFF"/>
        <w:spacing w:lineRule="auto" w:line="240" w:before="0" w:after="0"/>
        <w:outlineLvl w:val="0"/>
        <w:rPr>
          <w:rFonts w:ascii="Times New Roman" w:hAnsi="Times New Roman" w:eastAsia="Times New Roman" w:cs="Times New Roman"/>
          <w:caps/>
          <w:lang w:val="en-US" w:eastAsia="ru-RU"/>
        </w:rPr>
      </w:pPr>
      <w:r>
        <w:rPr>
          <w:rFonts w:eastAsia="Times New Roman" w:cs="Times New Roman" w:ascii="Times New Roman" w:hAnsi="Times New Roman"/>
          <w:spacing w:val="-2"/>
          <w:lang w:val="en-US"/>
        </w:rPr>
        <w:t>IRSTI</w:t>
      </w:r>
      <w:r>
        <w:rPr>
          <w:rFonts w:eastAsia="Times New Roman" w:cs="Times New Roman" w:ascii="Times New Roman" w:hAnsi="Times New Roman"/>
          <w:lang w:val="en-US"/>
        </w:rPr>
        <w:t xml:space="preserve"> </w:t>
      </w:r>
      <w:r>
        <w:rPr>
          <w:rFonts w:eastAsia="Times New Roman" w:cs="Times New Roman" w:ascii="Times New Roman" w:hAnsi="Times New Roman"/>
          <w:caps/>
          <w:lang w:val="en-US" w:eastAsia="ru-RU"/>
        </w:rPr>
        <w:t>06.71.57</w:t>
      </w:r>
    </w:p>
    <w:p>
      <w:pPr>
        <w:pStyle w:val="Normal"/>
        <w:spacing w:lineRule="auto" w:line="240" w:before="0" w:after="0"/>
        <w:jc w:val="both"/>
        <w:rPr>
          <w:rFonts w:ascii="Times New Roman" w:hAnsi="Times New Roman" w:eastAsia="Calibri" w:cs="Times New Roman"/>
          <w:sz w:val="24"/>
          <w:szCs w:val="24"/>
          <w:shd w:fill="FFFFFF" w:val="clear"/>
          <w:lang w:val="kk-KZ" w:eastAsia="ru-RU"/>
        </w:rPr>
      </w:pPr>
      <w:r>
        <w:rPr>
          <w:rFonts w:eastAsia="Calibri" w:cs="Times New Roman" w:ascii="Times New Roman" w:hAnsi="Times New Roman"/>
          <w:sz w:val="24"/>
          <w:szCs w:val="24"/>
          <w:shd w:fill="FFFFFF" w:val="clear"/>
          <w:lang w:val="kk-KZ" w:eastAsia="ru-RU"/>
        </w:rPr>
      </w:r>
    </w:p>
    <w:p>
      <w:pPr>
        <w:pStyle w:val="Normal"/>
        <w:spacing w:lineRule="auto" w:line="240" w:before="0" w:after="0"/>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val="en-US" w:eastAsia="ru-RU"/>
        </w:rPr>
        <w:t>DIGITAL EVOLUTION OF TOURISM: PERSONALIZATION OF SERVICES AS A COMPETITIVE FACTOR</w:t>
      </w:r>
    </w:p>
    <w:p>
      <w:pPr>
        <w:pStyle w:val="Normal"/>
        <w:spacing w:lineRule="auto" w:line="240" w:before="0" w:after="0"/>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val="en-US" w:eastAsia="ru-RU"/>
        </w:rPr>
      </w:r>
    </w:p>
    <w:p>
      <w:pPr>
        <w:pStyle w:val="Normal"/>
        <w:spacing w:lineRule="auto" w:line="240" w:before="0" w:after="0"/>
        <w:jc w:val="center"/>
        <w:rPr>
          <w:rFonts w:ascii="Times New Roman" w:hAnsi="Times New Roman" w:eastAsia="Times New Roman" w:cs="Times New Roman"/>
          <w:b/>
          <w:lang w:val="en-US" w:eastAsia="ru-RU"/>
        </w:rPr>
      </w:pPr>
      <w:r>
        <w:rPr>
          <w:rFonts w:eastAsia="Times New Roman" w:cs="Times New Roman" w:ascii="Times New Roman" w:hAnsi="Times New Roman"/>
          <w:b/>
          <w:lang w:val="kk-KZ" w:eastAsia="ru-RU"/>
        </w:rPr>
        <w:t>А.</w:t>
      </w:r>
      <w:r>
        <w:rPr>
          <w:rFonts w:eastAsia="Times New Roman" w:cs="Times New Roman" w:ascii="Times New Roman" w:hAnsi="Times New Roman"/>
          <w:b/>
          <w:lang w:val="en-US" w:eastAsia="ru-RU"/>
        </w:rPr>
        <w:t>S. Omarova</w:t>
      </w:r>
      <w:r>
        <w:rPr/>
        <w:drawing>
          <wp:inline distT="0" distB="0" distL="0" distR="0">
            <wp:extent cx="137160" cy="137160"/>
            <wp:effectExtent l="0" t="0" r="0" b="0"/>
            <wp:docPr id="9" name="Рисунок 12" descr="D:\Desktop\иконка.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2" descr="D:\Desktop\иконка.png">
                      <a:hlinkClick r:id="rId57"/>
                    </pic:cNvPr>
                    <pic:cNvPicPr>
                      <a:picLocks noChangeAspect="1" noChangeArrowheads="1"/>
                    </pic:cNvPicPr>
                  </pic:nvPicPr>
                  <pic:blipFill>
                    <a:blip r:embed="rId56"/>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vertAlign w:val="superscript"/>
          <w:lang w:val="en-US" w:eastAsia="ru-RU"/>
        </w:rPr>
        <w:sym w:font="Wingdings" w:char="f02a"/>
      </w:r>
      <w:r>
        <w:rPr>
          <w:rFonts w:eastAsia="Times New Roman" w:cs="Times New Roman" w:ascii="Times New Roman" w:hAnsi="Times New Roman"/>
          <w:b/>
          <w:lang w:val="kk-KZ" w:eastAsia="ru-RU"/>
        </w:rPr>
        <w:t xml:space="preserve">, </w:t>
      </w:r>
      <w:r>
        <w:rPr>
          <w:rFonts w:eastAsia="Times New Roman" w:cs="Times New Roman" w:ascii="Times New Roman" w:hAnsi="Times New Roman"/>
          <w:b/>
          <w:lang w:val="en-US" w:eastAsia="ru-RU"/>
        </w:rPr>
        <w:t>Z</w:t>
      </w:r>
      <w:r>
        <w:rPr>
          <w:rFonts w:eastAsia="Times New Roman" w:cs="Times New Roman" w:ascii="Times New Roman" w:hAnsi="Times New Roman"/>
          <w:b/>
          <w:lang w:val="kk-KZ" w:eastAsia="ru-RU"/>
        </w:rPr>
        <w:t>.</w:t>
      </w:r>
      <w:r>
        <w:rPr>
          <w:rFonts w:eastAsia="Times New Roman" w:cs="Times New Roman" w:ascii="Times New Roman" w:hAnsi="Times New Roman"/>
          <w:b/>
          <w:lang w:val="en-US" w:eastAsia="ru-RU"/>
        </w:rPr>
        <w:t>N. Borbasova</w:t>
      </w:r>
      <w:r>
        <w:rPr/>
        <w:drawing>
          <wp:inline distT="0" distB="0" distL="0" distR="0">
            <wp:extent cx="137160" cy="137160"/>
            <wp:effectExtent l="0" t="0" r="0" b="0"/>
            <wp:docPr id="10" name="Рисунок 13" descr="D:\Desktop\иконка.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3" descr="D:\Desktop\иконка.png">
                      <a:hlinkClick r:id="rId59"/>
                    </pic:cNvPr>
                    <pic:cNvPicPr>
                      <a:picLocks noChangeAspect="1" noChangeArrowheads="1"/>
                    </pic:cNvPicPr>
                  </pic:nvPicPr>
                  <pic:blipFill>
                    <a:blip r:embed="rId58"/>
                    <a:stretch>
                      <a:fillRect/>
                    </a:stretch>
                  </pic:blipFill>
                  <pic:spPr bwMode="auto">
                    <a:xfrm>
                      <a:off x="0" y="0"/>
                      <a:ext cx="137160" cy="137160"/>
                    </a:xfrm>
                    <a:prstGeom prst="rect">
                      <a:avLst/>
                    </a:prstGeom>
                    <a:noFill/>
                  </pic:spPr>
                </pic:pic>
              </a:graphicData>
            </a:graphic>
          </wp:inline>
        </w:drawing>
      </w:r>
      <w:r>
        <w:rPr>
          <w:rFonts w:eastAsia="Times New Roman" w:cs="Times New Roman" w:ascii="Times New Roman" w:hAnsi="Times New Roman"/>
          <w:b/>
          <w:lang w:val="kk-KZ" w:eastAsia="ru-RU"/>
        </w:rPr>
        <w:t xml:space="preserve">, </w:t>
      </w:r>
      <w:r>
        <w:rPr>
          <w:rFonts w:eastAsia="Times New Roman" w:cs="Times New Roman" w:ascii="Times New Roman" w:hAnsi="Times New Roman"/>
          <w:b/>
          <w:lang w:val="en-US" w:eastAsia="ru-RU"/>
        </w:rPr>
        <w:t>S</w:t>
      </w:r>
      <w:r>
        <w:rPr>
          <w:rFonts w:eastAsia="Times New Roman" w:cs="Times New Roman" w:ascii="Times New Roman" w:hAnsi="Times New Roman"/>
          <w:b/>
          <w:lang w:val="kk-KZ" w:eastAsia="ru-RU"/>
        </w:rPr>
        <w:t>.</w:t>
      </w:r>
      <w:r>
        <w:rPr>
          <w:rFonts w:eastAsia="Times New Roman" w:cs="Times New Roman" w:ascii="Times New Roman" w:hAnsi="Times New Roman"/>
          <w:b/>
          <w:lang w:val="en-US" w:eastAsia="ru-RU"/>
        </w:rPr>
        <w:t>N. Ulakov</w:t>
      </w:r>
      <w:r>
        <w:rPr/>
        <w:drawing>
          <wp:inline distT="0" distB="0" distL="0" distR="0">
            <wp:extent cx="137160" cy="137160"/>
            <wp:effectExtent l="0" t="0" r="0" b="0"/>
            <wp:docPr id="11" name="Рисунок 14" descr="D:\Desktop\иконка.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4" descr="D:\Desktop\иконка.png">
                      <a:hlinkClick r:id="rId61"/>
                    </pic:cNvPr>
                    <pic:cNvPicPr>
                      <a:picLocks noChangeAspect="1" noChangeArrowheads="1"/>
                    </pic:cNvPicPr>
                  </pic:nvPicPr>
                  <pic:blipFill>
                    <a:blip r:embed="rId60"/>
                    <a:stretch>
                      <a:fillRect/>
                    </a:stretch>
                  </pic:blipFill>
                  <pic:spPr bwMode="auto">
                    <a:xfrm>
                      <a:off x="0" y="0"/>
                      <a:ext cx="137160" cy="137160"/>
                    </a:xfrm>
                    <a:prstGeom prst="rect">
                      <a:avLst/>
                    </a:prstGeom>
                    <a:noFill/>
                  </pic:spPr>
                </pic:pic>
              </a:graphicData>
            </a:graphic>
          </wp:inline>
        </w:drawing>
      </w:r>
    </w:p>
    <w:p>
      <w:pPr>
        <w:pStyle w:val="Normal"/>
        <w:widowControl w:val="false"/>
        <w:spacing w:lineRule="auto" w:line="240" w:before="0" w:after="0"/>
        <w:jc w:val="center"/>
        <w:rPr>
          <w:rFonts w:ascii="Times New Roman" w:hAnsi="Times New Roman" w:eastAsia="Times New Roman" w:cs="Times New Roman"/>
          <w:bCs/>
          <w:i/>
          <w:i/>
          <w:sz w:val="20"/>
          <w:szCs w:val="20"/>
          <w:lang w:val="kk-KZ"/>
        </w:rPr>
      </w:pPr>
      <w:r>
        <w:rPr>
          <w:rFonts w:eastAsia="Times New Roman" w:cs="Times New Roman" w:ascii="Times New Roman" w:hAnsi="Times New Roman"/>
          <w:bCs/>
          <w:i/>
          <w:sz w:val="20"/>
          <w:szCs w:val="20"/>
          <w:lang w:val="kk-KZ"/>
        </w:rPr>
        <w:t xml:space="preserve">Karaganda University of </w:t>
      </w:r>
      <w:r>
        <w:rPr>
          <w:rFonts w:eastAsia="Times New Roman" w:cs="Times New Roman" w:ascii="Times New Roman" w:hAnsi="Times New Roman"/>
          <w:bCs/>
          <w:i/>
          <w:sz w:val="20"/>
          <w:szCs w:val="20"/>
          <w:lang w:val="en-US"/>
        </w:rPr>
        <w:t>K</w:t>
      </w:r>
      <w:r>
        <w:rPr>
          <w:rFonts w:eastAsia="Times New Roman" w:cs="Times New Roman" w:ascii="Times New Roman" w:hAnsi="Times New Roman"/>
          <w:bCs/>
          <w:i/>
          <w:sz w:val="20"/>
          <w:szCs w:val="20"/>
          <w:lang w:val="kk-KZ"/>
        </w:rPr>
        <w:t>azpotrebsoyuz, Karaganda, Kazakhstan</w:t>
      </w:r>
    </w:p>
    <w:p>
      <w:pPr>
        <w:pStyle w:val="Normal"/>
        <w:widowControl w:val="false"/>
        <w:spacing w:lineRule="auto" w:line="240" w:before="0" w:after="0"/>
        <w:jc w:val="center"/>
        <w:rPr>
          <w:rFonts w:ascii="Times New Roman" w:hAnsi="Times New Roman" w:eastAsia="Times New Roman" w:cs="Times New Roman"/>
          <w:bCs/>
          <w:i/>
          <w:i/>
          <w:sz w:val="20"/>
          <w:szCs w:val="20"/>
          <w:lang w:val="kk-KZ"/>
        </w:rPr>
      </w:pPr>
      <w:r>
        <w:rPr>
          <w:rFonts w:eastAsia="Times New Roman" w:cs="Times New Roman" w:ascii="Times New Roman" w:hAnsi="Times New Roman"/>
          <w:bCs/>
          <w:i/>
          <w:sz w:val="20"/>
          <w:szCs w:val="20"/>
          <w:lang w:val="kk-KZ"/>
        </w:rPr>
      </w:r>
    </w:p>
    <w:p>
      <w:pPr>
        <w:pStyle w:val="Normal"/>
        <w:spacing w:lineRule="auto" w:line="240" w:before="0" w:after="0"/>
        <w:jc w:val="both"/>
        <w:rPr>
          <w:rFonts w:ascii="Times New Roman" w:hAnsi="Times New Roman" w:eastAsia="Calibri" w:cs="Times New Roman"/>
          <w:shd w:fill="FFFFFF" w:val="clear"/>
          <w:lang w:val="en-US" w:eastAsia="ru-RU"/>
        </w:rPr>
      </w:pPr>
      <w:r>
        <w:rPr>
          <w:rFonts w:eastAsia="Wingdings" w:cs="Wingdings" w:ascii="Wingdings" w:hAnsi="Wingdings"/>
          <w:b/>
          <w:bCs/>
          <w:color w:val="1F497D"/>
          <w:vertAlign w:val="superscript"/>
          <w:lang w:val="en-US" w:eastAsia="ru-RU"/>
        </w:rPr>
        <w:sym w:font="Wingdings" w:char="f02a"/>
      </w:r>
      <w:r>
        <w:rPr>
          <w:rFonts w:eastAsia="Calibri" w:cs="Times New Roman" w:ascii="Times New Roman" w:hAnsi="Times New Roman"/>
          <w:shd w:fill="FFFFFF" w:val="clear"/>
          <w:lang w:val="en-US" w:eastAsia="ru-RU"/>
        </w:rPr>
        <w:t xml:space="preserve">Corresponding author: </w:t>
      </w:r>
      <w:hyperlink r:id="rId62">
        <w:r>
          <w:rPr>
            <w:rStyle w:val="Style3"/>
            <w:rFonts w:eastAsia="Calibri" w:cs="Times New Roman" w:ascii="Times New Roman" w:hAnsi="Times New Roman"/>
            <w:lang w:val="kk-KZ" w:eastAsia="ru-RU"/>
          </w:rPr>
          <w:t>aiganym128@mail.ru</w:t>
        </w:r>
      </w:hyperlink>
    </w:p>
    <w:p>
      <w:pPr>
        <w:pStyle w:val="Normal"/>
        <w:spacing w:lineRule="auto" w:line="240" w:before="0" w:after="0"/>
        <w:rPr>
          <w:rFonts w:ascii="Times New Roman" w:hAnsi="Times New Roman" w:eastAsia="Calibri" w:cs="Times New Roman"/>
          <w:i/>
          <w:i/>
          <w:sz w:val="24"/>
          <w:szCs w:val="24"/>
          <w:lang w:val="kk-KZ" w:eastAsia="ru-RU"/>
        </w:rPr>
      </w:pPr>
      <w:r>
        <w:rPr>
          <w:rFonts w:eastAsia="Calibri" w:cs="Times New Roman" w:ascii="Times New Roman" w:hAnsi="Times New Roman"/>
          <w:i/>
          <w:sz w:val="24"/>
          <w:szCs w:val="24"/>
          <w:lang w:val="kk-KZ" w:eastAsia="ru-RU"/>
        </w:rPr>
      </w:r>
    </w:p>
    <w:p>
      <w:pPr>
        <w:pStyle w:val="Normal"/>
        <w:pBdr/>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b/>
          <w:bCs/>
          <w:sz w:val="24"/>
          <w:szCs w:val="24"/>
          <w:lang w:val="en-US" w:eastAsia="ru-RU"/>
        </w:rPr>
      </w:pPr>
      <w:r>
        <w:rPr>
          <w:rFonts w:eastAsia="Times New Roman" w:cs="Times New Roman" w:ascii="Times New Roman" w:hAnsi="Times New Roman"/>
          <w:sz w:val="24"/>
          <w:szCs w:val="24"/>
          <w:lang w:val="en-US" w:eastAsia="ru-RU"/>
        </w:rPr>
        <w:t>The introduction of digital technologies in the tourism sector is developing rapidly, representing a key driver in its development strategy, which, in turn, contributes to the development of the domestic online services market. The subject of the article is the study of the impact of the digital transformation of the tourism sector on the operational efficiency and quality of tourist customer service.</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purpose of the work is to study the role of digital technologies in improving the services provided and the quality of services in the tourism sector of the economy.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features of the digital transformation of technological processes that unite the subjects of the tourist market are analyzed. The paper describes the use of digital tools that increase the efficiency of various processes in tourism. The article analyzes Kazakhstani and foreign scientific research on the issue of introducing digital technologies in the field of tourism and hospitality. The dominant innovative changes taking place in the business processes of enterprises of the tourism and hotel industry in connection with digitalization are revealed.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proposed measures, such as the creation of a unified tourism platform and the use of intelligent technologies in transport, hospitality and leisure and catering, are aimed at improving the infrastructure of the industry and increasing overall tourist satisfaction. For the development of tourism in Kazakhstan at the regional level, it is necessary to develop tourism products for their implementation in a new digital environment, revealing the potential and capabilities of each destination.</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bCs/>
          <w:sz w:val="24"/>
          <w:szCs w:val="24"/>
          <w:lang w:val="en-US" w:eastAsia="ru-RU"/>
        </w:rPr>
        <w:t>Keywords:</w:t>
      </w:r>
      <w:r>
        <w:rPr>
          <w:rFonts w:eastAsia="Times New Roman" w:cs="Times New Roman" w:ascii="Times New Roman" w:hAnsi="Times New Roman"/>
          <w:sz w:val="24"/>
          <w:szCs w:val="24"/>
          <w:lang w:val="en-US" w:eastAsia="ru-RU"/>
        </w:rPr>
        <w:t xml:space="preserve"> digital tourism ecosystem, tourism of Kazakhstan, digital platform, tourism business, innovative solutions, information system</w:t>
      </w:r>
      <w:r>
        <w:rPr>
          <w:rFonts w:eastAsia="Times New Roman" w:cs="Times New Roman" w:ascii="Times New Roman" w:hAnsi="Times New Roman"/>
          <w:sz w:val="24"/>
          <w:szCs w:val="24"/>
          <w:lang w:val="kk-KZ" w:eastAsia="ru-RU"/>
        </w:rPr>
        <w:t>.</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b/>
          <w:bCs/>
          <w:sz w:val="24"/>
          <w:szCs w:val="24"/>
          <w:lang w:val="en-US" w:eastAsia="ru-RU"/>
        </w:rPr>
      </w:pPr>
      <w:r>
        <w:rPr>
          <w:rFonts w:eastAsia="Times New Roman" w:cs="Times New Roman" w:ascii="Times New Roman" w:hAnsi="Times New Roman"/>
          <w:b/>
          <w:bCs/>
          <w:sz w:val="24"/>
          <w:szCs w:val="24"/>
          <w:lang w:val="en-US" w:eastAsia="ru-RU"/>
        </w:rPr>
      </w:r>
    </w:p>
    <w:p>
      <w:pPr>
        <w:pStyle w:val="Normal"/>
        <w:spacing w:lineRule="auto" w:line="240" w:before="0" w:after="0"/>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eastAsia="ru-RU"/>
        </w:rPr>
        <w:t>ТУРИЗМНІҢ</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ЦИФРЛЫҚ</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ЭВОЛЮЦИЯСЫ</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ҚЫЗМЕТТЕРДІ</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ЖЕКЕЛЕНДІРУ</w:t>
      </w:r>
      <w:r>
        <w:rPr>
          <w:rFonts w:eastAsia="Times New Roman" w:cs="Times New Roman" w:ascii="Times New Roman" w:hAnsi="Times New Roman"/>
          <w:b/>
          <w:bCs/>
          <w:lang w:val="en-US" w:eastAsia="ru-RU"/>
        </w:rPr>
        <w:t xml:space="preserve"> - </w:t>
      </w:r>
      <w:r>
        <w:rPr>
          <w:rFonts w:eastAsia="Times New Roman" w:cs="Times New Roman" w:ascii="Times New Roman" w:hAnsi="Times New Roman"/>
          <w:b/>
          <w:bCs/>
          <w:lang w:eastAsia="ru-RU"/>
        </w:rPr>
        <w:t>БӘСЕКЕГЕ</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ҚАБІЛЕТТІЛІК</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ФАКТОРЫ</w:t>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lang w:eastAsia="ru-RU"/>
        </w:rPr>
        <w:t>РЕТІНДЕ</w:t>
      </w:r>
    </w:p>
    <w:p>
      <w:pPr>
        <w:pStyle w:val="Normal"/>
        <w:spacing w:lineRule="auto" w:line="240" w:before="0" w:after="0"/>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val="en-US" w:eastAsia="ru-RU"/>
        </w:rPr>
      </w:r>
    </w:p>
    <w:p>
      <w:pPr>
        <w:pStyle w:val="Normal"/>
        <w:spacing w:lineRule="auto" w:line="240" w:before="0" w:after="0"/>
        <w:jc w:val="center"/>
        <w:rPr>
          <w:rFonts w:ascii="Times New Roman" w:hAnsi="Times New Roman" w:eastAsia="Times New Roman" w:cs="Times New Roman"/>
          <w:b/>
          <w:bCs/>
          <w:lang w:eastAsia="ru-RU"/>
        </w:rPr>
      </w:pPr>
      <w:r>
        <w:rPr>
          <w:rFonts w:eastAsia="Calibri" w:cs="Times New Roman" w:ascii="Times New Roman" w:hAnsi="Times New Roman"/>
          <w:b/>
          <w:lang w:val="kk-KZ" w:eastAsia="ru-RU"/>
        </w:rPr>
        <w:t>А.С. Омаров</w:t>
      </w:r>
      <w:r>
        <w:rPr>
          <w:rFonts w:eastAsia="Calibri" w:cs="Times New Roman" w:ascii="Times New Roman" w:hAnsi="Times New Roman"/>
          <w:b/>
          <w:bCs/>
          <w:color w:val="1F497D"/>
          <w:vertAlign w:val="superscript"/>
          <w:lang w:eastAsia="ru-RU"/>
        </w:rPr>
        <w:t xml:space="preserve"> </w:t>
      </w:r>
      <w:r>
        <w:rPr>
          <w:rFonts w:eastAsia="Wingdings" w:cs="Wingdings" w:ascii="Wingdings" w:hAnsi="Wingdings"/>
          <w:b/>
          <w:bCs/>
          <w:color w:val="1F497D"/>
          <w:vertAlign w:val="superscript"/>
          <w:lang w:val="en-US" w:eastAsia="ru-RU"/>
        </w:rPr>
        <w:sym w:font="Wingdings" w:char="f02a"/>
      </w:r>
      <w:r>
        <w:rPr>
          <w:rFonts w:eastAsia="Calibri" w:cs="Times New Roman" w:ascii="Times New Roman" w:hAnsi="Times New Roman"/>
          <w:b/>
          <w:lang w:val="kk-KZ" w:eastAsia="ru-RU"/>
        </w:rPr>
        <w:t>, З.Н. Борбасова, С.Н. Улаков</w:t>
      </w:r>
    </w:p>
    <w:p>
      <w:pPr>
        <w:pStyle w:val="Normal"/>
        <w:widowControl w:val="false"/>
        <w:spacing w:lineRule="auto" w:line="240" w:before="0" w:after="0"/>
        <w:jc w:val="center"/>
        <w:rPr>
          <w:rFonts w:ascii="Times New Roman" w:hAnsi="Times New Roman" w:eastAsia="Times New Roman" w:cs="Times New Roman"/>
          <w:bCs/>
          <w:i/>
          <w:i/>
          <w:sz w:val="20"/>
          <w:szCs w:val="20"/>
          <w:lang w:val="kk-KZ"/>
        </w:rPr>
      </w:pPr>
      <w:r>
        <w:rPr>
          <w:rFonts w:eastAsia="Times New Roman" w:cs="Times New Roman" w:ascii="Times New Roman" w:hAnsi="Times New Roman"/>
          <w:bCs/>
          <w:i/>
          <w:sz w:val="20"/>
          <w:szCs w:val="20"/>
          <w:lang w:val="kk-KZ"/>
        </w:rPr>
        <w:t>Қазтұтынуодағы Қарағанды университеті, Қарағанды, Қазақстан,</w:t>
      </w:r>
    </w:p>
    <w:p>
      <w:pPr>
        <w:pStyle w:val="Normal"/>
        <w:tabs>
          <w:tab w:val="clear" w:pos="708"/>
          <w:tab w:val="left" w:pos="709" w:leader="none"/>
          <w:tab w:val="left" w:pos="851" w:leader="none"/>
        </w:tabs>
        <w:spacing w:lineRule="auto" w:line="240" w:before="0" w:after="0"/>
        <w:ind w:firstLine="567"/>
        <w:jc w:val="center"/>
        <w:rPr>
          <w:rFonts w:ascii="Times New Roman" w:hAnsi="Times New Roman" w:eastAsia="Calibri" w:cs="Times New Roman"/>
          <w:lang w:val="kk-KZ" w:eastAsia="ru-RU"/>
        </w:rPr>
      </w:pPr>
      <w:r>
        <w:rPr>
          <w:rFonts w:eastAsia="Calibri" w:cs="Times New Roman" w:ascii="Times New Roman" w:hAnsi="Times New Roman"/>
          <w:shd w:fill="FFFFFF" w:val="clear"/>
          <w:lang w:val="kk-KZ" w:eastAsia="ru-RU"/>
        </w:rPr>
        <w:t xml:space="preserve">e-mail: </w:t>
      </w:r>
      <w:hyperlink r:id="rId63">
        <w:r>
          <w:rPr>
            <w:rStyle w:val="Style3"/>
            <w:rFonts w:eastAsia="Calibri" w:cs="Times New Roman" w:ascii="Times New Roman" w:hAnsi="Times New Roman"/>
            <w:lang w:val="kk-KZ" w:eastAsia="ru-RU"/>
          </w:rPr>
          <w:t>aiganym128@mail.ru</w:t>
        </w:r>
      </w:hyperlink>
    </w:p>
    <w:p>
      <w:pPr>
        <w:pStyle w:val="Normal"/>
        <w:tabs>
          <w:tab w:val="clear" w:pos="708"/>
          <w:tab w:val="left" w:pos="709" w:leader="none"/>
          <w:tab w:val="left" w:pos="851" w:leader="none"/>
        </w:tabs>
        <w:spacing w:lineRule="auto" w:line="240" w:before="0" w:after="0"/>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Туризм саласында цифрлық технологиялардың енгізілуі қарқынды дамып келеді және бұл саладағы даму стратегиясының негізгі қозғаушы күшіне айналуда. Бұл өз кезегінде отандық онлайн қызметтер нарығының дамуына ықпал етеді. Мақалада туризм секторының цифрлық трансформациясының операциялық тиімділік пен туристік қызмет көрсету сапасына әсері қарастырылады.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Жұмыстың мақсаты - экономикадағы туризм саласында көрсетілетін қызметтер мен олардың сапасын жақсартудағы цифрлық технологиялардың рөлін зерделеу.</w:t>
        <w:br/>
        <w:t>Туристік нарық субъектілерін біріктіретін технологиялық үдерістердің цифрлық трансформациясының ерекшеліктері талданады. Туризмдегі түрлі үдерістердің тиімділігін арттыратын цифрлық құралдарды қолдану сипатталады. Мақалада туризм және қонақжайлылық саласына цифрлық технологияларды енгізу мәселесі бойынша қазақстандық және шетелдік ғылыми зерттеулер талданады. Цифрландыруға байланысты туризм және қонақ үй бизнесі кәсіпорындарындағы іскерлік үдерістерде орын алып жатқан негізгі инновациялық өзгерістер ашып көрсетіледі.</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Біртұтас туристік платформаны құру, сондай-ақ көлік, қонақ үй, демалыс және қоғамдық тамақтану салаларында интеллектуалды технологияларды пайдалану сияқты ұсынылып отырған шаралар салалық инфрақұрылымды жақсартуға және туристердің жалпы қанағаттануын арттыруға бағытталған. Қазақстанда туризмді өңірлік деңгейде дамыту үшін әрбір дестинацияның әлеуеті мен мүмкіндіктерін ашатын жаңа цифрлық ортада іске асырылатын туристік өнімдерді әзірлеу қажет.</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bCs/>
          <w:sz w:val="24"/>
          <w:szCs w:val="24"/>
          <w:lang w:val="kk-KZ" w:eastAsia="ru-RU"/>
        </w:rPr>
        <w:t>Түйін сөздер:</w:t>
      </w:r>
      <w:r>
        <w:rPr>
          <w:rFonts w:eastAsia="Times New Roman" w:cs="Times New Roman" w:ascii="Times New Roman" w:hAnsi="Times New Roman"/>
          <w:sz w:val="24"/>
          <w:szCs w:val="24"/>
          <w:lang w:val="kk-KZ" w:eastAsia="ru-RU"/>
        </w:rPr>
        <w:t xml:space="preserve"> цифрлық туризм экожүйесі, Қазақстан туризмі, цифрлық платформа, туризм бизнесі, инновациялық шешімдер, ақпараттық жүйе.</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r>
    </w:p>
    <w:p>
      <w:pPr>
        <w:pStyle w:val="Normal"/>
        <w:tabs>
          <w:tab w:val="clear" w:pos="708"/>
          <w:tab w:val="left" w:pos="709" w:leader="none"/>
          <w:tab w:val="left" w:pos="851" w:leader="none"/>
        </w:tabs>
        <w:spacing w:lineRule="auto" w:line="240" w:before="0" w:after="0"/>
        <w:ind w:firstLine="567"/>
        <w:jc w:val="center"/>
        <w:rPr>
          <w:rFonts w:ascii="Times New Roman" w:hAnsi="Times New Roman" w:eastAsia="Calibri" w:cs="Times New Roman"/>
          <w:b/>
          <w:sz w:val="20"/>
          <w:szCs w:val="20"/>
          <w:lang w:eastAsia="ru-RU"/>
        </w:rPr>
      </w:pPr>
      <w:r>
        <w:rPr>
          <w:rFonts w:eastAsia="Calibri" w:cs="Times New Roman" w:ascii="Times New Roman" w:hAnsi="Times New Roman"/>
          <w:b/>
          <w:sz w:val="20"/>
          <w:szCs w:val="20"/>
          <w:lang w:eastAsia="ru-RU"/>
        </w:rPr>
        <w:t>ЦИФРОВАЯ ЭВОЛЮЦИЯ ТУРИЗМА: ПЕРСОНАЛИЗАЦИЯ УСЛУГ КАК ФАКТОР КОНКУРЕНТОСПОСОБНОСТИ</w:t>
      </w:r>
    </w:p>
    <w:p>
      <w:pPr>
        <w:pStyle w:val="Normal"/>
        <w:tabs>
          <w:tab w:val="clear" w:pos="708"/>
          <w:tab w:val="left" w:pos="709" w:leader="none"/>
          <w:tab w:val="left" w:pos="851" w:leader="none"/>
        </w:tabs>
        <w:spacing w:lineRule="auto" w:line="240" w:before="0" w:after="0"/>
        <w:ind w:firstLine="567"/>
        <w:jc w:val="center"/>
        <w:rPr>
          <w:rFonts w:ascii="Times New Roman" w:hAnsi="Times New Roman" w:eastAsia="Calibri" w:cs="Times New Roman"/>
          <w:b/>
          <w:sz w:val="20"/>
          <w:szCs w:val="20"/>
          <w:lang w:eastAsia="ru-RU"/>
        </w:rPr>
      </w:pPr>
      <w:r>
        <w:rPr>
          <w:rFonts w:eastAsia="Calibri" w:cs="Times New Roman" w:ascii="Times New Roman" w:hAnsi="Times New Roman"/>
          <w:b/>
          <w:sz w:val="20"/>
          <w:szCs w:val="20"/>
          <w:lang w:eastAsia="ru-RU"/>
        </w:rPr>
      </w:r>
    </w:p>
    <w:p>
      <w:pPr>
        <w:pStyle w:val="Normal"/>
        <w:tabs>
          <w:tab w:val="clear" w:pos="708"/>
          <w:tab w:val="left" w:pos="709" w:leader="none"/>
          <w:tab w:val="left" w:pos="851" w:leader="none"/>
        </w:tabs>
        <w:spacing w:lineRule="auto" w:line="240" w:before="0" w:after="0"/>
        <w:ind w:firstLine="567"/>
        <w:jc w:val="center"/>
        <w:rPr>
          <w:rFonts w:ascii="Times New Roman" w:hAnsi="Times New Roman" w:eastAsia="Calibri" w:cs="Times New Roman"/>
          <w:b/>
          <w:sz w:val="24"/>
          <w:szCs w:val="24"/>
          <w:lang w:eastAsia="ru-RU"/>
        </w:rPr>
      </w:pPr>
      <w:r>
        <w:rPr>
          <w:rFonts w:eastAsia="Calibri" w:cs="Times New Roman" w:ascii="Times New Roman" w:hAnsi="Times New Roman"/>
          <w:b/>
          <w:lang w:val="kk-KZ" w:eastAsia="ru-RU"/>
        </w:rPr>
        <w:t>А.С. Омарова</w:t>
      </w:r>
      <w:r>
        <w:rPr>
          <w:rFonts w:eastAsia="Wingdings" w:cs="Wingdings" w:ascii="Wingdings" w:hAnsi="Wingdings"/>
          <w:b/>
          <w:bCs/>
          <w:color w:val="1F497D"/>
          <w:vertAlign w:val="superscript"/>
          <w:lang w:val="en-US" w:eastAsia="ru-RU"/>
        </w:rPr>
        <w:sym w:font="Wingdings" w:char="f02a"/>
      </w:r>
      <w:r>
        <w:rPr>
          <w:rFonts w:eastAsia="Calibri" w:cs="Calibri" w:ascii="Calibri" w:hAnsi="Calibri"/>
          <w:lang w:val="kk-KZ" w:eastAsia="ru-RU"/>
        </w:rPr>
        <w:t xml:space="preserve">, </w:t>
      </w:r>
      <w:r>
        <w:rPr>
          <w:rFonts w:eastAsia="Calibri" w:cs="Times New Roman" w:ascii="Times New Roman" w:hAnsi="Times New Roman"/>
          <w:b/>
          <w:lang w:val="kk-KZ" w:eastAsia="ru-RU"/>
        </w:rPr>
        <w:t>З.Н.Борбасова, С.Н. Улаков</w:t>
      </w:r>
    </w:p>
    <w:p>
      <w:pPr>
        <w:pStyle w:val="Normal"/>
        <w:widowControl w:val="false"/>
        <w:spacing w:lineRule="auto" w:line="240" w:before="0" w:after="0"/>
        <w:jc w:val="center"/>
        <w:rPr>
          <w:rFonts w:ascii="Times New Roman" w:hAnsi="Times New Roman" w:eastAsia="Times New Roman" w:cs="Times New Roman"/>
          <w:bCs/>
          <w:i/>
          <w:i/>
          <w:sz w:val="20"/>
          <w:szCs w:val="20"/>
          <w:lang w:val="kk-KZ"/>
        </w:rPr>
      </w:pPr>
      <w:r>
        <w:rPr>
          <w:rFonts w:eastAsia="Times New Roman" w:cs="Times New Roman" w:ascii="Times New Roman" w:hAnsi="Times New Roman"/>
          <w:bCs/>
          <w:i/>
          <w:sz w:val="20"/>
          <w:szCs w:val="20"/>
          <w:lang w:val="kk-KZ"/>
        </w:rPr>
        <w:t>Карагандинский университет Казпотребсоюза, Караганда, Казахстан,</w:t>
      </w:r>
    </w:p>
    <w:p>
      <w:pPr>
        <w:pStyle w:val="Normal"/>
        <w:tabs>
          <w:tab w:val="clear" w:pos="708"/>
          <w:tab w:val="left" w:pos="709" w:leader="none"/>
          <w:tab w:val="left" w:pos="851" w:leader="none"/>
        </w:tabs>
        <w:spacing w:lineRule="auto" w:line="240" w:before="0" w:after="0"/>
        <w:ind w:firstLine="567"/>
        <w:jc w:val="center"/>
        <w:rPr>
          <w:rFonts w:ascii="Times New Roman" w:hAnsi="Times New Roman" w:eastAsia="Calibri" w:cs="Times New Roman"/>
          <w:sz w:val="20"/>
          <w:szCs w:val="20"/>
          <w:lang w:eastAsia="ru-RU"/>
        </w:rPr>
      </w:pPr>
      <w:r>
        <w:rPr>
          <w:rFonts w:eastAsia="Calibri" w:cs="Times New Roman" w:ascii="Times New Roman" w:hAnsi="Times New Roman"/>
          <w:sz w:val="20"/>
          <w:szCs w:val="20"/>
          <w:shd w:fill="FFFFFF" w:val="clear"/>
          <w:lang w:val="kk-KZ" w:eastAsia="ru-RU"/>
        </w:rPr>
        <w:t>e-mail:</w:t>
      </w:r>
      <w:r>
        <w:rPr>
          <w:rFonts w:eastAsia="Calibri" w:cs="Times New Roman" w:ascii="Times New Roman" w:hAnsi="Times New Roman"/>
          <w:sz w:val="20"/>
          <w:szCs w:val="20"/>
          <w:shd w:fill="FFFFFF" w:val="clear"/>
          <w:lang w:eastAsia="ru-RU"/>
        </w:rPr>
        <w:t xml:space="preserve"> </w:t>
      </w:r>
      <w:hyperlink r:id="rId64">
        <w:r>
          <w:rPr>
            <w:rStyle w:val="Style3"/>
            <w:rFonts w:eastAsia="Calibri" w:cs="Times New Roman" w:ascii="Times New Roman" w:hAnsi="Times New Roman"/>
            <w:sz w:val="20"/>
            <w:szCs w:val="20"/>
            <w:lang w:val="kk-KZ" w:eastAsia="ru-RU"/>
          </w:rPr>
          <w:t>aiganym128@mail.ru</w:t>
        </w:r>
      </w:hyperlink>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eastAsia="ru-RU"/>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Внедрение цифровых технологий в туристическую сферу стремительно развивается и становится ключевым фактором стратегии её роста, способствуя развитию внутреннего рынка онлайн-услуг. Предметом статьи является исследование влияния цифровой трансформации туристического сектора на операционную эффективность и качество обслуживания туристов.</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Цель работы – изучить роль цифровых технологий в повышении качества и уровня предоставляемых услуг в туристической отрасли. Проанализированы особенности цифровой трансформации технологических процессов, объединяющих участников туристического рынка. В работе рассмотрено применение цифровых инструментов, способствующих повышению эффективности различных процессов в туризме. Также проводится анализ казахстанских и зарубежных научных исследований по вопросам внедрения цифровых решений в туризме и индустрии гостеприимства. Выявлены ключевые инновационные изменения в бизнес-процессах предприятий туризма и гостиничного сектора, происходящие в условиях цифровизации.</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Предложенные меры, такие как создание единой туристской платформы и использование интеллектуальных технологий в транспорте, сфере гостеприимства, досуга и общественного питания, направлены на совершенствование инфраструктуры и повышение уровня удовлетворенности туристов. Для развития туризма на региональном уровне в Казахстане необходимо разрабатывать туристские продукты, адаптированные к новым условиям цифровой среды, с учетом потенциала каждой дестинации.</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t>Ключевые слова:</w:t>
      </w:r>
      <w:r>
        <w:rPr>
          <w:rFonts w:eastAsia="Times New Roman" w:cs="Times New Roman" w:ascii="Times New Roman" w:hAnsi="Times New Roman"/>
          <w:sz w:val="24"/>
          <w:szCs w:val="24"/>
          <w:lang w:eastAsia="ru-RU"/>
        </w:rPr>
        <w:t xml:space="preserve"> цифровая экосистема туризма, туризм Казахстана, цифровая платформа, туристический бизнес, инновационные решения, информационная система.</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tabs>
          <w:tab w:val="clear" w:pos="708"/>
          <w:tab w:val="left" w:pos="709" w:leader="none"/>
          <w:tab w:val="left" w:pos="851" w:leader="none"/>
        </w:tabs>
        <w:spacing w:lineRule="auto" w:line="240" w:before="0" w:after="0"/>
        <w:ind w:firstLine="567"/>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eastAsia="ru-RU"/>
        </w:rPr>
        <w:tab/>
      </w:r>
      <w:r>
        <w:rPr>
          <w:rFonts w:eastAsia="Times New Roman" w:cs="Times New Roman" w:ascii="Times New Roman" w:hAnsi="Times New Roman"/>
          <w:b/>
          <w:bCs/>
          <w:sz w:val="24"/>
          <w:szCs w:val="24"/>
          <w:lang w:val="en-US" w:eastAsia="ru-RU"/>
        </w:rPr>
        <w:t>Introduction.</w:t>
      </w:r>
      <w:r>
        <w:rPr>
          <w:rFonts w:eastAsia="Times New Roman" w:cs="Times New Roman" w:ascii="Times New Roman" w:hAnsi="Times New Roman"/>
          <w:b/>
          <w:bCs/>
          <w:sz w:val="24"/>
          <w:szCs w:val="24"/>
          <w:lang w:val="kk-KZ" w:eastAsia="ru-RU"/>
        </w:rPr>
        <w:t xml:space="preserve"> </w:t>
      </w:r>
      <w:r>
        <w:rPr>
          <w:rFonts w:eastAsia="Times New Roman" w:cs="Times New Roman" w:ascii="Times New Roman" w:hAnsi="Times New Roman"/>
          <w:sz w:val="24"/>
          <w:szCs w:val="24"/>
          <w:lang w:val="en-US" w:eastAsia="ru-RU"/>
        </w:rPr>
        <w:t xml:space="preserve">The impact of technology on the tourism industry is important in today’s rapidly changing environment. As digitalization becomes more widespread, the number of traditional travel agencies is decreasing, and the number of online travel agencies (OTA) is increasing. This change not only affects economic relations within the industry, but also highlights the need to adapt to technological advances in order to remain competitive. In addition, the rapid development of technology, including mobile apps, websites and social media, is changing the way consumers interact with travel services and make travel decisions. It is extremely important for enterprises to actively implement information technology (IT) to improve the quality of service and meet the changing expectations of consumers.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main types of digital transformation that are actively used today in the tourism market of the Republic of Kazakhstan:</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 Online booking;</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 Mobile applications;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3. Big Data Analytics;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4. Artificial intelligence and chatbots;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5. Customer Relationship Management (CRM) Systems;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6. Blockchain technologies;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7. Internet of Things (IoT);</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8. Virtual and Augmented Reality (VR/AR).</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en-US" w:eastAsia="ru-RU"/>
        </w:rPr>
        <w:t xml:space="preserve">Research aimed at understanding the impact of technology on the tourism industry and offering new solutions is needed to inform practice and bring positive changes to the sector. These changes not only affect economic relations within the industry, but also highlight the need to adapt to technological advances in order to remain competitive. In this study, our goal was to show how the integration of digital solutions into the management of travel services can significantly improve the quality and efficiency of services provided. It is aimed at understanding the impact of digital transformation on the tourism industry and offering new solutions necessary to inform practice and make positive changes in the tourism industry of Kazakhstan.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val="en-US" w:eastAsia="ru-RU"/>
        </w:rPr>
        <w:t>Literature review.</w:t>
      </w:r>
      <w:r>
        <w:rPr>
          <w:rFonts w:eastAsia="Times New Roman" w:cs="Times New Roman" w:ascii="Times New Roman" w:hAnsi="Times New Roman"/>
          <w:b/>
          <w:bCs/>
          <w:sz w:val="24"/>
          <w:szCs w:val="24"/>
          <w:lang w:val="kk-KZ" w:eastAsia="ru-RU"/>
        </w:rPr>
        <w:t xml:space="preserve"> </w:t>
      </w:r>
      <w:r>
        <w:rPr>
          <w:rFonts w:eastAsia="Times New Roman" w:cs="Times New Roman" w:ascii="Times New Roman" w:hAnsi="Times New Roman"/>
          <w:sz w:val="24"/>
          <w:szCs w:val="24"/>
          <w:lang w:val="en-US" w:eastAsia="ru-RU"/>
        </w:rPr>
        <w:t>In recent years, open sources have provided sufficient data on the results of targeted studies of digital transformation in the tourism industry by both foreign and Kazakhstani researchers.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McKinsey report "The Future of Tourism" (2024) outlines how the development of digital technologies has led to new ways to increase customer satisfaction and optimize travel services</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val="kk-KZ" w:eastAsia="ru-RU"/>
        </w:rPr>
        <w:t>1</w:t>
      </w:r>
      <w:r>
        <w:rPr>
          <w:rFonts w:eastAsia="Times New Roman" w:cs="Times New Roman" w:ascii="Times New Roman" w:hAnsi="Times New Roman"/>
          <w:sz w:val="24"/>
          <w:szCs w:val="24"/>
          <w:lang w:val="en-US" w:eastAsia="ru-RU"/>
        </w:rPr>
        <w:t>].</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Travelport Digital Traveler Survey (2019) highlights the role of mobile apps in travel. The study shows that travelers are increasingly relying on mobile apps to book, communicate and receive real-time updates, making them essential tools for improving the quality of service in the travel industry. This trend is especially noticeable in emerging markets such as Kazakhstan, where mobile applications have become an integral part for both tourists and businesses [</w:t>
      </w:r>
      <w:r>
        <w:rPr>
          <w:rFonts w:eastAsia="Times New Roman" w:cs="Times New Roman" w:ascii="Times New Roman" w:hAnsi="Times New Roman"/>
          <w:sz w:val="24"/>
          <w:szCs w:val="24"/>
          <w:lang w:val="kk-KZ" w:eastAsia="ru-RU"/>
        </w:rPr>
        <w:t>2</w:t>
      </w:r>
      <w:r>
        <w:rPr>
          <w:rFonts w:eastAsia="Times New Roman" w:cs="Times New Roman" w:ascii="Times New Roman" w:hAnsi="Times New Roman"/>
          <w:sz w:val="24"/>
          <w:szCs w:val="24"/>
          <w:lang w:val="en-US" w:eastAsia="ru-RU"/>
        </w:rPr>
        <w:t>]. The data provided by Statista (2023) also reflects the growing trend in the use of mobile applications and digital platforms in the tourism sector. This digital shift in consumer behavior is also observed in Kazakhstan, where the number of downloaded travel and tourism applications has increased dramatically, which indicates the importance of mobile solutions in the tourism market [</w:t>
      </w:r>
      <w:r>
        <w:rPr>
          <w:rFonts w:eastAsia="Times New Roman" w:cs="Times New Roman" w:ascii="Times New Roman" w:hAnsi="Times New Roman"/>
          <w:sz w:val="24"/>
          <w:szCs w:val="24"/>
          <w:lang w:val="kk-KZ" w:eastAsia="ru-RU"/>
        </w:rPr>
        <w:t>3</w:t>
      </w:r>
      <w:r>
        <w:rPr>
          <w:rFonts w:eastAsia="Times New Roman" w:cs="Times New Roman" w:ascii="Times New Roman" w:hAnsi="Times New Roman"/>
          <w:sz w:val="24"/>
          <w:szCs w:val="24"/>
          <w:lang w:val="en-US" w:eastAsia="ru-RU"/>
        </w:rPr>
        <w:t xml:space="preserve">].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study by A. Abuev, analyst at Freedom Finance Global, on tourism in Kazakhstan contains a comprehensive analysis of the problems and opportunities of the industry (2024) [</w:t>
      </w:r>
      <w:r>
        <w:rPr>
          <w:rFonts w:eastAsia="Times New Roman" w:cs="Times New Roman" w:ascii="Times New Roman" w:hAnsi="Times New Roman"/>
          <w:sz w:val="24"/>
          <w:szCs w:val="24"/>
          <w:lang w:val="kk-KZ" w:eastAsia="ru-RU"/>
        </w:rPr>
        <w:t>4</w:t>
      </w:r>
      <w:r>
        <w:rPr>
          <w:rFonts w:eastAsia="Times New Roman" w:cs="Times New Roman" w:ascii="Times New Roman" w:hAnsi="Times New Roman"/>
          <w:sz w:val="24"/>
          <w:szCs w:val="24"/>
          <w:lang w:val="en-US" w:eastAsia="ru-RU"/>
        </w:rPr>
        <w:t>]. In addition, the "Concept for the development of the tourism sector of Kazakhstan for 2023-2029" emphasizes the government's commitment to stimulating innovation and improving the ecosystem of digital tourism</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en-US" w:eastAsia="ru-RU"/>
        </w:rPr>
        <w:t>[5].</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 their works on the ecosystem of digital tourism in Kazakhstan, D.G.Mamraeva and L.V.Tashenova, Borbasova Z.N., Grebenyuk D.D. explore how innovative digital solutions increase business efficiency in the sector.  This, in turn, gave them the opportunity, based on existing digital solutions in the tourism market of Kazakhstan, to present its unified digital ecosystem. The authors also provide examples of implemented "smart technologies" in tourism in Kazakhstan [6].</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It is shown how the introduction of digital tools, such as contactless payment systems and online booking platforms, transforms the operational side of travel services</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en-US" w:eastAsia="ru-RU"/>
        </w:rPr>
        <w:t xml:space="preserve">[7]. Their research points to the success of platforms such as eQonaq, which registered a significant number of tourists in 2023-2024, demonstrating a growing dependence on digital infrastructure to manage tourist flows [8].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Kazakhstan's civil aviation sector is also benefiting from the transition to digital technologies. Kalekeeva M. et al. (2024) based on data from the Civil Aviation Committee, they indicate an increase in passenger traffic at airports in the period from 2019 to 2023, which once again emphasizes the role of digital platforms in managing large flows of tourists and improving the quality of service at key transit points [9]. </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 conclusion, it should be noted that, judging by the volume and intensity of publication in various sources, the integration of digital solutions into the management of tourist services has significantly improved the quality and efficiency of the services provided. The future of tourism in the digital economy, as noted in most of them, is likely to continue to be determined by these technological advances, which will further improve the quality of services provided and the economic growth of the industry.</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val="en-US" w:eastAsia="ru-RU"/>
        </w:rPr>
        <w:t>Materials and Methods.</w:t>
      </w:r>
      <w:r>
        <w:rPr>
          <w:rFonts w:eastAsia="Times New Roman" w:cs="Times New Roman" w:ascii="Times New Roman" w:hAnsi="Times New Roman"/>
          <w:sz w:val="24"/>
          <w:szCs w:val="24"/>
          <w:lang w:val="en-US" w:eastAsia="ru-RU"/>
        </w:rPr>
        <w:t xml:space="preserve"> The accepted research method consists of analyzing quantitative and qualitative market data, as well as observing the main actual trends in a comparative perspective.</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following methods were used in the course of the study: monographic, economic and statistical, analytical, comparative. The article uses general scientific methods, in particular the method of content analysis, which allowed analyzing an array of information from theoretical approaches to digitalization and digital technologies in tourism to digital platforms and specialized programs for the development of tourist routes, as well as the method of graphical interpretation. The article clearly presents examples and directions of the use of digital technologies in the tourism industry, in particular BigData, AR/VR, Blockchain, IoT, portals for the development of tourist routes, mobile applications. Further, it analyzes how the tourism sector has changed under the influence of digitalization, highlights the main trends, concludes about the difficulties and directions of digitalization, highlights promising digital technologies of the tourism business, and summarizes the main ideas of the study.</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val="en-US" w:eastAsia="ru-RU"/>
        </w:rPr>
        <w:t>Results and Discussions.</w:t>
      </w:r>
      <w:r>
        <w:rPr>
          <w:rFonts w:eastAsia="Times New Roman" w:cs="Times New Roman" w:ascii="Times New Roman" w:hAnsi="Times New Roman"/>
          <w:sz w:val="24"/>
          <w:szCs w:val="24"/>
          <w:lang w:val="en-US" w:eastAsia="ru-RU"/>
        </w:rPr>
        <w:t xml:space="preserve"> The tourism sector is, first of all, one of the fastest growing industries in the world. The development of technology encourages travel destinations and the hospitality industry to optimize business development decisions and improve the quality of travel services. It is so widespread that, according to a Google Travel study, 74% of vacationers plan their trips using the Internet, while only 13% still use travel services to organize them [6]. Thanks to the use of mobile applications, contactless payment systems and data-based analytical information, the tourism sector is better adapted to meet the changing needs of modern travelers, which is evident both from global trends and from the specifics of Kazakhstan. Technology has helped to reduce costs, improve operational efficiency, and improve customer offerings and understanding. Thanks to this, both travelers and businessmen can benefit from advanced communication, booking and visitor service systems.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operational effectiveness of digitalization processes in tourism can be highlighted through several key aspects: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1. Automation of processes:</w:t>
      </w:r>
    </w:p>
    <w:p>
      <w:pPr>
        <w:pStyle w:val="Normal"/>
        <w:numPr>
          <w:ilvl w:val="0"/>
          <w:numId w:val="1"/>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cost reduction: automation of routine tasks such as booking and inventory management, etc.;</w:t>
      </w:r>
    </w:p>
    <w:p>
      <w:pPr>
        <w:pStyle w:val="Normal"/>
        <w:numPr>
          <w:ilvl w:val="0"/>
          <w:numId w:val="1"/>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fcceleration of processing: fast processing of requests and payments.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2. Supply chain optimization:</w:t>
      </w:r>
    </w:p>
    <w:p>
      <w:pPr>
        <w:pStyle w:val="Normal"/>
        <w:numPr>
          <w:ilvl w:val="0"/>
          <w:numId w:val="2"/>
        </w:numPr>
        <w:tabs>
          <w:tab w:val="clear" w:pos="708"/>
          <w:tab w:val="left" w:pos="851" w:leader="none"/>
          <w:tab w:val="left" w:pos="993"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system integration: using digital platforms to integrate various service providers (hotels, airlines, etc.);</w:t>
      </w:r>
    </w:p>
    <w:p>
      <w:pPr>
        <w:pStyle w:val="Normal"/>
        <w:numPr>
          <w:ilvl w:val="0"/>
          <w:numId w:val="2"/>
        </w:numPr>
        <w:tabs>
          <w:tab w:val="clear" w:pos="708"/>
          <w:tab w:val="left" w:pos="851" w:leader="none"/>
          <w:tab w:val="left" w:pos="993"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inventory management: optimal resource management.</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3. Data analysis and business intelligence:</w:t>
      </w:r>
    </w:p>
    <w:p>
      <w:pPr>
        <w:pStyle w:val="Normal"/>
        <w:numPr>
          <w:ilvl w:val="0"/>
          <w:numId w:val="2"/>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informed decision-making: using analytics to assess consumer behavior and market trends; </w:t>
      </w:r>
    </w:p>
    <w:p>
      <w:pPr>
        <w:pStyle w:val="Normal"/>
        <w:numPr>
          <w:ilvl w:val="0"/>
          <w:numId w:val="2"/>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increased flexibility: quick access to data.</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4. Personalization of services:</w:t>
      </w:r>
    </w:p>
    <w:p>
      <w:pPr>
        <w:pStyle w:val="Normal"/>
        <w:numPr>
          <w:ilvl w:val="0"/>
          <w:numId w:val="3"/>
        </w:numPr>
        <w:tabs>
          <w:tab w:val="clear" w:pos="708"/>
          <w:tab w:val="left" w:pos="851" w:leader="none"/>
          <w:tab w:val="left" w:pos="993"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increase customer loyalty;</w:t>
      </w:r>
    </w:p>
    <w:p>
      <w:pPr>
        <w:pStyle w:val="Normal"/>
        <w:numPr>
          <w:ilvl w:val="0"/>
          <w:numId w:val="3"/>
        </w:numPr>
        <w:tabs>
          <w:tab w:val="clear" w:pos="708"/>
          <w:tab w:val="left" w:pos="851" w:leader="none"/>
          <w:tab w:val="left" w:pos="993"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marketing optimization: improving the effectiveness of marketing campaigns.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i/>
          <w:sz w:val="24"/>
          <w:szCs w:val="24"/>
          <w:lang w:val="en-US" w:eastAsia="ru-RU"/>
        </w:rPr>
        <w:t>5. Customer Relationship Management (CRM) systems</w:t>
      </w:r>
      <w:r>
        <w:rPr>
          <w:rFonts w:eastAsia="Times New Roman" w:cs="Times New Roman" w:ascii="Times New Roman" w:hAnsi="Times New Roman"/>
          <w:sz w:val="24"/>
          <w:szCs w:val="24"/>
          <w:lang w:val="en-US" w:eastAsia="ru-RU"/>
        </w:rPr>
        <w:t>:</w:t>
      </w:r>
    </w:p>
    <w:p>
      <w:pPr>
        <w:pStyle w:val="Normal"/>
        <w:numPr>
          <w:ilvl w:val="0"/>
          <w:numId w:val="4"/>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improved interaction: made it possible to effectively manage customer contacts and track their preferences;</w:t>
      </w:r>
    </w:p>
    <w:p>
      <w:pPr>
        <w:pStyle w:val="Normal"/>
        <w:numPr>
          <w:ilvl w:val="0"/>
          <w:numId w:val="4"/>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reduced staff turnover.</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6. Mobile technologies:</w:t>
      </w:r>
    </w:p>
    <w:p>
      <w:pPr>
        <w:pStyle w:val="Normal"/>
        <w:numPr>
          <w:ilvl w:val="0"/>
          <w:numId w:val="5"/>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accessibility of information: Mobile applications provide information to customers (anytime, anywhere);</w:t>
      </w:r>
    </w:p>
    <w:p>
      <w:pPr>
        <w:pStyle w:val="Normal"/>
        <w:numPr>
          <w:ilvl w:val="0"/>
          <w:numId w:val="5"/>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increased sales: convenience of mobile booking.</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7. Innovations and new technologies: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adaptation to the market: introduction of new technologies (for example, artificial intelligence, blockchain); </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risk reduction: the use of technologies to monitor and manage risks (for example, related to data security).</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next technology is apps, especially mobile travel apps, which have made booking and other travel-related tasks much easier by changing the way people plan and receive their travel experiences. Tourists rely on mobile apps to address issues such as language barriers, cultural differences, and isolation while traveling. Considering that in 2019, more than one billion users of mobile travel applications, approximately 1.5 billion people traveled and about 65% of them used smartphones to book, the impact of these applications on tourism is undeniable [8].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en-US" w:eastAsia="ru-RU"/>
        </w:rPr>
        <w:t>More than 60% of users use mobile travel apps when planning their trips, which makes it easier and more convenient. Between 2023 and 2024, the most downloaded travel apps in the world, based on the cumulative number of downloads (in millions) on the part of Statista, they demonstrate the diverse needs of travelers around the world. So, Google Maps is in the lead with 113 million downloads, followed by Uber with 107, Booking.com With 80, Airbnb with 52 million downloads, followed by Google Earth and Where is My Train reaching 51 and 46 million downloads respectively. The figures reflect the widespread use of travel applications in various aspects of travel, from navigation to accommodation and transportation (Figure 1).</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drawing>
          <wp:inline distT="0" distB="0" distL="0" distR="0">
            <wp:extent cx="5765800" cy="3086100"/>
            <wp:effectExtent l="0" t="0" r="0" b="0"/>
            <wp:docPr id="12" name="Диаграмма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pPr>
        <w:pStyle w:val="Normal"/>
        <w:spacing w:lineRule="auto" w:line="240" w:before="0" w:after="0"/>
        <w:ind w:firstLine="567"/>
        <w:jc w:val="center"/>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en-US" w:eastAsia="ru-RU"/>
        </w:rPr>
      </w:r>
    </w:p>
    <w:p>
      <w:pPr>
        <w:pStyle w:val="Normal"/>
        <w:spacing w:lineRule="auto" w:line="240" w:before="0" w:after="0"/>
        <w:ind w:firstLine="567"/>
        <w:jc w:val="center"/>
        <w:rPr>
          <w:rFonts w:ascii="Times New Roman" w:hAnsi="Times New Roman" w:eastAsia="Times New Roman" w:cs="Times New Roman"/>
          <w:b/>
          <w:sz w:val="20"/>
          <w:szCs w:val="20"/>
          <w:lang w:val="en-US" w:eastAsia="ru-RU"/>
        </w:rPr>
      </w:pPr>
      <w:r>
        <w:rPr>
          <w:rFonts w:eastAsia="Times New Roman" w:cs="Times New Roman" w:ascii="Times New Roman" w:hAnsi="Times New Roman"/>
          <w:b/>
          <w:sz w:val="20"/>
          <w:szCs w:val="20"/>
          <w:lang w:val="en-US" w:eastAsia="ru-RU"/>
        </w:rPr>
        <w:t xml:space="preserve">Fig.1 - </w:t>
      </w:r>
      <w:r>
        <w:rPr>
          <w:rFonts w:eastAsia="Times New Roman" w:cs="Times New Roman" w:ascii="Times New Roman" w:hAnsi="Times New Roman"/>
          <w:b/>
          <w:bCs/>
          <w:sz w:val="20"/>
          <w:szCs w:val="20"/>
          <w:lang w:val="en-US" w:eastAsia="ru-RU"/>
        </w:rPr>
        <w:t>The most downloaded travel apps in the world in 2023-2024, by total number of downloads (in millions)</w:t>
      </w:r>
    </w:p>
    <w:p>
      <w:pPr>
        <w:pStyle w:val="Normal"/>
        <w:spacing w:lineRule="auto" w:line="240" w:before="0" w:after="0"/>
        <w:ind w:firstLine="709"/>
        <w:jc w:val="center"/>
        <w:rPr>
          <w:rFonts w:ascii="Times New Roman" w:hAnsi="Times New Roman" w:eastAsia="Times New Roman" w:cs="Times New Roman"/>
          <w:i/>
          <w:i/>
          <w:iCs/>
          <w:sz w:val="20"/>
          <w:szCs w:val="20"/>
          <w:lang w:val="en-US" w:eastAsia="ru-RU"/>
        </w:rPr>
      </w:pPr>
      <w:r>
        <w:rPr>
          <w:rFonts w:eastAsia="Calibri" w:cs="Times New Roman" w:ascii="Times New Roman" w:hAnsi="Times New Roman"/>
          <w:i/>
          <w:sz w:val="20"/>
          <w:szCs w:val="20"/>
          <w:shd w:fill="FFFFFF" w:val="clear"/>
          <w:lang w:val="en-US" w:eastAsia="ru-RU"/>
        </w:rPr>
        <w:t xml:space="preserve">Note: </w:t>
      </w:r>
      <w:r>
        <w:rPr>
          <w:rFonts w:eastAsia="Times New Roman" w:cs="Times New Roman" w:ascii="Times New Roman" w:hAnsi="Times New Roman"/>
          <w:i/>
          <w:iCs/>
          <w:sz w:val="20"/>
          <w:szCs w:val="20"/>
          <w:lang w:val="en-US" w:eastAsia="ru-RU"/>
        </w:rPr>
        <w:t xml:space="preserve">Complied by the authors based on the official website of the </w:t>
      </w:r>
      <w:r>
        <w:rPr>
          <w:rFonts w:eastAsia="Times New Roman" w:cs="Times New Roman" w:ascii="Times New Roman" w:hAnsi="Times New Roman"/>
          <w:i/>
          <w:sz w:val="20"/>
          <w:szCs w:val="20"/>
          <w:lang w:val="en-US" w:eastAsia="ru-RU"/>
        </w:rPr>
        <w:t>Statista [3]</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 terms of market share in both the US and Europe, Uber retained a significant market share in 2023: 10% in the USA and 18% in Europe. Booking.com It dominates the US market with a market share of 7% and 14% in Europe, demonstrating its popularity as a housing booking platform. In addition, Airbnb has a significant market share in both regions: 6% in the United States and 7% in Europe. Other notable players include Vrbo and Expedia in the United States, as well as Bolt and Ryanair in Europe, each contributing to the comprehensive travel industry (Figure 2).</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709"/>
        <w:rPr>
          <w:rFonts w:ascii="Times New Roman" w:hAnsi="Times New Roman" w:eastAsia="Times New Roman" w:cs="Times New Roman"/>
          <w:b/>
          <w:lang w:val="en-US" w:eastAsia="ru-RU"/>
        </w:rPr>
      </w:pP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val="en-US" w:eastAsia="ru-RU"/>
        </w:rPr>
        <w:t>The United States                                        Europe</w:t>
      </w:r>
    </w:p>
    <w:p>
      <w:pPr>
        <w:pStyle w:val="Normal"/>
        <w:spacing w:lineRule="auto" w:line="240" w:before="0" w:after="0"/>
        <w:ind w:firstLine="709"/>
        <w:jc w:val="both"/>
        <w:rPr>
          <w:rFonts w:ascii="Times New Roman" w:hAnsi="Times New Roman" w:eastAsia="Times New Roman" w:cs="Times New Roman"/>
          <w:sz w:val="24"/>
          <w:szCs w:val="24"/>
          <w:lang w:val="en-US" w:eastAsia="ru-RU"/>
        </w:rPr>
      </w:pPr>
      <w:r>
        <w:rPr/>
        <w:drawing>
          <wp:inline distT="0" distB="0" distL="0" distR="0">
            <wp:extent cx="2484120" cy="2819400"/>
            <wp:effectExtent l="0" t="0" r="0" b="0"/>
            <wp:docPr id="13" name="Object2"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r>
        <w:rPr>
          <w:rFonts w:eastAsia="Calibri" w:cs="Times New Roman" w:ascii="Times New Roman" w:hAnsi="Times New Roman"/>
          <w:sz w:val="24"/>
          <w:szCs w:val="24"/>
          <w:lang w:val="en-US" w:eastAsia="ru-RU"/>
        </w:rPr>
        <w:t xml:space="preserve"> </w:t>
      </w:r>
      <w:r>
        <w:rPr/>
        <w:drawing>
          <wp:inline distT="0" distB="0" distL="0" distR="0">
            <wp:extent cx="2800985" cy="2811780"/>
            <wp:effectExtent l="0" t="0" r="0" b="0"/>
            <wp:docPr id="14" name="Object3"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center"/>
        <w:rPr>
          <w:rFonts w:ascii="Times New Roman" w:hAnsi="Times New Roman" w:eastAsia="Times New Roman" w:cs="Times New Roman"/>
          <w:b/>
          <w:bCs/>
          <w:sz w:val="20"/>
          <w:szCs w:val="20"/>
          <w:lang w:val="en-US" w:eastAsia="ru-RU"/>
        </w:rPr>
      </w:pPr>
      <w:r>
        <w:rPr>
          <w:rFonts w:eastAsia="Times New Roman" w:cs="Times New Roman" w:ascii="Times New Roman" w:hAnsi="Times New Roman"/>
          <w:b/>
          <w:sz w:val="20"/>
          <w:szCs w:val="20"/>
          <w:lang w:val="en-US" w:eastAsia="ru-RU"/>
        </w:rPr>
        <w:t xml:space="preserve">Fig.2 - </w:t>
      </w:r>
      <w:r>
        <w:rPr>
          <w:rFonts w:eastAsia="Times New Roman" w:cs="Times New Roman" w:ascii="Times New Roman" w:hAnsi="Times New Roman"/>
          <w:b/>
          <w:bCs/>
          <w:sz w:val="20"/>
          <w:szCs w:val="20"/>
          <w:lang w:val="en-US" w:eastAsia="ru-RU"/>
        </w:rPr>
        <w:t>Market share of the leading travel apps in the USA and Europe in 2023</w:t>
      </w:r>
    </w:p>
    <w:p>
      <w:pPr>
        <w:pStyle w:val="Normal"/>
        <w:spacing w:lineRule="auto" w:line="240" w:before="0" w:after="0"/>
        <w:ind w:firstLine="709"/>
        <w:jc w:val="center"/>
        <w:rPr>
          <w:rFonts w:ascii="Times New Roman" w:hAnsi="Times New Roman" w:eastAsia="Times New Roman" w:cs="Times New Roman"/>
          <w:i/>
          <w:i/>
          <w:iCs/>
          <w:sz w:val="20"/>
          <w:szCs w:val="20"/>
          <w:lang w:val="en-US" w:eastAsia="ru-RU"/>
        </w:rPr>
      </w:pPr>
      <w:r>
        <w:rPr>
          <w:rFonts w:eastAsia="Calibri" w:cs="Times New Roman" w:ascii="Times New Roman" w:hAnsi="Times New Roman"/>
          <w:i/>
          <w:sz w:val="20"/>
          <w:szCs w:val="20"/>
          <w:shd w:fill="FFFFFF" w:val="clear"/>
          <w:lang w:val="en-US" w:eastAsia="ru-RU"/>
        </w:rPr>
        <w:t xml:space="preserve">Note: </w:t>
      </w:r>
      <w:r>
        <w:rPr>
          <w:rFonts w:eastAsia="Times New Roman" w:cs="Times New Roman" w:ascii="Times New Roman" w:hAnsi="Times New Roman"/>
          <w:i/>
          <w:iCs/>
          <w:sz w:val="20"/>
          <w:szCs w:val="20"/>
          <w:lang w:val="en-US" w:eastAsia="ru-RU"/>
        </w:rPr>
        <w:t xml:space="preserve">Complied by the authors based on the official website of the </w:t>
      </w:r>
      <w:r>
        <w:rPr>
          <w:rFonts w:eastAsia="Times New Roman" w:cs="Times New Roman" w:ascii="Times New Roman" w:hAnsi="Times New Roman"/>
          <w:i/>
          <w:sz w:val="20"/>
          <w:szCs w:val="20"/>
          <w:lang w:val="en-US" w:eastAsia="ru-RU"/>
        </w:rPr>
        <w:t>Statista [3]</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In the digital age, artificial intelligence (AI) has begun to have a huge impact on all industries, including, especially, tourism. AI has significantly changed the approaches to travel planning and organization around the world: from personalizing travel to improving the management of tourist destinations and optimizing customer service using advanced technologies such as chatbots and recommendation systems. Artificial intelligence algorithms allow you to analyze huge amounts of data - from Internet searches and social media interactions, taking into account previous travel options, to provide personalized recommendations on places, events, hotels and restaurants that match the interests and budget of the tourist.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Data as of 2023 indicate a high level of confidence among travelers around the world in using AI for various aspects of travel planning in 2033. The first place in the list is occupied by the placement: 75% of travelers expressed confidence in AI in this aspect, followed by international transport agreements and local transport (74% each). Other aspects, as can be seen from Figure 4, are also highly trusted by travelers (Figure 3).</w:t>
      </w:r>
    </w:p>
    <w:p>
      <w:pPr>
        <w:pStyle w:val="Normal"/>
        <w:spacing w:lineRule="auto" w:line="240" w:before="0" w:after="0"/>
        <w:ind w:firstLine="567"/>
        <w:jc w:val="both"/>
        <w:rPr>
          <w:rFonts w:ascii="Times New Roman" w:hAnsi="Times New Roman" w:eastAsia="Times New Roman" w:cs="Times New Roman"/>
          <w:color w:val="FF0000"/>
          <w:sz w:val="24"/>
          <w:szCs w:val="24"/>
          <w:lang w:val="en-US" w:eastAsia="ru-RU"/>
        </w:rPr>
      </w:pPr>
      <w:r>
        <w:rPr>
          <w:rFonts w:eastAsia="Times New Roman" w:cs="Times New Roman" w:ascii="Times New Roman" w:hAnsi="Times New Roman"/>
          <w:color w:val="FF0000"/>
          <w:sz w:val="24"/>
          <w:szCs w:val="24"/>
          <w:lang w:val="en-US" w:eastAsia="ru-RU"/>
        </w:rPr>
      </w:r>
    </w:p>
    <w:p>
      <w:pPr>
        <w:pStyle w:val="Normal"/>
        <w:spacing w:lineRule="auto" w:line="240" w:before="0" w:after="0"/>
        <w:jc w:val="both"/>
        <w:rPr>
          <w:rFonts w:ascii="Times New Roman" w:hAnsi="Times New Roman" w:eastAsia="Calibri" w:cs="Times New Roman"/>
          <w:sz w:val="24"/>
          <w:szCs w:val="24"/>
          <w:lang w:val="en-US" w:eastAsia="ru-RU"/>
        </w:rPr>
      </w:pPr>
      <w:r>
        <w:rPr/>
        <w:drawing>
          <wp:inline distT="0" distB="0" distL="0" distR="0">
            <wp:extent cx="5844540" cy="2324100"/>
            <wp:effectExtent l="0" t="0" r="0" b="0"/>
            <wp:docPr id="15" name="Object4"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pPr>
        <w:pStyle w:val="Normal"/>
        <w:spacing w:lineRule="auto" w:line="240" w:before="0" w:after="0"/>
        <w:ind w:firstLine="567"/>
        <w:jc w:val="center"/>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en-US" w:eastAsia="ru-RU"/>
        </w:rPr>
      </w:r>
      <w:bookmarkStart w:id="3" w:name="_Hlk166687941"/>
      <w:bookmarkStart w:id="4" w:name="_Hlk166687941"/>
    </w:p>
    <w:p>
      <w:pPr>
        <w:pStyle w:val="Normal"/>
        <w:spacing w:lineRule="auto" w:line="240" w:before="0" w:after="0"/>
        <w:ind w:firstLine="567"/>
        <w:jc w:val="center"/>
        <w:rPr>
          <w:rFonts w:ascii="Times New Roman" w:hAnsi="Times New Roman" w:eastAsia="Times New Roman" w:cs="Times New Roman"/>
          <w:b/>
          <w:bCs/>
          <w:sz w:val="20"/>
          <w:szCs w:val="20"/>
          <w:lang w:val="en-US" w:eastAsia="ru-RU"/>
        </w:rPr>
      </w:pPr>
      <w:r>
        <w:rPr>
          <w:rFonts w:eastAsia="Times New Roman" w:cs="Times New Roman" w:ascii="Times New Roman" w:hAnsi="Times New Roman"/>
          <w:b/>
          <w:sz w:val="20"/>
          <w:szCs w:val="20"/>
          <w:lang w:val="en-US" w:eastAsia="ru-RU"/>
        </w:rPr>
        <w:t xml:space="preserve">Fig.3 - </w:t>
      </w:r>
      <w:r>
        <w:rPr>
          <w:rFonts w:eastAsia="Times New Roman" w:cs="Times New Roman" w:ascii="Times New Roman" w:hAnsi="Times New Roman"/>
          <w:b/>
          <w:bCs/>
          <w:sz w:val="20"/>
          <w:szCs w:val="20"/>
          <w:lang w:val="en-US" w:eastAsia="ru-RU"/>
        </w:rPr>
        <w:t>Share of travelers that would trust using Artificial Intelligence (AI) to plan travel in 2033 worldwide as of 2022, by travel aspect</w:t>
      </w:r>
      <w:bookmarkEnd w:id="4"/>
    </w:p>
    <w:p>
      <w:pPr>
        <w:pStyle w:val="Normal"/>
        <w:spacing w:lineRule="auto" w:line="240" w:before="0" w:after="0"/>
        <w:ind w:firstLine="709"/>
        <w:jc w:val="center"/>
        <w:rPr>
          <w:rFonts w:ascii="Times New Roman" w:hAnsi="Times New Roman" w:eastAsia="Times New Roman" w:cs="Times New Roman"/>
          <w:i/>
          <w:i/>
          <w:iCs/>
          <w:sz w:val="20"/>
          <w:szCs w:val="20"/>
          <w:lang w:val="en-US" w:eastAsia="ru-RU"/>
        </w:rPr>
      </w:pPr>
      <w:r>
        <w:rPr>
          <w:rFonts w:eastAsia="Calibri" w:cs="Times New Roman" w:ascii="Times New Roman" w:hAnsi="Times New Roman"/>
          <w:i/>
          <w:sz w:val="20"/>
          <w:szCs w:val="20"/>
          <w:shd w:fill="FFFFFF" w:val="clear"/>
          <w:lang w:val="en-US" w:eastAsia="ru-RU"/>
        </w:rPr>
        <w:t>Note:</w:t>
      </w:r>
      <w:r>
        <w:rPr>
          <w:rFonts w:eastAsia="Times New Roman" w:cs="Times New Roman" w:ascii="Times New Roman" w:hAnsi="Times New Roman"/>
          <w:i/>
          <w:iCs/>
          <w:sz w:val="20"/>
          <w:szCs w:val="20"/>
          <w:lang w:val="en-US" w:eastAsia="ru-RU"/>
        </w:rPr>
        <w:t xml:space="preserve"> Complied by the authors based on the official website of the </w:t>
      </w:r>
      <w:r>
        <w:rPr>
          <w:rFonts w:eastAsia="Times New Roman" w:cs="Times New Roman" w:ascii="Times New Roman" w:hAnsi="Times New Roman"/>
          <w:i/>
          <w:sz w:val="20"/>
          <w:szCs w:val="20"/>
          <w:lang w:val="en-US" w:eastAsia="ru-RU"/>
        </w:rPr>
        <w:t>Statista [3]</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As technology evolves, we can expect AI to play an increasingly important role in the growth and change of tourism around the world, changing how customers perceive and interact with the world while traveling.</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Returning to the expectations of the future use of technology in the tourism industry, the following is an analysis of the data obtained from statista.com , regarding the proportion of travelers who plan to use selected travel planning tools in 2033 worldwide as of 2022. It is assumed that among these tools, applications that include all the necessary functions for travel planning will be most often used (52% of travelers express their intention to use them) (Figure 4).</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720"/>
        <w:jc w:val="both"/>
        <w:rPr>
          <w:rFonts w:ascii="Times New Roman" w:hAnsi="Times New Roman" w:eastAsia="Times New Roman" w:cs="Times New Roman"/>
          <w:sz w:val="24"/>
          <w:szCs w:val="24"/>
          <w:lang w:eastAsia="ru-RU"/>
        </w:rPr>
      </w:pPr>
      <w:r>
        <w:rPr/>
        <w:drawing>
          <wp:inline distT="0" distB="0" distL="0" distR="0">
            <wp:extent cx="5940425" cy="3073400"/>
            <wp:effectExtent l="0" t="0" r="0" b="0"/>
            <wp:docPr id="16" name="Object5"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pPr>
        <w:pStyle w:val="Normal"/>
        <w:spacing w:lineRule="auto" w:line="240" w:before="0" w:after="0"/>
        <w:ind w:firstLine="567"/>
        <w:jc w:val="both"/>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en-US" w:eastAsia="ru-RU"/>
        </w:rPr>
      </w:r>
    </w:p>
    <w:p>
      <w:pPr>
        <w:pStyle w:val="Normal"/>
        <w:spacing w:lineRule="auto" w:line="240" w:before="0" w:after="0"/>
        <w:ind w:firstLine="567"/>
        <w:jc w:val="center"/>
        <w:rPr>
          <w:rFonts w:ascii="Times New Roman" w:hAnsi="Times New Roman" w:eastAsia="Times New Roman" w:cs="Times New Roman"/>
          <w:b/>
          <w:bCs/>
          <w:sz w:val="20"/>
          <w:szCs w:val="20"/>
          <w:lang w:val="en-US" w:eastAsia="ru-RU"/>
        </w:rPr>
      </w:pPr>
      <w:r>
        <w:rPr>
          <w:rFonts w:eastAsia="Times New Roman" w:cs="Times New Roman" w:ascii="Times New Roman" w:hAnsi="Times New Roman"/>
          <w:b/>
          <w:sz w:val="20"/>
          <w:szCs w:val="20"/>
          <w:lang w:val="en-US" w:eastAsia="ru-RU"/>
        </w:rPr>
        <w:t>Fig.4 -</w:t>
      </w:r>
      <w:r>
        <w:rPr>
          <w:rFonts w:eastAsia="Times New Roman" w:cs="Times New Roman" w:ascii="Times New Roman" w:hAnsi="Times New Roman"/>
          <w:b/>
          <w:bCs/>
          <w:sz w:val="20"/>
          <w:szCs w:val="20"/>
          <w:lang w:val="en-US" w:eastAsia="ru-RU"/>
        </w:rPr>
        <w:t>The proportion of travelers planning to use selected travel planning tools in 2033 worldwide as of 2022</w:t>
      </w:r>
    </w:p>
    <w:p>
      <w:pPr>
        <w:pStyle w:val="Normal"/>
        <w:spacing w:lineRule="auto" w:line="240" w:before="0" w:after="0"/>
        <w:ind w:firstLine="709"/>
        <w:jc w:val="center"/>
        <w:rPr>
          <w:rFonts w:ascii="Times New Roman" w:hAnsi="Times New Roman" w:eastAsia="Times New Roman" w:cs="Times New Roman"/>
          <w:i/>
          <w:i/>
          <w:iCs/>
          <w:sz w:val="20"/>
          <w:szCs w:val="20"/>
          <w:lang w:val="en-US" w:eastAsia="ru-RU"/>
        </w:rPr>
      </w:pPr>
      <w:r>
        <w:rPr>
          <w:rFonts w:eastAsia="Calibri" w:cs="Times New Roman" w:ascii="Times New Roman" w:hAnsi="Times New Roman"/>
          <w:i/>
          <w:sz w:val="20"/>
          <w:szCs w:val="20"/>
          <w:shd w:fill="FFFFFF" w:val="clear"/>
          <w:lang w:val="en-US" w:eastAsia="ru-RU"/>
        </w:rPr>
        <w:t>Note:</w:t>
      </w:r>
      <w:r>
        <w:rPr>
          <w:rFonts w:eastAsia="Times New Roman" w:cs="Times New Roman" w:ascii="Times New Roman" w:hAnsi="Times New Roman"/>
          <w:i/>
          <w:iCs/>
          <w:sz w:val="20"/>
          <w:szCs w:val="20"/>
          <w:lang w:val="en-US" w:eastAsia="ru-RU"/>
        </w:rPr>
        <w:t xml:space="preserve"> Complied by the authors based on the official website of the </w:t>
      </w:r>
      <w:r>
        <w:rPr>
          <w:rFonts w:eastAsia="Times New Roman" w:cs="Times New Roman" w:ascii="Times New Roman" w:hAnsi="Times New Roman"/>
          <w:i/>
          <w:sz w:val="20"/>
          <w:szCs w:val="20"/>
          <w:lang w:val="en-US" w:eastAsia="ru-RU"/>
        </w:rPr>
        <w:t>Statista [3]</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Figure 4 above shows that pre-virtual reality (VR) and augmented reality (AR) tours will also start to attract attention: 51% and 45% of travelers, respectively, expressed their desire to use their immersive trip planning technologies, giving them a realistic view of the trip and helping them make decisions.</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Online travel agencies (OTA) and price comparison websites are expected to remain popular planning tools in 2033: 44% of tourists plan to use them to prepare for a trip. Social media reviews are expected to influence travel planning decisions: 42% of travelers expect to rely on them when planning a trip. To summarize, an analysis of the current use of technology in the tourism industry reveals a variety of planning tools and platforms that adapt to the changing needs and preferences of travelers. These technologies help to personalize travel experiences, optimize booking processes and provide valuable information and recommendations.</w:t>
      </w:r>
    </w:p>
    <w:p>
      <w:pPr>
        <w:pStyle w:val="Normal"/>
        <w:tabs>
          <w:tab w:val="clear" w:pos="708"/>
          <w:tab w:val="left" w:pos="709" w:leader="none"/>
          <w:tab w:val="left" w:pos="851"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Facebook Instagramming the role of social media as another aspect of technological advances in the tourism industry in the Republic of Kazakhstan and their impact, various platforms such as Facebook, Instagram and YouTube have begun to play an important role in shaping the perception and choice of travelers. Blogs in both text and video formats are becoming increasingly interesting [8]. Significant problems have been identified that negatively affect the development of tourism. Such factors include: fraud, distortion of reality, the credibility of the opinion of media personalities, uneven coverage of age groups of tourists.</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Personal impressions of tourists play a significant role in choosing a vacation destination: reviews, photos and other content generated on the Internet (Table 1). When preparing for a trip, most respondents pay attention to social networks (53.8%) and reviews from relatives, friends and acquaintances (48.6%). Reviews on the Internet are viewed by 35.5% of respondents, and the websites of tour operators are viewed by 22.1% [10]. It is possible to highlight the high popularity of social networks among respondents aged 25 to 34 years (62.4%). Respondents over the age of 35 are much more likely than others to rely on feedback from relatives, friends and acquaintances (35-55 years old – 56.7%, over 55 years old – 70.8%). Young people mentioned the tourist portals of local authorities much more often than others (22.4%) (Table 1).</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jc w:val="center"/>
        <w:rPr>
          <w:rFonts w:ascii="Times New Roman" w:hAnsi="Times New Roman" w:eastAsia="Times New Roman" w:cs="Times New Roman"/>
          <w:b/>
          <w:bCs/>
          <w:lang w:val="en-US" w:eastAsia="ru-RU"/>
        </w:rPr>
      </w:pPr>
      <w:r>
        <w:rPr>
          <w:rFonts w:eastAsia="Times New Roman" w:cs="Times New Roman" w:ascii="Times New Roman" w:hAnsi="Times New Roman"/>
          <w:b/>
          <w:lang w:val="en-US" w:eastAsia="ru-RU"/>
        </w:rPr>
        <w:t>Table 1 -</w:t>
      </w:r>
      <w:r>
        <w:rPr>
          <w:rFonts w:eastAsia="Times New Roman" w:cs="Times New Roman" w:ascii="Times New Roman" w:hAnsi="Times New Roman"/>
          <w:lang w:val="en-US" w:eastAsia="ru-RU"/>
        </w:rPr>
        <w:t xml:space="preserve"> </w:t>
      </w:r>
      <w:r>
        <w:rPr>
          <w:rFonts w:eastAsia="Times New Roman" w:cs="Times New Roman" w:ascii="Times New Roman" w:hAnsi="Times New Roman"/>
          <w:b/>
          <w:bCs/>
          <w:lang w:val="en-US" w:eastAsia="ru-RU"/>
        </w:rPr>
        <w:t>Factors that play a significant role in decision-making among travelers aged 18-55 years and older in the Republic of Kazakhstan</w:t>
      </w:r>
    </w:p>
    <w:p>
      <w:pPr>
        <w:pStyle w:val="Normal"/>
        <w:spacing w:lineRule="auto" w:line="240" w:before="0" w:after="0"/>
        <w:jc w:val="center"/>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3402"/>
        <w:gridCol w:w="1417"/>
        <w:gridCol w:w="1326"/>
        <w:gridCol w:w="1652"/>
        <w:gridCol w:w="1060"/>
        <w:gridCol w:w="1065"/>
      </w:tblGrid>
      <w:tr>
        <w:trPr>
          <w:trHeight w:val="316"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center"/>
              <w:rPr>
                <w:rFonts w:ascii="Times New Roman" w:hAnsi="Times New Roman" w:eastAsia="Times New Roman" w:cs="Times New Roman"/>
                <w:b/>
                <w:color w:val="000000"/>
                <w:lang w:val="en-US" w:eastAsia="ru-RU"/>
              </w:rPr>
            </w:pPr>
            <w:r>
              <w:rPr>
                <w:rFonts w:eastAsia="Calibri" w:cs="Times New Roman" w:ascii="Times New Roman" w:hAnsi="Times New Roman"/>
                <w:b/>
                <w:lang w:val="en-US" w:eastAsia="ru-RU"/>
              </w:rPr>
              <w:t>Factors influencing decision-making among travelers</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center"/>
              <w:rPr>
                <w:rFonts w:ascii="Times New Roman" w:hAnsi="Times New Roman" w:eastAsia="Times New Roman" w:cs="Times New Roman"/>
                <w:b/>
                <w:color w:val="000000"/>
                <w:lang w:val="en-US" w:eastAsia="ru-RU"/>
              </w:rPr>
            </w:pPr>
            <w:r>
              <w:rPr>
                <w:rFonts w:eastAsia="Calibri" w:cs="Times New Roman" w:ascii="Times New Roman" w:hAnsi="Times New Roman"/>
                <w:b/>
                <w:lang w:val="en-US" w:eastAsia="ru-RU"/>
              </w:rPr>
              <w:t>Total</w:t>
            </w:r>
          </w:p>
        </w:tc>
        <w:tc>
          <w:tcPr>
            <w:tcW w:w="13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center"/>
              <w:rPr>
                <w:rFonts w:ascii="Times New Roman" w:hAnsi="Times New Roman" w:eastAsia="Times New Roman" w:cs="Times New Roman"/>
                <w:b/>
                <w:color w:val="000000"/>
                <w:lang w:val="en-US" w:eastAsia="ru-RU"/>
              </w:rPr>
            </w:pPr>
            <w:r>
              <w:rPr>
                <w:rFonts w:eastAsia="Calibri" w:cs="Times New Roman" w:ascii="Times New Roman" w:hAnsi="Times New Roman"/>
                <w:b/>
                <w:lang w:val="en-US" w:eastAsia="ru-RU"/>
              </w:rPr>
              <w:t>18-24 years old</w:t>
            </w:r>
          </w:p>
        </w:tc>
        <w:tc>
          <w:tcPr>
            <w:tcW w:w="16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center"/>
              <w:rPr>
                <w:rFonts w:ascii="Times New Roman" w:hAnsi="Times New Roman" w:eastAsia="Times New Roman" w:cs="Times New Roman"/>
                <w:b/>
                <w:color w:val="000000"/>
                <w:lang w:val="en-US" w:eastAsia="ru-RU"/>
              </w:rPr>
            </w:pPr>
            <w:r>
              <w:rPr>
                <w:rFonts w:eastAsia="Calibri" w:cs="Times New Roman" w:ascii="Times New Roman" w:hAnsi="Times New Roman"/>
                <w:b/>
                <w:lang w:val="en-US" w:eastAsia="ru-RU"/>
              </w:rPr>
              <w:t>25-34 years old</w:t>
            </w:r>
          </w:p>
        </w:tc>
        <w:tc>
          <w:tcPr>
            <w:tcW w:w="10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center"/>
              <w:rPr>
                <w:rFonts w:ascii="Times New Roman" w:hAnsi="Times New Roman" w:eastAsia="Times New Roman" w:cs="Times New Roman"/>
                <w:b/>
                <w:color w:val="000000"/>
                <w:lang w:val="en-US" w:eastAsia="ru-RU"/>
              </w:rPr>
            </w:pPr>
            <w:r>
              <w:rPr>
                <w:rFonts w:eastAsia="Calibri" w:cs="Times New Roman" w:ascii="Times New Roman" w:hAnsi="Times New Roman"/>
                <w:b/>
                <w:lang w:val="en-US" w:eastAsia="ru-RU"/>
              </w:rPr>
              <w:t>35-54 years old</w:t>
            </w:r>
          </w:p>
        </w:tc>
        <w:tc>
          <w:tcPr>
            <w:tcW w:w="10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center"/>
              <w:rPr>
                <w:rFonts w:ascii="Times New Roman" w:hAnsi="Times New Roman" w:eastAsia="Times New Roman" w:cs="Times New Roman"/>
                <w:b/>
                <w:color w:val="000000"/>
                <w:lang w:val="en-US" w:eastAsia="ru-RU"/>
              </w:rPr>
            </w:pPr>
            <w:r>
              <w:rPr>
                <w:rFonts w:eastAsia="Calibri" w:cs="Times New Roman" w:ascii="Times New Roman" w:hAnsi="Times New Roman"/>
                <w:b/>
                <w:lang w:val="en-US" w:eastAsia="ru-RU"/>
              </w:rPr>
              <w:t>55 years and more</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Social networks (Instagram, Tik tok, Vkontakte, etc.)</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53,8</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46,6</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62,4</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51,1</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56,3</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Reviews from relatives, friends and acquaintances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48,6</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29,3</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39,7</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56,7</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70,8</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 xml:space="preserve">Reviews on the Internet, including in specialized applications (for example, 2GIS) </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35,5</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33,6</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29,4</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38,8</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39,6</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 xml:space="preserve">Tour operator websites </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22,1</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14,7</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20,6</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25,4</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20,8</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Tourist portals of local authorities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14,7</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22,4</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16,5</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12,3</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6,3</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Personal communication with travel agency managers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9,9</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11,2</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9,8</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9,5</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10,4</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Specialized groups and channels in the messenger (WhatsApp, Telegram, Viber, etc.)</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9,2</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9,5</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4,6</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10,3</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18,8</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TV programs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6,4</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7,8</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5,2</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7</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4,2</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Promotional products (banners, booklets, flyers)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5,4</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11,2</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5,2</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3,9</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4,2</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Magazines, brochures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3,4</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5,2</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3,1</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3,4</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Bloggers</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7,4</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10,3</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11,9</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4,5</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4,2</w:t>
            </w:r>
          </w:p>
        </w:tc>
      </w:tr>
      <w:tr>
        <w:trPr>
          <w:trHeight w:val="300"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33"/>
              <w:jc w:val="both"/>
              <w:rPr>
                <w:rFonts w:ascii="Times New Roman" w:hAnsi="Times New Roman" w:eastAsia="Times New Roman" w:cs="Times New Roman"/>
                <w:color w:val="000000"/>
                <w:lang w:val="en-US" w:eastAsia="ru-RU"/>
              </w:rPr>
            </w:pPr>
            <w:r>
              <w:rPr>
                <w:rFonts w:eastAsia="Calibri" w:cs="Times New Roman" w:ascii="Times New Roman" w:hAnsi="Times New Roman"/>
                <w:lang w:val="en-US" w:eastAsia="ru-RU"/>
              </w:rPr>
              <w:t>Other</w:t>
            </w:r>
          </w:p>
        </w:tc>
        <w:tc>
          <w:tcPr>
            <w:tcW w:w="141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0,4</w:t>
            </w:r>
          </w:p>
        </w:tc>
        <w:tc>
          <w:tcPr>
            <w:tcW w:w="1326"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w:t>
            </w:r>
          </w:p>
        </w:tc>
        <w:tc>
          <w:tcPr>
            <w:tcW w:w="16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1</w:t>
            </w:r>
          </w:p>
        </w:tc>
        <w:tc>
          <w:tcPr>
            <w:tcW w:w="106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0,3</w:t>
            </w:r>
          </w:p>
        </w:tc>
        <w:tc>
          <w:tcPr>
            <w:tcW w:w="106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ind w:firstLine="33"/>
              <w:jc w:val="center"/>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w:t>
            </w:r>
          </w:p>
        </w:tc>
      </w:tr>
      <w:tr>
        <w:trPr>
          <w:trHeight w:val="300" w:hRule="atLeast"/>
        </w:trPr>
        <w:tc>
          <w:tcPr>
            <w:tcW w:w="9922"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i/>
                <w:i/>
                <w:iCs/>
                <w:lang w:val="en-US" w:eastAsia="ru-RU"/>
              </w:rPr>
            </w:pPr>
            <w:r>
              <w:rPr>
                <w:rFonts w:eastAsia="Calibri" w:cs="Times New Roman" w:ascii="Times New Roman" w:hAnsi="Times New Roman"/>
                <w:i/>
                <w:shd w:fill="FFFFFF" w:val="clear"/>
                <w:lang w:val="en-US" w:eastAsia="ru-RU"/>
              </w:rPr>
              <w:t xml:space="preserve">Note: </w:t>
            </w:r>
            <w:r>
              <w:rPr>
                <w:rFonts w:eastAsia="Times New Roman" w:cs="Times New Roman" w:ascii="Times New Roman" w:hAnsi="Times New Roman"/>
                <w:i/>
                <w:iCs/>
                <w:lang w:val="en-US" w:eastAsia="ru-RU"/>
              </w:rPr>
              <w:t>Compiled by the authors based on the source of Kalekeeva M. [9]</w:t>
            </w:r>
          </w:p>
        </w:tc>
      </w:tr>
    </w:tbl>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transition to the use of mobile applications and the analysis of popular types of travel applications in Kazakhstan provides valuable information about the role of technology in the development of tourism in the country [3]. In Kazakhstan, as in many other countries, these applications offer a wide range of functions, including booking tours and tickets, navigation, currency conversion and access to information about destinations in real time. Tourists can conveniently book flights, accommodation, transportation and events using a single application, eliminating the need to use multiple platforms or visit physical travel agencies, saving time and energy [Tashenova L.V. et al.</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en-US" w:eastAsia="ru-RU"/>
        </w:rPr>
        <w:t xml:space="preserve">2022]. The transition to digitalization in the tourism sector also has significant environmental benefits, as it reduces dependence on paper processes and documentation.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analysis of the most downloaded travel applications in Kazakhstan provides important data on the preferences and practices of travelers in the country [3]. Applications such as Yandex Navigator, Aviata.kz and Booking.com They are among the most popular options for travelers, offering a wide range of services from navigation and booking tickets to booking accommodation. By adopting digital technologies and using the capabilities of mobile technologies, Kazakhstan can strengthen its position as a leading tourist destination and stimulate economic growth in the country (Table 2).</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jc w:val="center"/>
        <w:rPr>
          <w:rFonts w:ascii="Times New Roman" w:hAnsi="Times New Roman" w:eastAsia="Times New Roman" w:cs="Times New Roman"/>
          <w:b/>
          <w:bCs/>
          <w:sz w:val="24"/>
          <w:szCs w:val="24"/>
          <w:lang w:val="en-US" w:eastAsia="ru-RU"/>
        </w:rPr>
      </w:pPr>
      <w:r>
        <w:rPr>
          <w:rFonts w:eastAsia="Times New Roman" w:cs="Times New Roman" w:ascii="Times New Roman" w:hAnsi="Times New Roman"/>
          <w:b/>
          <w:sz w:val="24"/>
          <w:szCs w:val="24"/>
          <w:lang w:val="en-US" w:eastAsia="ru-RU"/>
        </w:rPr>
        <w:t xml:space="preserve">Table 2 - </w:t>
      </w:r>
      <w:r>
        <w:rPr>
          <w:rFonts w:eastAsia="Times New Roman" w:cs="Times New Roman" w:ascii="Times New Roman" w:hAnsi="Times New Roman"/>
          <w:b/>
          <w:bCs/>
          <w:sz w:val="24"/>
          <w:szCs w:val="24"/>
          <w:lang w:val="en-US" w:eastAsia="ru-RU"/>
        </w:rPr>
        <w:t>Most downloaded travel and tourism apps in the Republic of Kazakhstan</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tbl>
      <w:tblPr>
        <w:tblStyle w:val="24"/>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3"/>
        <w:gridCol w:w="4536"/>
        <w:gridCol w:w="4106"/>
      </w:tblGrid>
      <w:tr>
        <w:trPr/>
        <w:tc>
          <w:tcPr>
            <w:tcW w:w="703"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 xml:space="preserve">Google Play Store </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 xml:space="preserve">App Store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w:t>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Yandex Navigator</w:t>
            </w:r>
          </w:p>
        </w:tc>
        <w:tc>
          <w:tcPr>
            <w:tcW w:w="410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 xml:space="preserve">Yandex Go: Taxi Food Delivery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2</w:t>
            </w:r>
          </w:p>
        </w:tc>
        <w:tc>
          <w:tcPr>
            <w:tcW w:w="453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Aviata.kz – cheap air tickets</w:t>
            </w:r>
          </w:p>
        </w:tc>
        <w:tc>
          <w:tcPr>
            <w:tcW w:w="410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inDrive. Save on city rides</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3</w:t>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Aviata – train tickets</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ONAY!</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4</w:t>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GPS Offline Maps &amp; Navigation</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 xml:space="preserve">Uber KZ – request taxis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5</w:t>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Currency converter offline</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Avtobys</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6</w:t>
            </w:r>
          </w:p>
        </w:tc>
        <w:tc>
          <w:tcPr>
            <w:tcW w:w="453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Easy route map: Navigation Path</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 xml:space="preserve">Skyscanner – travel deals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7</w:t>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 xml:space="preserve">Google Earth </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Booking.com: Hotels &amp; Travel</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8</w:t>
            </w:r>
          </w:p>
        </w:tc>
        <w:tc>
          <w:tcPr>
            <w:tcW w:w="453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Ht.kz - tours and last minute tours</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Aviasales – book cheap flights</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9</w:t>
            </w:r>
          </w:p>
        </w:tc>
        <w:tc>
          <w:tcPr>
            <w:tcW w:w="4536" w:type="dxa"/>
            <w:tcBorders/>
          </w:tcPr>
          <w:p>
            <w:pPr>
              <w:pStyle w:val="Normal"/>
              <w:widowControl/>
              <w:spacing w:lineRule="auto" w:line="240" w:before="0" w:after="0"/>
              <w:jc w:val="both"/>
              <w:rPr>
                <w:rFonts w:ascii="Times New Roman" w:hAnsi="Times New Roman" w:cs="Times New Roman"/>
                <w:sz w:val="24"/>
                <w:szCs w:val="24"/>
                <w:lang w:val="kk-KZ" w:eastAsia="ru-RU"/>
              </w:rPr>
            </w:pPr>
            <w:r>
              <w:rPr>
                <w:rFonts w:eastAsia="Calibri" w:cs="Times New Roman" w:ascii="Times New Roman" w:hAnsi="Times New Roman"/>
                <w:kern w:val="2"/>
                <w:sz w:val="24"/>
                <w:szCs w:val="24"/>
                <w:lang w:val="en-US" w:eastAsia="ru-RU" w:bidi="ar-SA"/>
              </w:rPr>
              <w:t xml:space="preserve">Aviasales.kz – cheap air tickets </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 xml:space="preserve">Uber – request a ride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10</w:t>
            </w:r>
          </w:p>
        </w:tc>
        <w:tc>
          <w:tcPr>
            <w:tcW w:w="453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Kaztour.kz – Tours and Travel</w:t>
            </w:r>
          </w:p>
        </w:tc>
        <w:tc>
          <w:tcPr>
            <w:tcW w:w="4106" w:type="dxa"/>
            <w:tcBorders/>
          </w:tcPr>
          <w:p>
            <w:pPr>
              <w:pStyle w:val="Normal"/>
              <w:widowControl/>
              <w:spacing w:lineRule="auto" w:line="240" w:before="0" w:after="0"/>
              <w:jc w:val="both"/>
              <w:rPr>
                <w:rFonts w:ascii="Times New Roman" w:hAnsi="Times New Roman" w:cs="Times New Roman"/>
                <w:sz w:val="24"/>
                <w:szCs w:val="24"/>
                <w:lang w:val="en-US" w:eastAsia="ru-RU"/>
              </w:rPr>
            </w:pPr>
            <w:r>
              <w:rPr>
                <w:rFonts w:eastAsia="Calibri" w:cs="Times New Roman" w:ascii="Times New Roman" w:hAnsi="Times New Roman"/>
                <w:kern w:val="2"/>
                <w:sz w:val="24"/>
                <w:szCs w:val="24"/>
                <w:lang w:val="en-US" w:eastAsia="ru-RU" w:bidi="ar-SA"/>
              </w:rPr>
              <w:t>Aviata.kz – cheap air tickets</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11</w:t>
            </w:r>
          </w:p>
        </w:tc>
        <w:tc>
          <w:tcPr>
            <w:tcW w:w="453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Booking.com – Hotels &amp; Travel</w:t>
            </w:r>
          </w:p>
        </w:tc>
        <w:tc>
          <w:tcPr>
            <w:tcW w:w="4106"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Currency converter offline</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12</w:t>
            </w:r>
          </w:p>
        </w:tc>
        <w:tc>
          <w:tcPr>
            <w:tcW w:w="453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 xml:space="preserve">Skyscanner Flights Hotels Cars </w:t>
            </w:r>
          </w:p>
        </w:tc>
        <w:tc>
          <w:tcPr>
            <w:tcW w:w="410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 xml:space="preserve">Google Earth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13</w:t>
            </w:r>
          </w:p>
        </w:tc>
        <w:tc>
          <w:tcPr>
            <w:tcW w:w="453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 xml:space="preserve">TezTaxi: order your taxi </w:t>
            </w:r>
          </w:p>
        </w:tc>
        <w:tc>
          <w:tcPr>
            <w:tcW w:w="410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 xml:space="preserve">aiRalo: eSIM Travel &amp; Internet </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14</w:t>
            </w:r>
          </w:p>
        </w:tc>
        <w:tc>
          <w:tcPr>
            <w:tcW w:w="453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RegionApp</w:t>
            </w:r>
          </w:p>
        </w:tc>
        <w:tc>
          <w:tcPr>
            <w:tcW w:w="410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Aviata – train tickets</w:t>
            </w:r>
          </w:p>
        </w:tc>
      </w:tr>
      <w:tr>
        <w:trPr/>
        <w:tc>
          <w:tcPr>
            <w:tcW w:w="703" w:type="dxa"/>
            <w:tcBorders/>
          </w:tcPr>
          <w:p>
            <w:pPr>
              <w:pStyle w:val="Normal"/>
              <w:widowControl/>
              <w:spacing w:lineRule="auto" w:line="240" w:before="0" w:after="0"/>
              <w:jc w:val="both"/>
              <w:rPr>
                <w:rFonts w:ascii="Times New Roman" w:hAnsi="Times New Roman" w:cs="Times New Roman"/>
                <w:sz w:val="24"/>
                <w:szCs w:val="24"/>
                <w:lang w:eastAsia="ru-RU"/>
              </w:rPr>
            </w:pPr>
            <w:r>
              <w:rPr>
                <w:rFonts w:eastAsia="Calibri" w:cs="Times New Roman" w:ascii="Times New Roman" w:hAnsi="Times New Roman"/>
                <w:kern w:val="2"/>
                <w:sz w:val="24"/>
                <w:szCs w:val="24"/>
                <w:lang w:val="ru-RU" w:eastAsia="ru-RU" w:bidi="ar-SA"/>
              </w:rPr>
              <w:t>15</w:t>
            </w:r>
          </w:p>
        </w:tc>
        <w:tc>
          <w:tcPr>
            <w:tcW w:w="4536" w:type="dxa"/>
            <w:tcBorders/>
          </w:tcPr>
          <w:p>
            <w:pPr>
              <w:pStyle w:val="Normal"/>
              <w:widowControl/>
              <w:spacing w:lineRule="auto" w:line="240" w:before="0" w:after="0"/>
              <w:jc w:val="both"/>
              <w:rPr>
                <w:rFonts w:ascii="Times New Roman" w:hAnsi="Times New Roman" w:eastAsia="Calibri" w:cs="Times New Roman"/>
                <w:sz w:val="24"/>
                <w:szCs w:val="24"/>
                <w:lang w:val="en-US" w:eastAsia="ru-RU"/>
              </w:rPr>
            </w:pPr>
            <w:r>
              <w:rPr>
                <w:rFonts w:eastAsia="Calibri" w:cs="Times New Roman" w:ascii="Times New Roman" w:hAnsi="Times New Roman"/>
                <w:kern w:val="2"/>
                <w:sz w:val="24"/>
                <w:szCs w:val="24"/>
                <w:lang w:val="en-US" w:eastAsia="ru-RU" w:bidi="ar-SA"/>
              </w:rPr>
              <w:t xml:space="preserve">Fly Arystan: buy flight tickets </w:t>
            </w:r>
          </w:p>
        </w:tc>
        <w:tc>
          <w:tcPr>
            <w:tcW w:w="4106" w:type="dxa"/>
            <w:tcBorders/>
          </w:tcPr>
          <w:p>
            <w:pPr>
              <w:pStyle w:val="Normal"/>
              <w:widowControl/>
              <w:spacing w:lineRule="auto" w:line="240" w:before="0" w:after="0"/>
              <w:jc w:val="both"/>
              <w:rPr>
                <w:rFonts w:ascii="Times New Roman" w:hAnsi="Times New Roman" w:eastAsia="Calibri" w:cs="Times New Roman"/>
                <w:sz w:val="24"/>
                <w:szCs w:val="24"/>
                <w:lang w:eastAsia="ru-RU"/>
              </w:rPr>
            </w:pPr>
            <w:r>
              <w:rPr>
                <w:rFonts w:eastAsia="Calibri" w:cs="Times New Roman" w:ascii="Times New Roman" w:hAnsi="Times New Roman"/>
                <w:kern w:val="2"/>
                <w:sz w:val="24"/>
                <w:szCs w:val="24"/>
                <w:lang w:val="ru-RU" w:eastAsia="ru-RU" w:bidi="ar-SA"/>
              </w:rPr>
              <w:t xml:space="preserve">Air Astana </w:t>
            </w:r>
          </w:p>
        </w:tc>
      </w:tr>
      <w:tr>
        <w:trPr/>
        <w:tc>
          <w:tcPr>
            <w:tcW w:w="9345" w:type="dxa"/>
            <w:gridSpan w:val="3"/>
            <w:tcBorders/>
          </w:tcPr>
          <w:p>
            <w:pPr>
              <w:pStyle w:val="Normal"/>
              <w:widowControl/>
              <w:spacing w:lineRule="auto" w:line="240" w:before="0" w:after="0"/>
              <w:jc w:val="both"/>
              <w:rPr>
                <w:rFonts w:ascii="Times New Roman" w:hAnsi="Times New Roman" w:eastAsia="Calibri" w:cs="Times New Roman"/>
                <w:i/>
                <w:i/>
                <w:lang w:val="en-US" w:eastAsia="ru-RU"/>
              </w:rPr>
            </w:pPr>
            <w:r>
              <w:rPr>
                <w:rFonts w:eastAsia="Calibri" w:cs="Times New Roman" w:ascii="Times New Roman" w:hAnsi="Times New Roman"/>
                <w:i/>
                <w:kern w:val="2"/>
                <w:sz w:val="22"/>
                <w:szCs w:val="22"/>
                <w:shd w:fill="FFFFFF" w:val="clear"/>
                <w:lang w:val="en-US" w:eastAsia="ru-RU" w:bidi="ar-SA"/>
              </w:rPr>
              <w:t xml:space="preserve">Note: </w:t>
            </w:r>
            <w:r>
              <w:rPr>
                <w:rFonts w:eastAsia="Calibri" w:cs="Times New Roman" w:ascii="Times New Roman" w:hAnsi="Times New Roman"/>
                <w:i/>
                <w:iCs/>
                <w:kern w:val="2"/>
                <w:sz w:val="22"/>
                <w:szCs w:val="22"/>
                <w:lang w:val="en-US" w:eastAsia="ru-RU" w:bidi="ar-SA"/>
              </w:rPr>
              <w:t xml:space="preserve">Complied by the authors </w:t>
            </w:r>
            <w:r>
              <w:rPr>
                <w:rFonts w:eastAsia="Calibri" w:cs="Times New Roman" w:ascii="Times New Roman" w:hAnsi="Times New Roman"/>
                <w:i/>
                <w:kern w:val="2"/>
                <w:sz w:val="22"/>
                <w:szCs w:val="22"/>
                <w:lang w:val="en-US" w:eastAsia="ru-RU" w:bidi="ar-SA"/>
              </w:rPr>
              <w:t>based on data from Google Play, App Store, and SimilarWeb analytics (Kazakhstan, 2025)</w:t>
            </w:r>
            <w:r>
              <w:rPr>
                <w:rFonts w:eastAsia="Calibri" w:cs="Times New Roman" w:ascii="Times New Roman" w:hAnsi="Times New Roman"/>
                <w:i/>
                <w:kern w:val="2"/>
                <w:sz w:val="22"/>
                <w:szCs w:val="22"/>
                <w:lang w:val="en-US" w:eastAsia="ru-RU" w:bidi="ar-SA"/>
              </w:rPr>
              <w:t xml:space="preserve"> [11]</w:t>
            </w:r>
          </w:p>
        </w:tc>
      </w:tr>
    </w:tbl>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It is noteworthy to emphasize the importance of e-commerce in Kazakhstan and its significant role in the country's tourism sector. E-commerce, conducting business transactions electronically via the Internet, has changed the way travel services are accessed and provided.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Statistics show that a significant part of the services provided through the market in Kazakhstan, about 50.3%, relate to passenger transportation services. This indicates a strong dependence on online platforms for booking flights, trains and other modes of transport. With the advent of e-commerce, customers no longer need to visit physical offices or travel agents to make a reservation. Moreover, 9.6% of services include tickets and seat reservations on transport, which once again highlights the role of e-commerce in facilitating travel arrangements. E-commerce has also made it easier to book and pay for accommodation services, accounting for 1.6% of services provided through a trading platform in Kazakhstan. This means the importance of online platforms allowing travelers to book accommodation, from hotels to vacation rentals, with ease and convenience. By offering a convenient booking and payment process, e-commerce has contributed to improving the overall quality of travel for tourists visiting Kazakhstan [12].</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Initiatives aimed at improving the technological infrastructure of the tourism sector are growing in modern Kazakhstan. "Tourism Online" includes a description of tourism projects implemented in Kazakhstan (urban tourism development, caravanning, information tours, etc.), as well as an interactive map of routes and attractions in the regions of the country. An interesting innovative solution within the framework of this module was the opening of the "Online Academy of Domestic Tourism" [3].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Golden Horde project, which includes information and a map about the main milestones and the territory of the Golden Horde, a calendar of events, as well as the ability to choose a guide in the region to receive high-quality sightseeing services.</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Photobank project: a Kazakhstani photo stock of the regions and attractions of Kazakhstan; photos are available for download, but with a mandatory link to the Kazakhstan Travel portal [4].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Digital technologies are being introduced into the hotel business with some lag, compared with industries such as finance and industry. However, interest in the use of digital technologies in the activities of hotel chains is very high, due to the initial customer orientation of hotel companies. Digital tools allow you to "hear" the client, make him the center of activity of hotel chains [12].</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Progress in the field of digital technologies provides companies with the opportunity to use new resources, sales channels and tools, without which the set goals will not be achieved. But the process of integrating digital technologies into the operations of hotel companies is becoming increasingly difficult, requiring significant financial resources and qualified specialists. Leading hotel TNCs are implementing an ambitious digital transformation aimed at bringing the customer back to the center of their strategy and operations.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digital tourism ecosystem of Kazakhstan presented above, its modules and components are an innovative solution for the tourism business of the country, individual regions, tourist destinations and all market participants.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intuitive interface of Google Maps makes it easier for guides to accurately determine the location of visitors. Guides keep travelers informed of their location, especially when they venture beyond the 500-meter border from them. This particular attribute serves to mitigate any potential ambiguity regarding the tour schedule. </w:t>
      </w:r>
    </w:p>
    <w:p>
      <w:pPr>
        <w:pStyle w:val="Normal"/>
        <w:pBdr/>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Thus, the most downloaded mobile travel apps in the world reflect consumers' preferences for uninterrupted on-demand services. The increased use of applications has contributed to the improvement of the quality and accessibility of services, which has further improved the user experience.</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val="en-US" w:eastAsia="ru-RU"/>
        </w:rPr>
        <w:t>Conclusion.</w:t>
      </w:r>
      <w:r>
        <w:rPr>
          <w:rFonts w:eastAsia="Times New Roman" w:cs="Times New Roman" w:ascii="Times New Roman" w:hAnsi="Times New Roman"/>
          <w:sz w:val="24"/>
          <w:szCs w:val="24"/>
          <w:lang w:val="en-US" w:eastAsia="ru-RU"/>
        </w:rPr>
        <w:t xml:space="preserve"> The creation of a developed tourism sector is of great importance as a key strategy for the structural transformation of the economy of the Republic of Kazakhstan. This paper examines the impact of technological improvements on the tourism business in Kazakhstan, analyzes both the consequences and the growing difficulties in this sector. </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Strategic proposals for improvised technological use in the industry have highlighted the importance of fully integrating digital technologies into all elements of tourism and hospitality. Kazakhstan should give priority to the rapid introduction of innovative products and technologies in order to ensure a strong presence in the global tourism business in a highly competitive environment. It is strongly recommended to introduce new types of logistics using IT technologies into the tourism industry. This includes the introduction of computer technologies into hotel and airline reservation systems, the use of innovative technologies to ensure tourist routes, ensure mobility and safety of transport services. Technology has come to enhance the traveler's experience and facilitate many steps that in previous years could have become difficult or tedious. This also makes the tourism industry a promising option with high growth expectations, which makes it attractive to investors who have noticed the interesting evolution of this industry.</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digital transformation of the tourism sector includes various types of technologies and approaches that affect operational efficiency and customer service quality. They cover a variety of processes that significantly change the way we interact with customers and manage resources in the tourism sector:</w:t>
      </w:r>
    </w:p>
    <w:p>
      <w:pPr>
        <w:pStyle w:val="Normal"/>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1. Online booking and sale of services - Convenience for customers: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online platforms allow users to quickly find and book hotels, flights and excursions;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automation of processes helps to reduce manual work in processing bookings, reduces the likelihood of errors and speeds up the process;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consumers can easily compare offers, the ability to compare prices increases competition and improves the quality of services.</w:t>
      </w:r>
    </w:p>
    <w:p>
      <w:pPr>
        <w:pStyle w:val="Normal"/>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 xml:space="preserve">2. Marketing and advertising:  </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social networks allow you to actively promote relevant information through them, which attracts an audience and builds brand loyalty;</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targeted advertising makes it possible to use user data to create personalized offers. Mobile applications provide users with information about available services, routes and offers in real time;</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marketing optimization and targeted advertising based on big data analysis increases the likelihood of conversion and reduces marketing costs.</w:t>
      </w:r>
    </w:p>
    <w:p>
      <w:pPr>
        <w:pStyle w:val="Normal"/>
        <w:spacing w:lineRule="auto" w:line="240" w:before="0" w:after="0"/>
        <w:ind w:firstLine="567"/>
        <w:jc w:val="both"/>
        <w:rPr>
          <w:rFonts w:ascii="Times New Roman" w:hAnsi="Times New Roman" w:eastAsia="Times New Roman" w:cs="Times New Roman"/>
          <w:i/>
          <w:i/>
          <w:sz w:val="24"/>
          <w:szCs w:val="24"/>
          <w:lang w:val="en-US" w:eastAsia="ru-RU"/>
        </w:rPr>
      </w:pPr>
      <w:r>
        <w:rPr>
          <w:rFonts w:eastAsia="Times New Roman" w:cs="Times New Roman" w:ascii="Times New Roman" w:hAnsi="Times New Roman"/>
          <w:i/>
          <w:sz w:val="24"/>
          <w:szCs w:val="24"/>
          <w:lang w:val="en-US" w:eastAsia="ru-RU"/>
        </w:rPr>
        <w:t>3. Customer Relationship Management (CRM):</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data analysis suggests improved customer interaction. CRM systems help to collect and analyze customer information, which allows you to offer more personalized services. The ability to offer customized services based on customer preferences increases the operational efficiency of the company;</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increasing loyalty - leads to effective management of contacts and feedback, which helps strengthen relationships with customers and increases their loyalty.</w:t>
      </w:r>
    </w:p>
    <w:p>
      <w:pPr>
        <w:pStyle w:val="Normal"/>
        <w:spacing w:lineRule="auto" w:line="240" w:before="0" w:after="0"/>
        <w:ind w:firstLine="567"/>
        <w:jc w:val="both"/>
        <w:rPr>
          <w:rFonts w:ascii="Times New Roman" w:hAnsi="Times New Roman" w:eastAsia="Calibri" w:cs="Times New Roman"/>
          <w:i/>
          <w:i/>
          <w:sz w:val="24"/>
          <w:szCs w:val="24"/>
          <w:lang w:val="en-US" w:eastAsia="ru-RU"/>
        </w:rPr>
      </w:pPr>
      <w:r>
        <w:rPr>
          <w:rFonts w:eastAsia="Calibri" w:cs="Times New Roman" w:ascii="Times New Roman" w:hAnsi="Times New Roman"/>
          <w:i/>
          <w:sz w:val="24"/>
          <w:szCs w:val="24"/>
          <w:lang w:val="en-US" w:eastAsia="ru-RU"/>
        </w:rPr>
        <w:t>4. Payment processing:</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digital payments offer a high level of security and convenience;</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the use of blockchain technology for payment processing provides a high degree of security and transparency, which is especially important for customers. International transactions simplify the payment process for customers from different countries;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blockchain technology can not only simplify, but also automate the booking and insurance processes, reducing costs and increasing customer trust.</w:t>
      </w:r>
    </w:p>
    <w:p>
      <w:pPr>
        <w:pStyle w:val="Normal"/>
        <w:spacing w:lineRule="auto" w:line="240" w:before="0" w:after="0"/>
        <w:ind w:firstLine="567"/>
        <w:jc w:val="both"/>
        <w:rPr>
          <w:rFonts w:ascii="Times New Roman" w:hAnsi="Times New Roman" w:eastAsia="Calibri" w:cs="Times New Roman"/>
          <w:i/>
          <w:i/>
          <w:sz w:val="24"/>
          <w:szCs w:val="24"/>
          <w:lang w:val="en-US" w:eastAsia="ru-RU"/>
        </w:rPr>
      </w:pPr>
      <w:r>
        <w:rPr>
          <w:rFonts w:eastAsia="Calibri" w:cs="Times New Roman" w:ascii="Times New Roman" w:hAnsi="Times New Roman"/>
          <w:i/>
          <w:sz w:val="24"/>
          <w:szCs w:val="24"/>
          <w:lang w:val="en-US" w:eastAsia="ru-RU"/>
        </w:rPr>
        <w:t>5. Inventory management:</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automation of the inventory management system allows you to effectively control the availability of services and minimize costs;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 xml:space="preserve">improved analytics and use of data for demand forecasting; </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big data analytics serves as the basis for demand forecasting and price optimization.  Analyzing consumer behavior data helps predict seasonal fluctuations and adapt supply, improving operational efficiency.</w:t>
      </w:r>
    </w:p>
    <w:p>
      <w:pPr>
        <w:pStyle w:val="Normal"/>
        <w:spacing w:lineRule="auto" w:line="240" w:before="0" w:after="0"/>
        <w:ind w:firstLine="567"/>
        <w:jc w:val="both"/>
        <w:rPr>
          <w:rFonts w:ascii="Times New Roman" w:hAnsi="Times New Roman" w:eastAsia="Calibri" w:cs="Times New Roman"/>
          <w:i/>
          <w:i/>
          <w:sz w:val="24"/>
          <w:szCs w:val="24"/>
          <w:lang w:val="en-US" w:eastAsia="ru-RU"/>
        </w:rPr>
      </w:pPr>
      <w:r>
        <w:rPr>
          <w:rFonts w:eastAsia="Calibri" w:cs="Times New Roman" w:ascii="Times New Roman" w:hAnsi="Times New Roman"/>
          <w:i/>
          <w:sz w:val="24"/>
          <w:szCs w:val="24"/>
          <w:lang w:val="en-US" w:eastAsia="ru-RU"/>
        </w:rPr>
        <w:t>6. Feedback and customer feedback:</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creating a feedback system on the platform to collect and analyze them helps to improve the quality of services;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improvement of reputation management. Online reputation management becomes more effective by monitoring reviews.</w:t>
      </w:r>
    </w:p>
    <w:p>
      <w:pPr>
        <w:pStyle w:val="Normal"/>
        <w:spacing w:lineRule="auto" w:line="240" w:before="0" w:after="0"/>
        <w:ind w:firstLine="567"/>
        <w:jc w:val="both"/>
        <w:rPr>
          <w:rFonts w:ascii="Times New Roman" w:hAnsi="Times New Roman" w:eastAsia="Calibri" w:cs="Times New Roman"/>
          <w:i/>
          <w:i/>
          <w:sz w:val="24"/>
          <w:szCs w:val="24"/>
          <w:lang w:val="en-US" w:eastAsia="ru-RU"/>
        </w:rPr>
      </w:pPr>
      <w:r>
        <w:rPr>
          <w:rFonts w:eastAsia="Calibri" w:cs="Times New Roman" w:ascii="Times New Roman" w:hAnsi="Times New Roman"/>
          <w:i/>
          <w:sz w:val="24"/>
          <w:szCs w:val="24"/>
          <w:lang w:val="en-US" w:eastAsia="ru-RU"/>
        </w:rPr>
        <w:t>7. Digital guides and mobile applications: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the interactivity of the Application with information about tourist routes, restaurants and attractions increases the interest in travel;</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 xml:space="preserve">artificial intelligence and chatbots automate customer support.  They can quickly respond to customer requests 24/7, which improves the quality of service and reduces the burden on staff;                                                                                                                                                            </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aI algorithms can analyze customer preferences and offer them personalized recommendations and related services, increasing the likelihood of purchases;</w:t>
      </w:r>
    </w:p>
    <w:p>
      <w:pPr>
        <w:pStyle w:val="Normal"/>
        <w:numPr>
          <w:ilvl w:val="0"/>
          <w:numId w:val="6"/>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localization: the ability to receive information in your native language and at a convenient time.</w:t>
      </w:r>
    </w:p>
    <w:p>
      <w:pPr>
        <w:pStyle w:val="Normal"/>
        <w:spacing w:lineRule="auto" w:line="240" w:before="0" w:after="0"/>
        <w:ind w:firstLine="567"/>
        <w:jc w:val="both"/>
        <w:rPr>
          <w:rFonts w:ascii="Times New Roman" w:hAnsi="Times New Roman" w:eastAsia="Calibri" w:cs="Times New Roman"/>
          <w:i/>
          <w:i/>
          <w:sz w:val="24"/>
          <w:szCs w:val="24"/>
          <w:lang w:val="en-US" w:eastAsia="ru-RU"/>
        </w:rPr>
      </w:pPr>
      <w:r>
        <w:rPr>
          <w:rFonts w:eastAsia="Calibri" w:cs="Times New Roman" w:ascii="Times New Roman" w:hAnsi="Times New Roman"/>
          <w:i/>
          <w:sz w:val="24"/>
          <w:szCs w:val="24"/>
          <w:lang w:val="en-US" w:eastAsia="ru-RU"/>
        </w:rPr>
        <w:t>8. Analytics and reporting:</w:t>
      </w:r>
    </w:p>
    <w:p>
      <w:pPr>
        <w:pStyle w:val="Normal"/>
        <w:numPr>
          <w:ilvl w:val="0"/>
          <w:numId w:val="7"/>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business analytics: collecting and analyzing data about the market, trends and customer behavior allows you to make informed decisions;</w:t>
      </w:r>
    </w:p>
    <w:p>
      <w:pPr>
        <w:pStyle w:val="Normal"/>
        <w:numPr>
          <w:ilvl w:val="0"/>
          <w:numId w:val="7"/>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process optimization: identify bottlenecks and areas for improvement based on data.</w:t>
      </w:r>
    </w:p>
    <w:p>
      <w:pPr>
        <w:pStyle w:val="Normal"/>
        <w:spacing w:lineRule="auto" w:line="240" w:before="0" w:after="0"/>
        <w:ind w:firstLine="567"/>
        <w:jc w:val="both"/>
        <w:rPr>
          <w:rFonts w:ascii="Times New Roman" w:hAnsi="Times New Roman" w:eastAsia="Calibri" w:cs="Times New Roman"/>
          <w:i/>
          <w:i/>
          <w:sz w:val="24"/>
          <w:szCs w:val="24"/>
          <w:lang w:val="en-US" w:eastAsia="ru-RU"/>
        </w:rPr>
      </w:pPr>
      <w:r>
        <w:rPr>
          <w:rFonts w:eastAsia="Calibri" w:cs="Times New Roman" w:ascii="Times New Roman" w:hAnsi="Times New Roman"/>
          <w:i/>
          <w:sz w:val="24"/>
          <w:szCs w:val="24"/>
          <w:lang w:val="en-US" w:eastAsia="ru-RU"/>
        </w:rPr>
        <w:t>9. Travel planning:</w:t>
      </w:r>
    </w:p>
    <w:p>
      <w:pPr>
        <w:pStyle w:val="Normal"/>
        <w:numPr>
          <w:ilvl w:val="0"/>
          <w:numId w:val="8"/>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creates the possibility of combining and integrating various services in one platform;</w:t>
      </w:r>
    </w:p>
    <w:p>
      <w:pPr>
        <w:pStyle w:val="Normal"/>
        <w:numPr>
          <w:ilvl w:val="0"/>
          <w:numId w:val="8"/>
        </w:numPr>
        <w:tabs>
          <w:tab w:val="clear" w:pos="708"/>
          <w:tab w:val="left" w:pos="851" w:leader="none"/>
        </w:tabs>
        <w:spacing w:lineRule="auto" w:line="240" w:before="0" w:after="0"/>
        <w:ind w:firstLine="567" w:left="0"/>
        <w:contextualSpacing/>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 xml:space="preserve">virtual and augmented reality (VR/AR technologies) allow users to "view" places and services in advance, i.e. conduct interactive tours, which may affect their booking decision. These technologies can enhance the "customer experience" of users and improve their engagement, creating unique experiences, and become a tool for creating individualized routes based on customer preferences.   </w:t>
      </w:r>
    </w:p>
    <w:p>
      <w:pPr>
        <w:pStyle w:val="Normal"/>
        <w:spacing w:lineRule="auto" w:line="240" w:before="0" w:after="0"/>
        <w:ind w:firstLine="567"/>
        <w:jc w:val="both"/>
        <w:rPr>
          <w:rFonts w:ascii="Times New Roman" w:hAnsi="Times New Roman" w:eastAsia="Calibri" w:cs="Times New Roman"/>
          <w:sz w:val="24"/>
          <w:szCs w:val="24"/>
          <w:lang w:val="en-US" w:eastAsia="ru-RU"/>
        </w:rPr>
      </w:pPr>
      <w:r>
        <w:rPr>
          <w:rFonts w:eastAsia="Calibri" w:cs="Times New Roman" w:ascii="Times New Roman" w:hAnsi="Times New Roman"/>
          <w:sz w:val="24"/>
          <w:szCs w:val="24"/>
          <w:lang w:val="en-US" w:eastAsia="ru-RU"/>
        </w:rPr>
        <w:t>Digitalization of the tourism sector not only improves the customer experience, but also contributes to business efficiency, reducing costs and increasing profits. The integration of technology into the tourism business of the republic can significantly stimulate growth and promote innovation. The results highlight the importance of continuous technological improvement in order to keep up with global trends and meet the growing expectations of modern visitors. Considering that digital transformation includes various types of technologies and approaches that affect operational efficiency and customer service quality, an attempt has been made to present in an orderly manner those processes that have significantly changed the way customers interact and manage resources in the tourism sector.</w:t>
      </w:r>
    </w:p>
    <w:p>
      <w:pPr>
        <w:pStyle w:val="Normal"/>
        <w:spacing w:lineRule="auto" w:line="240" w:before="0" w:after="0"/>
        <w:ind w:firstLine="567"/>
        <w:jc w:val="both"/>
        <w:rPr>
          <w:rFonts w:ascii="Times New Roman" w:hAnsi="Times New Roman" w:eastAsia="Calibri" w:cs="Times New Roman"/>
          <w:color w:val="000000"/>
          <w:sz w:val="24"/>
          <w:szCs w:val="24"/>
          <w:lang w:val="en-US" w:eastAsia="ru-RU"/>
        </w:rPr>
      </w:pPr>
      <w:r>
        <w:rPr>
          <w:rFonts w:eastAsia="Times New Roman" w:cs="Times New Roman" w:ascii="Times New Roman" w:hAnsi="Times New Roman"/>
          <w:sz w:val="24"/>
          <w:szCs w:val="24"/>
          <w:lang w:val="en-US" w:eastAsia="ru-RU"/>
        </w:rPr>
        <w:t>Kazakhstan can use digital transformation to ensure a sustainable future for its tourism industry by implementing strategic planning and continuous adaptation. These activities are expected to enhance the quality of service, operational efficiency and overall customer satisfaction, which will ultimately contribute to the sustainable growth of the tourism industry. This, in turn, will increase the competitiveness and attractiveness of Kazakhstan as a global tourist destination.</w:t>
      </w:r>
    </w:p>
    <w:p>
      <w:pPr>
        <w:pStyle w:val="Normal"/>
        <w:spacing w:lineRule="auto" w:line="240" w:before="0" w:after="0"/>
        <w:ind w:firstLine="720"/>
        <w:jc w:val="both"/>
        <w:rPr>
          <w:rFonts w:ascii="Times New Roman" w:hAnsi="Times New Roman" w:eastAsia="Times New Roman" w:cs="Times New Roman"/>
          <w:b/>
          <w:bCs/>
          <w:sz w:val="24"/>
          <w:szCs w:val="24"/>
          <w:lang w:val="en-US" w:eastAsia="ru-RU"/>
        </w:rPr>
      </w:pPr>
      <w:r>
        <w:rPr>
          <w:rFonts w:eastAsia="Times New Roman" w:cs="Times New Roman" w:ascii="Times New Roman" w:hAnsi="Times New Roman"/>
          <w:b/>
          <w:bCs/>
          <w:sz w:val="24"/>
          <w:szCs w:val="24"/>
          <w:lang w:val="en-US" w:eastAsia="ru-RU"/>
        </w:rPr>
      </w:r>
    </w:p>
    <w:p>
      <w:pPr>
        <w:pStyle w:val="Normal"/>
        <w:pBdr/>
        <w:tabs>
          <w:tab w:val="clear" w:pos="708"/>
          <w:tab w:val="left" w:pos="851" w:leader="none"/>
        </w:tabs>
        <w:spacing w:lineRule="auto" w:line="240" w:before="0" w:after="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Литература</w:t>
      </w:r>
    </w:p>
    <w:p>
      <w:pPr>
        <w:pStyle w:val="Normal"/>
        <w:pBdr/>
        <w:tabs>
          <w:tab w:val="clear" w:pos="708"/>
          <w:tab w:val="left" w:pos="851" w:leader="none"/>
        </w:tabs>
        <w:spacing w:lineRule="auto" w:line="240" w:before="0" w:after="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numPr>
          <w:ilvl w:val="0"/>
          <w:numId w:val="9"/>
        </w:numPr>
        <w:tabs>
          <w:tab w:val="clear" w:pos="708"/>
          <w:tab w:val="left" w:pos="567"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McKinsey. Future of Tourism: Tech, Staff, and Customers. - 2024. URL: </w:t>
      </w:r>
      <w:hyperlink r:id="rId70">
        <w:r>
          <w:rPr>
            <w:rStyle w:val="Style3"/>
            <w:rFonts w:eastAsia="Times New Roman" w:cs="Times New Roman" w:ascii="Times New Roman" w:hAnsi="Times New Roman"/>
            <w:sz w:val="24"/>
            <w:szCs w:val="24"/>
            <w:lang w:val="en-US" w:eastAsia="ru-RU"/>
          </w:rPr>
          <w:t>https://www.mckinsey.com</w:t>
        </w:r>
      </w:hyperlink>
      <w:r>
        <w:rPr>
          <w:rFonts w:eastAsia="Times New Roman" w:cs="Times New Roman" w:ascii="Times New Roman" w:hAnsi="Times New Roman"/>
          <w:sz w:val="24"/>
          <w:szCs w:val="24"/>
          <w:lang w:val="en-US" w:eastAsia="ru-RU"/>
        </w:rPr>
        <w:t xml:space="preserve"> (accessed on 23.08.2025).</w:t>
      </w:r>
    </w:p>
    <w:p>
      <w:pPr>
        <w:pStyle w:val="Normal"/>
        <w:numPr>
          <w:ilvl w:val="0"/>
          <w:numId w:val="9"/>
        </w:numPr>
        <w:tabs>
          <w:tab w:val="clear" w:pos="708"/>
          <w:tab w:val="left" w:pos="567"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Travelport. Digital Traveler Survey 2019: Mobile App Usage in Travel. - 2019. URL: </w:t>
      </w:r>
      <w:hyperlink r:id="rId71">
        <w:r>
          <w:rPr>
            <w:rStyle w:val="Style3"/>
            <w:rFonts w:eastAsia="Times New Roman" w:cs="Times New Roman" w:ascii="Times New Roman" w:hAnsi="Times New Roman"/>
            <w:sz w:val="24"/>
            <w:szCs w:val="24"/>
            <w:lang w:val="en-US" w:eastAsia="ru-RU"/>
          </w:rPr>
          <w:t>https://www.travelport.com</w:t>
        </w:r>
      </w:hyperlink>
      <w:r>
        <w:rPr>
          <w:rFonts w:eastAsia="Times New Roman" w:cs="Times New Roman" w:ascii="Times New Roman" w:hAnsi="Times New Roman"/>
          <w:sz w:val="24"/>
          <w:szCs w:val="24"/>
          <w:lang w:val="en-US" w:eastAsia="ru-RU"/>
        </w:rPr>
        <w:t xml:space="preserve"> (accessed on 23.08.2025).</w:t>
      </w:r>
    </w:p>
    <w:p>
      <w:pPr>
        <w:pStyle w:val="Normal"/>
        <w:numPr>
          <w:ilvl w:val="0"/>
          <w:numId w:val="9"/>
        </w:numPr>
        <w:tabs>
          <w:tab w:val="clear" w:pos="708"/>
          <w:tab w:val="left" w:pos="567"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Statista. Most downloaded travel apps worldwide in 2022-2023, by aggregated number of downloads (in millions). - 2023. URL: </w:t>
      </w:r>
      <w:hyperlink r:id="rId72">
        <w:r>
          <w:rPr>
            <w:rStyle w:val="Style3"/>
            <w:rFonts w:eastAsia="Times New Roman" w:cs="Times New Roman" w:ascii="Times New Roman" w:hAnsi="Times New Roman"/>
            <w:sz w:val="24"/>
            <w:szCs w:val="24"/>
            <w:lang w:val="en-US" w:eastAsia="ru-RU"/>
          </w:rPr>
          <w:t>https://www.statista.com</w:t>
        </w:r>
      </w:hyperlink>
      <w:r>
        <w:rPr>
          <w:rFonts w:eastAsia="Times New Roman" w:cs="Times New Roman" w:ascii="Times New Roman" w:hAnsi="Times New Roman"/>
          <w:sz w:val="24"/>
          <w:szCs w:val="24"/>
          <w:lang w:val="en-US" w:eastAsia="ru-RU"/>
        </w:rPr>
        <w:t xml:space="preserve"> (accessed on 23.08.2025).</w:t>
      </w:r>
    </w:p>
    <w:p>
      <w:pPr>
        <w:pStyle w:val="Normal"/>
        <w:numPr>
          <w:ilvl w:val="0"/>
          <w:numId w:val="9"/>
        </w:numPr>
        <w:tabs>
          <w:tab w:val="clear" w:pos="708"/>
          <w:tab w:val="left" w:pos="567"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Abuev A. Tourism in Kazakhstan: industry research, issues and prospects. - 2024. URL:  </w:t>
      </w:r>
      <w:hyperlink r:id="rId73" w:tgtFrame="_new">
        <w:r>
          <w:rPr>
            <w:rStyle w:val="Style3"/>
            <w:rFonts w:eastAsia="Times New Roman" w:cs="Times New Roman" w:ascii="Times New Roman" w:hAnsi="Times New Roman"/>
            <w:sz w:val="24"/>
            <w:szCs w:val="24"/>
            <w:lang w:val="en-US" w:eastAsia="ru-RU"/>
          </w:rPr>
          <w:t>https://ffin.kz/research/9-turizm-v-kazakhstane-issledovanie-otrasli-problematika-i-perspektivy</w:t>
        </w:r>
      </w:hyperlink>
      <w:r>
        <w:rPr>
          <w:rFonts w:eastAsia="Times New Roman" w:cs="Times New Roman" w:ascii="Times New Roman" w:hAnsi="Times New Roman"/>
          <w:sz w:val="24"/>
          <w:szCs w:val="24"/>
          <w:lang w:val="en-US" w:eastAsia="ru-RU"/>
        </w:rPr>
        <w:t xml:space="preserve"> (accessed on 23.08.2025).</w:t>
      </w:r>
    </w:p>
    <w:p>
      <w:pPr>
        <w:pStyle w:val="Normal"/>
        <w:numPr>
          <w:ilvl w:val="0"/>
          <w:numId w:val="9"/>
        </w:numPr>
        <w:tabs>
          <w:tab w:val="clear" w:pos="708"/>
          <w:tab w:val="left" w:pos="567"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Concept for the development of the tourism industry of the Republic of Kazakhstan for 2023-2029. Resolution No. 262 of 28.03.2023. - URL: </w:t>
      </w:r>
      <w:hyperlink r:id="rId74" w:tgtFrame="_new">
        <w:r>
          <w:rPr>
            <w:rStyle w:val="Style3"/>
            <w:rFonts w:eastAsia="Times New Roman" w:cs="Times New Roman" w:ascii="Times New Roman" w:hAnsi="Times New Roman"/>
            <w:sz w:val="24"/>
            <w:szCs w:val="24"/>
            <w:lang w:val="en-US" w:eastAsia="ru-RU"/>
          </w:rPr>
          <w:t>https://adilet.zan.kz/rus/docs/P2300000262</w:t>
        </w:r>
      </w:hyperlink>
      <w:r>
        <w:rPr>
          <w:rFonts w:eastAsia="Times New Roman" w:cs="Times New Roman" w:ascii="Times New Roman" w:hAnsi="Times New Roman"/>
          <w:sz w:val="24"/>
          <w:szCs w:val="24"/>
          <w:lang w:val="en-US" w:eastAsia="ru-RU"/>
        </w:rPr>
        <w:t xml:space="preserve">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6. Мамраева Д.Г.,Ташенова Л.В.,Гребенюк Д.Д. Особенности использовании цифровых технологий при разработке городских туристических маршрутов: лучшие мировые практики// Вестник университета Туран- 2022. - № 3. - </w:t>
      </w:r>
      <w:r>
        <w:rPr>
          <w:rFonts w:eastAsia="Times New Roman" w:cs="Times New Roman" w:ascii="Times New Roman" w:hAnsi="Times New Roman"/>
          <w:sz w:val="24"/>
          <w:szCs w:val="24"/>
          <w:lang w:val="en-US" w:eastAsia="ru-RU"/>
        </w:rPr>
        <w:t>P</w:t>
      </w:r>
      <w:r>
        <w:rPr>
          <w:rFonts w:eastAsia="Times New Roman" w:cs="Times New Roman" w:ascii="Times New Roman" w:hAnsi="Times New Roman"/>
          <w:sz w:val="24"/>
          <w:szCs w:val="24"/>
          <w:lang w:eastAsia="ru-RU"/>
        </w:rPr>
        <w:t xml:space="preserve">.122-131. </w:t>
      </w:r>
      <w:r>
        <w:rPr>
          <w:rFonts w:eastAsia="Times New Roman" w:cs="Times New Roman" w:ascii="Times New Roman" w:hAnsi="Times New Roman"/>
          <w:sz w:val="24"/>
          <w:szCs w:val="24"/>
          <w:lang w:val="en-US" w:eastAsia="ru-RU"/>
        </w:rPr>
        <w:t>DOI</w:t>
      </w:r>
      <w:r>
        <w:rPr>
          <w:rFonts w:eastAsia="Times New Roman" w:cs="Times New Roman" w:ascii="Times New Roman" w:hAnsi="Times New Roman"/>
          <w:sz w:val="24"/>
          <w:szCs w:val="24"/>
          <w:lang w:eastAsia="ru-RU"/>
        </w:rPr>
        <w:t xml:space="preserve"> 10.46914/1562-2959-2022-1-3-122-131.</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 xml:space="preserve">7. </w:t>
      </w:r>
      <w:r>
        <w:rPr>
          <w:rFonts w:eastAsia="Times New Roman" w:cs="Times New Roman" w:ascii="Times New Roman" w:hAnsi="Times New Roman"/>
          <w:sz w:val="24"/>
          <w:szCs w:val="24"/>
          <w:lang w:val="en-US" w:eastAsia="ru-RU"/>
        </w:rPr>
        <w:t>Tashenova</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L</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V</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Mamraeva</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D</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G</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Borbasova</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Z</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N</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Grebenyuk</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D</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D</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Development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of</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tourist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smart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destinations</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promising</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world</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practices</w:t>
      </w:r>
      <w:r>
        <w:rPr>
          <w:rFonts w:eastAsia="Times New Roman" w:cs="Times New Roman" w:ascii="Times New Roman" w:hAnsi="Times New Roman"/>
          <w:sz w:val="24"/>
          <w:szCs w:val="24"/>
          <w:lang w:eastAsia="ru-RU"/>
        </w:rPr>
        <w:t xml:space="preserve"> // </w:t>
      </w:r>
      <w:r>
        <w:rPr>
          <w:rFonts w:eastAsia="Times New Roman" w:cs="Times New Roman" w:ascii="Times New Roman" w:hAnsi="Times New Roman"/>
          <w:sz w:val="24"/>
          <w:szCs w:val="24"/>
          <w:lang w:val="kk-KZ" w:eastAsia="ru-RU"/>
        </w:rPr>
        <w:t>Қ</w:t>
      </w:r>
      <w:r>
        <w:rPr>
          <w:rFonts w:eastAsia="Times New Roman" w:cs="Times New Roman" w:ascii="Times New Roman" w:hAnsi="Times New Roman"/>
          <w:sz w:val="24"/>
          <w:szCs w:val="24"/>
          <w:lang w:eastAsia="ru-RU"/>
        </w:rPr>
        <w:t xml:space="preserve">азақ экономика, қаржы және халықаралық сауда университетінің жаршысы </w:t>
      </w:r>
      <w:r>
        <w:rPr>
          <w:rFonts w:eastAsia="Times New Roman" w:cs="Times New Roman" w:ascii="Times New Roman" w:hAnsi="Times New Roman"/>
          <w:sz w:val="24"/>
          <w:szCs w:val="24"/>
          <w:lang w:val="kk-KZ" w:eastAsia="ru-RU"/>
        </w:rPr>
        <w:t>- М</w:t>
      </w:r>
      <w:r>
        <w:rPr>
          <w:rFonts w:eastAsia="Times New Roman" w:cs="Times New Roman" w:ascii="Times New Roman" w:hAnsi="Times New Roman"/>
          <w:sz w:val="24"/>
          <w:szCs w:val="24"/>
          <w:lang w:eastAsia="ru-RU"/>
        </w:rPr>
        <w:t xml:space="preserve">аркетинг и </w:t>
      </w:r>
      <w:r>
        <w:rPr>
          <w:rFonts w:eastAsia="Times New Roman" w:cs="Times New Roman" w:ascii="Times New Roman" w:hAnsi="Times New Roman"/>
          <w:sz w:val="24"/>
          <w:szCs w:val="24"/>
          <w:lang w:val="kk-KZ" w:eastAsia="ru-RU"/>
        </w:rPr>
        <w:t>Т</w:t>
      </w:r>
      <w:r>
        <w:rPr>
          <w:rFonts w:eastAsia="Times New Roman" w:cs="Times New Roman" w:ascii="Times New Roman" w:hAnsi="Times New Roman"/>
          <w:sz w:val="24"/>
          <w:szCs w:val="24"/>
          <w:lang w:eastAsia="ru-RU"/>
        </w:rPr>
        <w:t>уризм</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2022. - № 3(48). - P.350–359. DOI 10.52260/2304-7216.2022.3(48).45.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8. Mussina K.P., Mamrayeva D.G., Lemanowicz M. Digitalization in the tourism industry of Kazakhstan // Economics Journal. - 2020. - №3. - P.64 - 72. DOI</w:t>
      </w:r>
      <w:r>
        <w:rPr>
          <w:rFonts w:eastAsia="Times New Roman" w:cs="Times New Roman" w:ascii="Times New Roman" w:hAnsi="Times New Roman"/>
          <w:sz w:val="24"/>
          <w:szCs w:val="24"/>
          <w:lang w:eastAsia="ru-RU"/>
        </w:rPr>
        <w:t xml:space="preserve"> 10.31489/2020</w:t>
      </w:r>
      <w:r>
        <w:rPr>
          <w:rFonts w:eastAsia="Times New Roman" w:cs="Times New Roman" w:ascii="Times New Roman" w:hAnsi="Times New Roman"/>
          <w:sz w:val="24"/>
          <w:szCs w:val="24"/>
          <w:lang w:val="en-US" w:eastAsia="ru-RU"/>
        </w:rPr>
        <w:t>ec</w:t>
      </w:r>
      <w:r>
        <w:rPr>
          <w:rFonts w:eastAsia="Times New Roman" w:cs="Times New Roman" w:ascii="Times New Roman" w:hAnsi="Times New Roman"/>
          <w:sz w:val="24"/>
          <w:szCs w:val="24"/>
          <w:lang w:eastAsia="ru-RU"/>
        </w:rPr>
        <w:t>3/64-72.</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 xml:space="preserve">9. Е.Қалекеева , Г.В. Муратбекова, С. Жардемкызы, А.А.Албанова. Внедрение цифровых технологий в области пассажирских и грузовых перевозок// Вестник КазАТК- № 1(130).-С.119-129. </w:t>
      </w:r>
      <w:r>
        <w:rPr>
          <w:rFonts w:eastAsia="Times New Roman" w:cs="Times New Roman" w:ascii="Times New Roman" w:hAnsi="Times New Roman"/>
          <w:sz w:val="24"/>
          <w:szCs w:val="24"/>
          <w:lang w:val="en-US" w:eastAsia="ru-RU"/>
        </w:rPr>
        <w:t>DOI 10.52167/1609-1817-2024-130-1-119-129.</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10. Royal Tulip Almaty Hotel. Database 2019–2023: Technology-related factors that influenced guest decisions URL: </w:t>
      </w:r>
      <w:hyperlink r:id="rId75" w:tgtFrame="_new">
        <w:r>
          <w:rPr>
            <w:rStyle w:val="Style3"/>
            <w:rFonts w:eastAsia="Times New Roman" w:cs="Times New Roman" w:ascii="Times New Roman" w:hAnsi="Times New Roman"/>
            <w:sz w:val="24"/>
            <w:szCs w:val="24"/>
            <w:lang w:val="en-US" w:eastAsia="ru-RU"/>
          </w:rPr>
          <w:t>https://royal-tulip-almaty.goldentulip.com/en-us/</w:t>
        </w:r>
      </w:hyperlink>
      <w:r>
        <w:rPr>
          <w:rFonts w:eastAsia="Times New Roman" w:cs="Times New Roman" w:ascii="Times New Roman" w:hAnsi="Times New Roman"/>
          <w:sz w:val="24"/>
          <w:szCs w:val="24"/>
          <w:lang w:val="en-US" w:eastAsia="ru-RU"/>
        </w:rPr>
        <w:t>(accessed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11. SimilarWeb. Top Mobile Apps in Kazakhstan – Travel &amp; Local Category [Электронный ресурс]. - 2025. - https://www.similarweb.com/top-apps/google/kazakhstan/travel-local/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12.Omarova A., Borbasova Z. The impact of the hotel business on the digital economy of Kazakhstan // </w:t>
      </w:r>
      <w:r>
        <w:rPr>
          <w:rFonts w:eastAsia="Times New Roman" w:cs="Times New Roman" w:ascii="Times New Roman" w:hAnsi="Times New Roman"/>
          <w:sz w:val="24"/>
          <w:szCs w:val="24"/>
          <w:lang w:eastAsia="ru-RU"/>
        </w:rPr>
        <w:t>В</w:t>
      </w:r>
      <w:r>
        <w:rPr>
          <w:rFonts w:eastAsia="Times New Roman" w:cs="Times New Roman" w:ascii="Times New Roman" w:hAnsi="Times New Roman"/>
          <w:sz w:val="24"/>
          <w:szCs w:val="24"/>
          <w:lang w:val="en-US" w:eastAsia="ru-RU"/>
        </w:rPr>
        <w:t xml:space="preserve">естник казахского университета экономики, финансов и международной торговли.-2024.-№1(54).-P.93-98. - DOI 10.52260/2304-7216.2024.1(54).12. </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pBdr/>
        <w:spacing w:lineRule="auto" w:line="240" w:before="0" w:after="0"/>
        <w:contextualSpacing/>
        <w:jc w:val="center"/>
        <w:rPr>
          <w:rFonts w:ascii="Times New Roman" w:hAnsi="Times New Roman" w:eastAsia="Times New Roman" w:cs="Times New Roman"/>
          <w:b/>
          <w:bCs/>
          <w:sz w:val="24"/>
          <w:szCs w:val="24"/>
          <w:lang w:val="en-US" w:eastAsia="ru-RU"/>
        </w:rPr>
      </w:pPr>
      <w:r>
        <w:rPr>
          <w:rFonts w:eastAsia="Times New Roman" w:cs="Times New Roman" w:ascii="Times New Roman" w:hAnsi="Times New Roman"/>
          <w:b/>
          <w:bCs/>
          <w:sz w:val="24"/>
          <w:szCs w:val="24"/>
          <w:lang w:val="en-US" w:eastAsia="ru-RU"/>
        </w:rPr>
        <w:t>References</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 McKinsey. Future of Tourism: Tech, Staff, and Customers. - 2024. URL: </w:t>
      </w:r>
      <w:hyperlink r:id="rId76">
        <w:r>
          <w:rPr>
            <w:rStyle w:val="Style3"/>
            <w:rFonts w:eastAsia="Times New Roman" w:cs="Times New Roman" w:ascii="Times New Roman" w:hAnsi="Times New Roman"/>
            <w:sz w:val="24"/>
            <w:szCs w:val="24"/>
            <w:lang w:val="en-US" w:eastAsia="ru-RU"/>
          </w:rPr>
          <w:t>https://www.mckinsey.com</w:t>
        </w:r>
      </w:hyperlink>
      <w:r>
        <w:rPr>
          <w:rFonts w:eastAsia="Times New Roman" w:cs="Times New Roman" w:ascii="Times New Roman" w:hAnsi="Times New Roman"/>
          <w:sz w:val="24"/>
          <w:szCs w:val="24"/>
          <w:lang w:val="en-US" w:eastAsia="ru-RU"/>
        </w:rPr>
        <w:t xml:space="preserve">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2. Travelport. Digital Traveler Survey 2019: Mobile App Usage in Travel. - 2019. URL: </w:t>
      </w:r>
      <w:hyperlink r:id="rId77">
        <w:r>
          <w:rPr>
            <w:rStyle w:val="Style3"/>
            <w:rFonts w:eastAsia="Times New Roman" w:cs="Times New Roman" w:ascii="Times New Roman" w:hAnsi="Times New Roman"/>
            <w:sz w:val="24"/>
            <w:szCs w:val="24"/>
            <w:lang w:val="en-US" w:eastAsia="ru-RU"/>
          </w:rPr>
          <w:t>https://www.travelport.com</w:t>
        </w:r>
      </w:hyperlink>
      <w:r>
        <w:rPr>
          <w:rFonts w:eastAsia="Times New Roman" w:cs="Times New Roman" w:ascii="Times New Roman" w:hAnsi="Times New Roman"/>
          <w:sz w:val="24"/>
          <w:szCs w:val="24"/>
          <w:lang w:val="en-US" w:eastAsia="ru-RU"/>
        </w:rPr>
        <w:t xml:space="preserve">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3. Statista. Most downloaded travel apps worldwide in 2022-2023, by aggregated number of downloads (in millions). - 2023. URL: </w:t>
      </w:r>
      <w:hyperlink r:id="rId78">
        <w:r>
          <w:rPr>
            <w:rStyle w:val="Style3"/>
            <w:rFonts w:eastAsia="Times New Roman" w:cs="Times New Roman" w:ascii="Times New Roman" w:hAnsi="Times New Roman"/>
            <w:sz w:val="24"/>
            <w:szCs w:val="24"/>
            <w:lang w:val="en-US" w:eastAsia="ru-RU"/>
          </w:rPr>
          <w:t>https://www.statista.com</w:t>
        </w:r>
      </w:hyperlink>
      <w:r>
        <w:rPr>
          <w:rFonts w:eastAsia="Times New Roman" w:cs="Times New Roman" w:ascii="Times New Roman" w:hAnsi="Times New Roman"/>
          <w:sz w:val="24"/>
          <w:szCs w:val="24"/>
          <w:lang w:val="en-US" w:eastAsia="ru-RU"/>
        </w:rPr>
        <w:t xml:space="preserve">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4. Abuev A. Tourism in Kazakhstan: industry research, issues and prospects. - 2024. URL:  </w:t>
      </w:r>
      <w:hyperlink r:id="rId79" w:tgtFrame="_new">
        <w:r>
          <w:rPr>
            <w:rStyle w:val="Style3"/>
            <w:rFonts w:eastAsia="Times New Roman" w:cs="Times New Roman" w:ascii="Times New Roman" w:hAnsi="Times New Roman"/>
            <w:sz w:val="24"/>
            <w:szCs w:val="24"/>
            <w:lang w:val="en-US" w:eastAsia="ru-RU"/>
          </w:rPr>
          <w:t>https://ffin.kz/research/9-turizm-v-kazakhstane-issledovanie-otrasli-problematika-i-perspektivy</w:t>
        </w:r>
      </w:hyperlink>
      <w:r>
        <w:rPr>
          <w:rFonts w:eastAsia="Times New Roman" w:cs="Times New Roman" w:ascii="Times New Roman" w:hAnsi="Times New Roman"/>
          <w:sz w:val="24"/>
          <w:szCs w:val="24"/>
          <w:lang w:val="en-US" w:eastAsia="ru-RU"/>
        </w:rPr>
        <w:t xml:space="preserve">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5. Concept for the development of the tourism industry of the Republic of Kazakhstan for 2023-2029. Resolution No. 262 of 28.03.2023. - URL: </w:t>
      </w:r>
      <w:hyperlink r:id="rId80" w:tgtFrame="_new">
        <w:r>
          <w:rPr>
            <w:rStyle w:val="Style3"/>
            <w:rFonts w:eastAsia="Times New Roman" w:cs="Times New Roman" w:ascii="Times New Roman" w:hAnsi="Times New Roman"/>
            <w:sz w:val="24"/>
            <w:szCs w:val="24"/>
            <w:lang w:val="en-US" w:eastAsia="ru-RU"/>
          </w:rPr>
          <w:t>https://adilet.zan.kz/rus/docs/P2300000262</w:t>
        </w:r>
      </w:hyperlink>
      <w:r>
        <w:rPr>
          <w:rFonts w:eastAsia="Times New Roman" w:cs="Times New Roman" w:ascii="Times New Roman" w:hAnsi="Times New Roman"/>
          <w:sz w:val="24"/>
          <w:szCs w:val="24"/>
          <w:lang w:val="en-US" w:eastAsia="ru-RU"/>
        </w:rPr>
        <w:t xml:space="preserve">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6. Mamraeva D.G.,Tashenova L.V.,Grebenjuk D.D. Osobennosti ispol'zovanii cifrovyh tehnologij pri razrabotke gorodskih turisticheskih marshrutov: luchshie mirovye praktiki// Vestnik universiteta Turan- 2022. - № 3. - P.122-131. DOI 10.46914/1562-2959-2022-1-3-122-131.[in Russian]</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7. Tashenova L.V., Mamraeva D.G., Borbasova Z.N., Grebenyuk D.D. Development of tourist smart destinations: promising world practices // </w:t>
      </w:r>
      <w:r>
        <w:rPr>
          <w:rFonts w:eastAsia="Times New Roman" w:cs="Times New Roman" w:ascii="Times New Roman" w:hAnsi="Times New Roman"/>
          <w:sz w:val="24"/>
          <w:szCs w:val="24"/>
          <w:lang w:val="kk-KZ" w:eastAsia="ru-RU"/>
        </w:rPr>
        <w:t>Қ</w:t>
      </w:r>
      <w:r>
        <w:rPr>
          <w:rFonts w:eastAsia="Times New Roman" w:cs="Times New Roman" w:ascii="Times New Roman" w:hAnsi="Times New Roman"/>
          <w:sz w:val="24"/>
          <w:szCs w:val="24"/>
          <w:lang w:val="en-US" w:eastAsia="ru-RU"/>
        </w:rPr>
        <w:t xml:space="preserve">азақ экономика, қаржы және халықаралық сауда университетінің жаршысы </w:t>
      </w:r>
      <w:r>
        <w:rPr>
          <w:rFonts w:eastAsia="Times New Roman" w:cs="Times New Roman" w:ascii="Times New Roman" w:hAnsi="Times New Roman"/>
          <w:sz w:val="24"/>
          <w:szCs w:val="24"/>
          <w:lang w:val="kk-KZ" w:eastAsia="ru-RU"/>
        </w:rPr>
        <w:t>- М</w:t>
      </w:r>
      <w:r>
        <w:rPr>
          <w:rFonts w:eastAsia="Times New Roman" w:cs="Times New Roman" w:ascii="Times New Roman" w:hAnsi="Times New Roman"/>
          <w:sz w:val="24"/>
          <w:szCs w:val="24"/>
          <w:lang w:val="en-US" w:eastAsia="ru-RU"/>
        </w:rPr>
        <w:t xml:space="preserve">аркетинг и </w:t>
      </w:r>
      <w:r>
        <w:rPr>
          <w:rFonts w:eastAsia="Times New Roman" w:cs="Times New Roman" w:ascii="Times New Roman" w:hAnsi="Times New Roman"/>
          <w:sz w:val="24"/>
          <w:szCs w:val="24"/>
          <w:lang w:val="kk-KZ" w:eastAsia="ru-RU"/>
        </w:rPr>
        <w:t>Т</w:t>
      </w:r>
      <w:r>
        <w:rPr>
          <w:rFonts w:eastAsia="Times New Roman" w:cs="Times New Roman" w:ascii="Times New Roman" w:hAnsi="Times New Roman"/>
          <w:sz w:val="24"/>
          <w:szCs w:val="24"/>
          <w:lang w:val="en-US" w:eastAsia="ru-RU"/>
        </w:rPr>
        <w:t>уризм</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- 2022. - № 3(48). - P.350–359. DOI 10.52260/2304-7216.2022.3(48).45.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8. Mussina K.P., Mamrayeva D.G., Lemanowicz M. Digitalization in the tourism industry of Kazakhstan // Economics Journal. - 2020. - №3. - P.64 - 72. DOI 10.31489/2020ec3/64-72.</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9. E.Қalekeeva , G.V. Muratbekova, S. Zhardemkyzy, A.A.Albanova. Vnedrenie cifrovyh tehnologij v oblasti passazhirskih i gruzovyh perevozok// Vestnik KazATK- № 1(130).-S.119-129. DOI 10.52167/1609-1817-2024-130-1-119-129. [in Russian]</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10. Royal Tulip Almaty Hotel. Database 2019–2023: Technology-related factors that influenced guest decisions URL: </w:t>
      </w:r>
      <w:hyperlink r:id="rId81" w:tgtFrame="_new">
        <w:r>
          <w:rPr>
            <w:rStyle w:val="Style3"/>
            <w:rFonts w:eastAsia="Times New Roman" w:cs="Times New Roman" w:ascii="Times New Roman" w:hAnsi="Times New Roman"/>
            <w:sz w:val="24"/>
            <w:szCs w:val="24"/>
            <w:lang w:val="en-US" w:eastAsia="ru-RU"/>
          </w:rPr>
          <w:t>https://royal-tulip-almaty.goldentulip.com/en-us/</w:t>
        </w:r>
      </w:hyperlink>
      <w:r>
        <w:rPr>
          <w:rFonts w:eastAsia="Times New Roman" w:cs="Times New Roman" w:ascii="Times New Roman" w:hAnsi="Times New Roman"/>
          <w:sz w:val="24"/>
          <w:szCs w:val="24"/>
          <w:lang w:val="en-US" w:eastAsia="ru-RU"/>
        </w:rPr>
        <w:t>(accessed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11. SimilarWeb. Top Mobile Apps in Kazakhstan – Travel &amp; Local Category [Электронный ресурс]. - 2025. - https://www.similarweb.com/top-apps/google/kazakhstan/travel-local/ (accessed on 23.08.2025).</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12.Omarova A., Borbasova Z. The impact of the hotel business on the digital economy of Kazakhstan // Vestnik kazahskogo universiteta jekonomiki, finansov i mezhdunarodnoj torgovli.-2024.-№1(54).-P.93-98. - DOI 10.52260/2304-7216.2024.1(54).12.</w:t>
      </w:r>
    </w:p>
    <w:p>
      <w:pPr>
        <w:pStyle w:val="Normal"/>
        <w:tabs>
          <w:tab w:val="clear" w:pos="708"/>
          <w:tab w:val="left" w:pos="567" w:leader="none"/>
        </w:tabs>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both"/>
        <w:rPr>
          <w:rFonts w:ascii="Times New Roman" w:hAnsi="Times New Roman" w:eastAsia="Calibri" w:cs="Times New Roman"/>
          <w:b/>
          <w:bCs/>
          <w:i/>
          <w:i/>
          <w:sz w:val="20"/>
          <w:szCs w:val="20"/>
          <w:lang w:val="en-US" w:eastAsia="ru-RU"/>
        </w:rPr>
      </w:pPr>
      <w:r>
        <w:rPr>
          <w:rFonts w:eastAsia="Calibri" w:cs="Times New Roman" w:ascii="Times New Roman" w:hAnsi="Times New Roman"/>
          <w:b/>
          <w:bCs/>
          <w:i/>
          <w:sz w:val="20"/>
          <w:szCs w:val="20"/>
          <w:lang w:val="en-US" w:eastAsia="ru-RU"/>
        </w:rPr>
        <w:t>Information about the authors</w:t>
      </w:r>
    </w:p>
    <w:p>
      <w:pPr>
        <w:pStyle w:val="Normal"/>
        <w:spacing w:lineRule="auto" w:line="240" w:before="0" w:after="0"/>
        <w:ind w:firstLine="567"/>
        <w:jc w:val="both"/>
        <w:rPr>
          <w:rFonts w:ascii="Times New Roman" w:hAnsi="Times New Roman" w:eastAsia="Calibri" w:cs="Times New Roman"/>
          <w:i/>
          <w:i/>
          <w:sz w:val="20"/>
          <w:szCs w:val="20"/>
          <w:lang w:val="en-US" w:eastAsia="ru-RU"/>
        </w:rPr>
      </w:pPr>
      <w:r>
        <w:rPr>
          <w:rFonts w:eastAsia="Calibri" w:cs="Times New Roman" w:ascii="Times New Roman" w:hAnsi="Times New Roman"/>
          <w:i/>
          <w:sz w:val="20"/>
          <w:szCs w:val="20"/>
          <w:lang w:val="en-US" w:eastAsia="ru-RU"/>
        </w:rPr>
      </w:r>
    </w:p>
    <w:p>
      <w:pPr>
        <w:pStyle w:val="Normal"/>
        <w:spacing w:lineRule="auto" w:line="240" w:before="0" w:after="0"/>
        <w:jc w:val="both"/>
        <w:rPr>
          <w:rFonts w:ascii="Times New Roman" w:hAnsi="Times New Roman" w:eastAsia="Calibri" w:cs="Times New Roman"/>
          <w:sz w:val="20"/>
          <w:szCs w:val="20"/>
          <w:lang w:val="kk-KZ" w:eastAsia="ru-RU"/>
        </w:rPr>
      </w:pPr>
      <w:r>
        <w:rPr>
          <w:rFonts w:eastAsia="Calibri" w:cs="Times New Roman" w:ascii="Times New Roman" w:hAnsi="Times New Roman"/>
          <w:sz w:val="20"/>
          <w:szCs w:val="20"/>
          <w:lang w:val="en-US" w:eastAsia="ru-RU"/>
        </w:rPr>
        <w:t xml:space="preserve">Omarova A.- PhD student, Karaganda University of Kazpotrebsoyuz, Kazakhstan, Karaganda, e-mail: </w:t>
      </w:r>
      <w:hyperlink r:id="rId82">
        <w:r>
          <w:rPr>
            <w:rStyle w:val="Style3"/>
            <w:rFonts w:eastAsia="Calibri" w:cs="Times New Roman" w:ascii="Times New Roman" w:hAnsi="Times New Roman"/>
            <w:sz w:val="20"/>
            <w:szCs w:val="20"/>
            <w:lang w:val="en-US" w:eastAsia="ru-RU"/>
          </w:rPr>
          <w:t>aiganym128@mail.ru</w:t>
        </w:r>
      </w:hyperlink>
      <w:r>
        <w:rPr>
          <w:rFonts w:eastAsia="Calibri" w:cs="Times New Roman" w:ascii="Times New Roman" w:hAnsi="Times New Roman"/>
          <w:sz w:val="20"/>
          <w:szCs w:val="20"/>
          <w:lang w:val="kk-KZ" w:eastAsia="ru-RU"/>
        </w:rPr>
        <w:t>;</w:t>
      </w:r>
    </w:p>
    <w:p>
      <w:pPr>
        <w:pStyle w:val="Normal"/>
        <w:spacing w:lineRule="auto" w:line="240" w:before="0" w:after="0"/>
        <w:jc w:val="both"/>
        <w:rPr>
          <w:rFonts w:ascii="Times New Roman" w:hAnsi="Times New Roman" w:eastAsia="Times New Roman" w:cs="Times New Roman"/>
          <w:sz w:val="20"/>
          <w:szCs w:val="20"/>
          <w:lang w:val="kk-KZ" w:eastAsia="ru-RU"/>
        </w:rPr>
      </w:pPr>
      <w:r>
        <w:rPr>
          <w:rFonts w:eastAsia="Calibri" w:cs="Times New Roman" w:ascii="Times New Roman" w:hAnsi="Times New Roman"/>
          <w:sz w:val="20"/>
          <w:szCs w:val="20"/>
          <w:lang w:val="en-US" w:eastAsia="ru-RU"/>
        </w:rPr>
        <w:t xml:space="preserve">Borbasova Z.- Doctor of Economic Sciences, Professor, Karaganda University of Kazpotrebsoyuz, Kazakhstan, Karaganda, e-mail: </w:t>
      </w:r>
      <w:hyperlink r:id="rId83">
        <w:r>
          <w:rPr>
            <w:rStyle w:val="Style3"/>
            <w:rFonts w:eastAsia="Calibri" w:cs="Times New Roman" w:ascii="Times New Roman" w:hAnsi="Times New Roman"/>
            <w:sz w:val="20"/>
            <w:szCs w:val="20"/>
            <w:lang w:val="en-US" w:eastAsia="ru-RU"/>
          </w:rPr>
          <w:t>borbasova@mail.ru</w:t>
        </w:r>
      </w:hyperlink>
      <w:r>
        <w:rPr>
          <w:rFonts w:eastAsia="Calibri" w:cs="Times New Roman" w:ascii="Times New Roman" w:hAnsi="Times New Roman"/>
          <w:sz w:val="20"/>
          <w:szCs w:val="20"/>
          <w:lang w:val="kk-KZ" w:eastAsia="ru-RU"/>
        </w:rPr>
        <w:t>;</w:t>
      </w:r>
    </w:p>
    <w:p>
      <w:pPr>
        <w:pStyle w:val="Normal"/>
        <w:spacing w:lineRule="auto" w:line="240" w:before="0" w:after="0"/>
        <w:jc w:val="both"/>
        <w:rPr>
          <w:rFonts w:ascii="Times New Roman" w:hAnsi="Times New Roman" w:eastAsia="Calibri" w:cs="Times New Roman"/>
          <w:sz w:val="20"/>
          <w:szCs w:val="20"/>
          <w:lang w:val="kk-KZ" w:eastAsia="ru-RU"/>
        </w:rPr>
      </w:pPr>
      <w:r>
        <w:rPr>
          <w:rFonts w:eastAsia="Calibri" w:cs="Times New Roman" w:ascii="Times New Roman" w:hAnsi="Times New Roman"/>
          <w:sz w:val="20"/>
          <w:szCs w:val="20"/>
          <w:lang w:val="en-US" w:eastAsia="ru-RU"/>
        </w:rPr>
        <w:t xml:space="preserve">Ulakov S. Candidate of Economic Sciences (PhD), Professor, Karaganda University of Kazpotrebsoyuz, Kazakhstan, Karaganda, e-mail: </w:t>
      </w:r>
      <w:hyperlink r:id="rId84">
        <w:r>
          <w:rPr>
            <w:rStyle w:val="Style3"/>
            <w:rFonts w:eastAsia="Calibri" w:cs="Times New Roman" w:ascii="Times New Roman" w:hAnsi="Times New Roman"/>
            <w:sz w:val="20"/>
            <w:szCs w:val="20"/>
            <w:lang w:val="en-US" w:eastAsia="ru-RU"/>
          </w:rPr>
          <w:t>s_ulakov@mail.ru</w:t>
        </w:r>
      </w:hyperlink>
      <w:r>
        <w:rPr>
          <w:rFonts w:eastAsia="Calibri" w:cs="Times New Roman" w:ascii="Times New Roman" w:hAnsi="Times New Roman"/>
          <w:sz w:val="20"/>
          <w:szCs w:val="20"/>
          <w:lang w:val="kk-KZ" w:eastAsia="ru-RU"/>
        </w:rPr>
        <w:t xml:space="preserve">. </w:t>
      </w:r>
    </w:p>
    <w:p>
      <w:pPr>
        <w:pStyle w:val="Normal"/>
        <w:tabs>
          <w:tab w:val="clear" w:pos="708"/>
          <w:tab w:val="left" w:pos="567" w:leader="none"/>
          <w:tab w:val="left" w:pos="709" w:leader="none"/>
          <w:tab w:val="left" w:pos="851" w:leader="none"/>
        </w:tabs>
        <w:spacing w:lineRule="auto" w:line="240" w:before="0" w:after="0"/>
        <w:ind w:firstLine="567"/>
        <w:jc w:val="both"/>
        <w:rPr>
          <w:rFonts w:ascii="Times New Roman" w:hAnsi="Times New Roman" w:eastAsia="Calibri" w:cs="Times New Roman"/>
          <w:b/>
          <w:i/>
          <w:i/>
          <w:sz w:val="24"/>
          <w:szCs w:val="24"/>
          <w:shd w:fill="FFFFFF" w:val="clear"/>
          <w:lang w:val="kk-KZ" w:eastAsia="ru-RU"/>
        </w:rPr>
      </w:pPr>
      <w:r>
        <w:rPr>
          <w:rFonts w:eastAsia="Calibri" w:cs="Times New Roman" w:ascii="Times New Roman" w:hAnsi="Times New Roman"/>
          <w:b/>
          <w:i/>
          <w:sz w:val="24"/>
          <w:szCs w:val="24"/>
          <w:shd w:fill="FFFFFF" w:val="clear"/>
          <w:lang w:val="kk-KZ" w:eastAsia="ru-RU"/>
        </w:rPr>
      </w:r>
    </w:p>
    <w:p>
      <w:pPr>
        <w:pStyle w:val="Normal"/>
        <w:tabs>
          <w:tab w:val="clear" w:pos="708"/>
          <w:tab w:val="left" w:pos="567" w:leader="none"/>
          <w:tab w:val="left" w:pos="709" w:leader="none"/>
          <w:tab w:val="left" w:pos="851" w:leader="none"/>
        </w:tabs>
        <w:spacing w:lineRule="auto" w:line="240" w:before="0" w:after="0"/>
        <w:ind w:firstLine="567"/>
        <w:jc w:val="both"/>
        <w:rPr>
          <w:rFonts w:ascii="Times New Roman" w:hAnsi="Times New Roman" w:eastAsia="Calibri" w:cs="Times New Roman"/>
          <w:b/>
          <w:i/>
          <w:i/>
          <w:sz w:val="20"/>
          <w:szCs w:val="20"/>
          <w:shd w:fill="FFFFFF" w:val="clear"/>
          <w:lang w:eastAsia="ru-RU"/>
        </w:rPr>
      </w:pPr>
      <w:r>
        <w:rPr>
          <w:rFonts w:eastAsia="Calibri" w:cs="Times New Roman" w:ascii="Times New Roman" w:hAnsi="Times New Roman"/>
          <w:b/>
          <w:i/>
          <w:sz w:val="20"/>
          <w:szCs w:val="20"/>
          <w:shd w:fill="FFFFFF" w:val="clear"/>
          <w:lang w:eastAsia="ru-RU"/>
        </w:rPr>
        <w:t>Информация об авторах</w:t>
      </w:r>
    </w:p>
    <w:p>
      <w:pPr>
        <w:pStyle w:val="Normal"/>
        <w:tabs>
          <w:tab w:val="clear" w:pos="708"/>
          <w:tab w:val="left" w:pos="567" w:leader="none"/>
          <w:tab w:val="left" w:pos="709" w:leader="none"/>
          <w:tab w:val="left" w:pos="851" w:leader="none"/>
        </w:tabs>
        <w:spacing w:lineRule="auto" w:line="240" w:before="0" w:after="0"/>
        <w:ind w:firstLine="567"/>
        <w:jc w:val="both"/>
        <w:rPr>
          <w:rFonts w:ascii="Times New Roman" w:hAnsi="Times New Roman" w:eastAsia="Calibri" w:cs="Times New Roman"/>
          <w:b/>
          <w:i/>
          <w:i/>
          <w:sz w:val="20"/>
          <w:szCs w:val="20"/>
          <w:shd w:fill="FFFFFF" w:val="clear"/>
          <w:lang w:eastAsia="ru-RU"/>
        </w:rPr>
      </w:pPr>
      <w:r>
        <w:rPr>
          <w:rFonts w:eastAsia="Calibri" w:cs="Times New Roman" w:ascii="Times New Roman" w:hAnsi="Times New Roman"/>
          <w:b/>
          <w:i/>
          <w:sz w:val="20"/>
          <w:szCs w:val="20"/>
          <w:shd w:fill="FFFFFF" w:val="clear"/>
          <w:lang w:eastAsia="ru-RU"/>
        </w:rPr>
      </w:r>
    </w:p>
    <w:p>
      <w:pPr>
        <w:pStyle w:val="Normal"/>
        <w:tabs>
          <w:tab w:val="clear" w:pos="708"/>
          <w:tab w:val="left" w:pos="567" w:leader="none"/>
          <w:tab w:val="left" w:pos="709" w:leader="none"/>
          <w:tab w:val="left" w:pos="851" w:leader="none"/>
        </w:tabs>
        <w:spacing w:lineRule="auto" w:line="240" w:before="0" w:after="0"/>
        <w:jc w:val="both"/>
        <w:rPr>
          <w:rFonts w:ascii="Times New Roman" w:hAnsi="Times New Roman" w:eastAsia="Calibri" w:cs="Times New Roman"/>
          <w:sz w:val="20"/>
          <w:szCs w:val="20"/>
          <w:lang w:val="kk-KZ" w:eastAsia="ru-RU"/>
        </w:rPr>
      </w:pPr>
      <w:r>
        <w:rPr>
          <w:rFonts w:eastAsia="Calibri" w:cs="Times New Roman" w:ascii="Times New Roman" w:hAnsi="Times New Roman"/>
          <w:sz w:val="20"/>
          <w:szCs w:val="20"/>
          <w:lang w:eastAsia="ru-RU"/>
        </w:rPr>
        <w:t xml:space="preserve">Омарова А.С.- </w:t>
      </w:r>
      <w:r>
        <w:rPr>
          <w:rFonts w:eastAsia="Calibri" w:cs="Times New Roman" w:ascii="Times New Roman" w:hAnsi="Times New Roman"/>
          <w:sz w:val="20"/>
          <w:szCs w:val="20"/>
          <w:lang w:val="en-US" w:eastAsia="ru-RU"/>
        </w:rPr>
        <w:t>PhD</w:t>
      </w:r>
      <w:r>
        <w:rPr>
          <w:rFonts w:eastAsia="Calibri" w:cs="Times New Roman" w:ascii="Times New Roman" w:hAnsi="Times New Roman"/>
          <w:sz w:val="20"/>
          <w:szCs w:val="20"/>
          <w:lang w:eastAsia="ru-RU"/>
        </w:rPr>
        <w:t xml:space="preserve"> докторант специальности «Экономика» Карагандинского университета Казпотребсоюза, Казахстан, Караганда, </w:t>
      </w:r>
      <w:r>
        <w:rPr>
          <w:rFonts w:eastAsia="Calibri" w:cs="Times New Roman" w:ascii="Times New Roman" w:hAnsi="Times New Roman"/>
          <w:sz w:val="20"/>
          <w:szCs w:val="20"/>
          <w:lang w:val="en-US" w:eastAsia="ru-RU"/>
        </w:rPr>
        <w:t>e</w:t>
      </w:r>
      <w:r>
        <w:rPr>
          <w:rFonts w:eastAsia="Calibri" w:cs="Times New Roman" w:ascii="Times New Roman" w:hAnsi="Times New Roman"/>
          <w:sz w:val="20"/>
          <w:szCs w:val="20"/>
          <w:lang w:eastAsia="ru-RU"/>
        </w:rPr>
        <w:t>-</w:t>
      </w:r>
      <w:r>
        <w:rPr>
          <w:rFonts w:eastAsia="Calibri" w:cs="Times New Roman" w:ascii="Times New Roman" w:hAnsi="Times New Roman"/>
          <w:sz w:val="20"/>
          <w:szCs w:val="20"/>
          <w:lang w:val="en-US" w:eastAsia="ru-RU"/>
        </w:rPr>
        <w:t>mai</w:t>
      </w:r>
      <w:r>
        <w:rPr>
          <w:rFonts w:eastAsia="Calibri" w:cs="Times New Roman" w:ascii="Times New Roman" w:hAnsi="Times New Roman"/>
          <w:sz w:val="20"/>
          <w:szCs w:val="20"/>
          <w:lang w:eastAsia="ru-RU"/>
        </w:rPr>
        <w:t xml:space="preserve">: </w:t>
      </w:r>
      <w:hyperlink r:id="rId85">
        <w:r>
          <w:rPr>
            <w:rStyle w:val="Style3"/>
            <w:rFonts w:eastAsia="Calibri" w:cs="Times New Roman" w:ascii="Times New Roman" w:hAnsi="Times New Roman"/>
            <w:sz w:val="20"/>
            <w:szCs w:val="20"/>
            <w:lang w:val="en-US" w:eastAsia="ru-RU"/>
          </w:rPr>
          <w:t>aiganym</w:t>
        </w:r>
        <w:r>
          <w:rPr>
            <w:rStyle w:val="Style3"/>
            <w:rFonts w:eastAsia="Calibri" w:cs="Times New Roman" w:ascii="Times New Roman" w:hAnsi="Times New Roman"/>
            <w:sz w:val="20"/>
            <w:szCs w:val="20"/>
            <w:lang w:eastAsia="ru-RU"/>
          </w:rPr>
          <w:t>128@</w:t>
        </w:r>
        <w:r>
          <w:rPr>
            <w:rStyle w:val="Style3"/>
            <w:rFonts w:eastAsia="Calibri" w:cs="Times New Roman" w:ascii="Times New Roman" w:hAnsi="Times New Roman"/>
            <w:sz w:val="20"/>
            <w:szCs w:val="20"/>
            <w:lang w:val="en-US" w:eastAsia="ru-RU"/>
          </w:rPr>
          <w:t>mail</w:t>
        </w:r>
        <w:r>
          <w:rPr>
            <w:rStyle w:val="Style3"/>
            <w:rFonts w:eastAsia="Calibri" w:cs="Times New Roman" w:ascii="Times New Roman" w:hAnsi="Times New Roman"/>
            <w:sz w:val="20"/>
            <w:szCs w:val="20"/>
            <w:lang w:eastAsia="ru-RU"/>
          </w:rPr>
          <w:t>.</w:t>
        </w:r>
        <w:r>
          <w:rPr>
            <w:rStyle w:val="Style3"/>
            <w:rFonts w:eastAsia="Calibri" w:cs="Times New Roman" w:ascii="Times New Roman" w:hAnsi="Times New Roman"/>
            <w:sz w:val="20"/>
            <w:szCs w:val="20"/>
            <w:lang w:val="en-US" w:eastAsia="ru-RU"/>
          </w:rPr>
          <w:t>ru</w:t>
        </w:r>
      </w:hyperlink>
      <w:r>
        <w:rPr>
          <w:rFonts w:eastAsia="Calibri" w:cs="Times New Roman" w:ascii="Times New Roman" w:hAnsi="Times New Roman"/>
          <w:sz w:val="20"/>
          <w:szCs w:val="20"/>
          <w:lang w:val="kk-KZ" w:eastAsia="ru-RU"/>
        </w:rPr>
        <w:t>;</w:t>
      </w:r>
    </w:p>
    <w:p>
      <w:pPr>
        <w:pStyle w:val="Normal"/>
        <w:spacing w:lineRule="auto" w:line="240" w:before="0" w:after="0"/>
        <w:jc w:val="both"/>
        <w:rPr>
          <w:rFonts w:ascii="Times New Roman" w:hAnsi="Times New Roman" w:eastAsia="Times New Roman" w:cs="Times New Roman"/>
          <w:sz w:val="20"/>
          <w:szCs w:val="20"/>
          <w:lang w:val="kk-KZ" w:eastAsia="ru-RU"/>
        </w:rPr>
      </w:pPr>
      <w:r>
        <w:rPr>
          <w:rFonts w:eastAsia="Calibri" w:cs="Times New Roman" w:ascii="Times New Roman" w:hAnsi="Times New Roman"/>
          <w:sz w:val="20"/>
          <w:szCs w:val="20"/>
          <w:lang w:eastAsia="ru-RU"/>
        </w:rPr>
        <w:t xml:space="preserve">Борбасова З.Н. - д.э.н., профессор, Карагандинского университета Казпотребсоюза, Казахстан, Караганда, </w:t>
      </w:r>
      <w:r>
        <w:rPr>
          <w:rFonts w:eastAsia="Calibri" w:cs="Times New Roman" w:ascii="Times New Roman" w:hAnsi="Times New Roman"/>
          <w:sz w:val="20"/>
          <w:szCs w:val="20"/>
          <w:lang w:val="en-US" w:eastAsia="ru-RU"/>
        </w:rPr>
        <w:t>e</w:t>
      </w:r>
      <w:r>
        <w:rPr>
          <w:rFonts w:eastAsia="Calibri" w:cs="Times New Roman" w:ascii="Times New Roman" w:hAnsi="Times New Roman"/>
          <w:sz w:val="20"/>
          <w:szCs w:val="20"/>
          <w:lang w:eastAsia="ru-RU"/>
        </w:rPr>
        <w:t>-</w:t>
      </w:r>
      <w:r>
        <w:rPr>
          <w:rFonts w:eastAsia="Calibri" w:cs="Times New Roman" w:ascii="Times New Roman" w:hAnsi="Times New Roman"/>
          <w:sz w:val="20"/>
          <w:szCs w:val="20"/>
          <w:lang w:val="en-US" w:eastAsia="ru-RU"/>
        </w:rPr>
        <w:t>mai</w:t>
      </w:r>
      <w:r>
        <w:rPr>
          <w:rFonts w:eastAsia="Calibri" w:cs="Times New Roman" w:ascii="Times New Roman" w:hAnsi="Times New Roman"/>
          <w:sz w:val="20"/>
          <w:szCs w:val="20"/>
          <w:lang w:eastAsia="ru-RU"/>
        </w:rPr>
        <w:t xml:space="preserve">: </w:t>
      </w:r>
      <w:hyperlink r:id="rId86">
        <w:r>
          <w:rPr>
            <w:rStyle w:val="Style3"/>
            <w:rFonts w:eastAsia="Calibri" w:cs="Times New Roman" w:ascii="Times New Roman" w:hAnsi="Times New Roman"/>
            <w:sz w:val="20"/>
            <w:szCs w:val="20"/>
            <w:lang w:val="en-US" w:eastAsia="ru-RU"/>
          </w:rPr>
          <w:t>borbasova</w:t>
        </w:r>
        <w:r>
          <w:rPr>
            <w:rStyle w:val="Style3"/>
            <w:rFonts w:eastAsia="Calibri" w:cs="Times New Roman" w:ascii="Times New Roman" w:hAnsi="Times New Roman"/>
            <w:sz w:val="20"/>
            <w:szCs w:val="20"/>
            <w:lang w:eastAsia="ru-RU"/>
          </w:rPr>
          <w:t>@</w:t>
        </w:r>
        <w:r>
          <w:rPr>
            <w:rStyle w:val="Style3"/>
            <w:rFonts w:eastAsia="Calibri" w:cs="Times New Roman" w:ascii="Times New Roman" w:hAnsi="Times New Roman"/>
            <w:sz w:val="20"/>
            <w:szCs w:val="20"/>
            <w:lang w:val="en-US" w:eastAsia="ru-RU"/>
          </w:rPr>
          <w:t>mail</w:t>
        </w:r>
        <w:r>
          <w:rPr>
            <w:rStyle w:val="Style3"/>
            <w:rFonts w:eastAsia="Calibri" w:cs="Times New Roman" w:ascii="Times New Roman" w:hAnsi="Times New Roman"/>
            <w:sz w:val="20"/>
            <w:szCs w:val="20"/>
            <w:lang w:eastAsia="ru-RU"/>
          </w:rPr>
          <w:t>.</w:t>
        </w:r>
        <w:r>
          <w:rPr>
            <w:rStyle w:val="Style3"/>
            <w:rFonts w:eastAsia="Calibri" w:cs="Times New Roman" w:ascii="Times New Roman" w:hAnsi="Times New Roman"/>
            <w:sz w:val="20"/>
            <w:szCs w:val="20"/>
            <w:lang w:val="en-US" w:eastAsia="ru-RU"/>
          </w:rPr>
          <w:t>ru</w:t>
        </w:r>
      </w:hyperlink>
      <w:r>
        <w:rPr>
          <w:rFonts w:eastAsia="Calibri" w:cs="Times New Roman" w:ascii="Times New Roman" w:hAnsi="Times New Roman"/>
          <w:sz w:val="20"/>
          <w:szCs w:val="20"/>
          <w:lang w:val="kk-KZ" w:eastAsia="ru-RU"/>
        </w:rPr>
        <w:t>;</w:t>
      </w:r>
    </w:p>
    <w:p>
      <w:pPr>
        <w:pStyle w:val="Normal"/>
        <w:spacing w:lineRule="auto" w:line="240" w:before="0" w:after="0"/>
        <w:jc w:val="both"/>
        <w:rPr>
          <w:rFonts w:ascii="Times New Roman" w:hAnsi="Times New Roman" w:eastAsia="Times New Roman" w:cs="Times New Roman"/>
          <w:sz w:val="20"/>
          <w:szCs w:val="20"/>
          <w:lang w:val="kk-KZ" w:eastAsia="ru-RU"/>
        </w:rPr>
      </w:pPr>
      <w:r>
        <w:rPr>
          <w:rFonts w:eastAsia="Calibri" w:cs="Times New Roman" w:ascii="Times New Roman" w:hAnsi="Times New Roman"/>
          <w:sz w:val="20"/>
          <w:szCs w:val="20"/>
          <w:lang w:eastAsia="ru-RU"/>
        </w:rPr>
        <w:t xml:space="preserve">Улаков С.Н.- </w:t>
      </w:r>
      <w:r>
        <w:rPr>
          <w:rFonts w:eastAsia="Calibri" w:cs="Times New Roman" w:ascii="Times New Roman" w:hAnsi="Times New Roman"/>
          <w:sz w:val="20"/>
          <w:szCs w:val="20"/>
          <w:lang w:val="kk-KZ" w:eastAsia="ru-RU"/>
        </w:rPr>
        <w:t xml:space="preserve">к.э.н., </w:t>
      </w:r>
      <w:r>
        <w:rPr>
          <w:rFonts w:eastAsia="Calibri" w:cs="Times New Roman" w:ascii="Times New Roman" w:hAnsi="Times New Roman"/>
          <w:sz w:val="20"/>
          <w:szCs w:val="20"/>
          <w:lang w:eastAsia="ru-RU"/>
        </w:rPr>
        <w:t xml:space="preserve">профессор, Карагандинского университета Казпотребсоюза, Казахстан, Караганда, </w:t>
      </w:r>
      <w:r>
        <w:rPr>
          <w:rFonts w:eastAsia="Calibri" w:cs="Times New Roman" w:ascii="Times New Roman" w:hAnsi="Times New Roman"/>
          <w:sz w:val="20"/>
          <w:szCs w:val="20"/>
          <w:lang w:val="en-US" w:eastAsia="ru-RU"/>
        </w:rPr>
        <w:t>e</w:t>
      </w:r>
      <w:r>
        <w:rPr>
          <w:rFonts w:eastAsia="Calibri" w:cs="Times New Roman" w:ascii="Times New Roman" w:hAnsi="Times New Roman"/>
          <w:sz w:val="20"/>
          <w:szCs w:val="20"/>
          <w:lang w:eastAsia="ru-RU"/>
        </w:rPr>
        <w:t>-</w:t>
      </w:r>
      <w:r>
        <w:rPr>
          <w:rFonts w:eastAsia="Calibri" w:cs="Times New Roman" w:ascii="Times New Roman" w:hAnsi="Times New Roman"/>
          <w:sz w:val="20"/>
          <w:szCs w:val="20"/>
          <w:lang w:val="en-US" w:eastAsia="ru-RU"/>
        </w:rPr>
        <w:t>mai</w:t>
      </w:r>
      <w:r>
        <w:rPr>
          <w:rFonts w:eastAsia="Calibri" w:cs="Times New Roman" w:ascii="Times New Roman" w:hAnsi="Times New Roman"/>
          <w:sz w:val="20"/>
          <w:szCs w:val="20"/>
          <w:lang w:eastAsia="ru-RU"/>
        </w:rPr>
        <w:t xml:space="preserve">: </w:t>
      </w:r>
      <w:hyperlink r:id="rId87">
        <w:r>
          <w:rPr>
            <w:rStyle w:val="Style3"/>
            <w:rFonts w:eastAsia="Calibri" w:cs="Times New Roman" w:ascii="Times New Roman" w:hAnsi="Times New Roman"/>
            <w:sz w:val="20"/>
            <w:szCs w:val="20"/>
            <w:lang w:val="kk-KZ" w:eastAsia="ru-RU"/>
          </w:rPr>
          <w:t>s_ulakov@mail.ru</w:t>
        </w:r>
      </w:hyperlink>
      <w:r>
        <w:rPr>
          <w:rFonts w:eastAsia="Calibri" w:cs="Times New Roman" w:ascii="Times New Roman" w:hAnsi="Times New Roman"/>
          <w:sz w:val="20"/>
          <w:szCs w:val="20"/>
          <w:lang w:val="kk-KZ" w:eastAsia="ru-RU"/>
        </w:rPr>
        <w:t xml:space="preserve">. </w:t>
      </w:r>
    </w:p>
    <w:p>
      <w:pPr>
        <w:pStyle w:val="Normal"/>
        <w:spacing w:lineRule="auto" w:line="240" w:before="0" w:after="0"/>
        <w:ind w:firstLine="567"/>
        <w:jc w:val="both"/>
        <w:rPr>
          <w:rFonts w:ascii="Times New Roman" w:hAnsi="Times New Roman" w:eastAsia="Times New Roman" w:cs="Times New Roman"/>
          <w:sz w:val="20"/>
          <w:szCs w:val="20"/>
          <w:lang w:val="kk-KZ" w:eastAsia="ru-RU"/>
        </w:rPr>
      </w:pPr>
      <w:r>
        <w:rPr>
          <w:rFonts w:eastAsia="Times New Roman" w:cs="Times New Roman" w:ascii="Times New Roman" w:hAnsi="Times New Roman"/>
          <w:sz w:val="20"/>
          <w:szCs w:val="20"/>
          <w:lang w:val="kk-KZ" w:eastAsia="ru-RU"/>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hd w:val="clear" w:color="auto" w:fill="FFFFFF"/>
        <w:suppressAutoHyphens w:val="true"/>
        <w:spacing w:lineRule="auto" w:line="240" w:before="0" w:after="0"/>
        <w:rPr>
          <w:rFonts w:ascii="Times New Roman" w:hAnsi="Times New Roman" w:eastAsia="Times New Roman" w:cs="Times New Roman"/>
          <w:smallCaps/>
          <w:color w:val="212529"/>
          <w:lang w:val="kk-KZ" w:eastAsia="ru-RU"/>
        </w:rPr>
      </w:pPr>
      <w:r>
        <w:rPr>
          <w:rFonts w:eastAsia="Times New Roman" w:cs="Times New Roman" w:ascii="Times New Roman" w:hAnsi="Times New Roman"/>
          <w:color w:val="000000"/>
          <w:lang w:val="kk-KZ" w:eastAsia="ru-RU"/>
        </w:rPr>
        <w:t xml:space="preserve">МНРТИ </w:t>
      </w:r>
      <w:r>
        <w:rPr>
          <w:rFonts w:eastAsia="Times New Roman" w:cs="Times New Roman" w:ascii="Times New Roman" w:hAnsi="Times New Roman"/>
          <w:smallCaps/>
          <w:color w:val="212529"/>
          <w:lang w:val="kk-KZ" w:eastAsia="ru-RU"/>
        </w:rPr>
        <w:t>06.35.31</w:t>
      </w:r>
    </w:p>
    <w:p>
      <w:pPr>
        <w:pStyle w:val="Normal"/>
        <w:suppressAutoHyphens w:val="true"/>
        <w:spacing w:lineRule="auto" w:line="240" w:before="0" w:after="0"/>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p>
      <w:pPr>
        <w:pStyle w:val="Normal"/>
        <w:suppressAutoHyphens w:val="true"/>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ГУДВИЛЛДІҢ БУХГАЛТЕРЛІК ЕСЕБІ ЖӘНЕ ОНЫ БАҒАЛАУ МОДЕЛЬДЕРІ</w:t>
      </w:r>
    </w:p>
    <w:p>
      <w:pPr>
        <w:pStyle w:val="Normal"/>
        <w:suppressAutoHyphens w:val="true"/>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p>
      <w:pPr>
        <w:pStyle w:val="Normal"/>
        <w:suppressAutoHyphens w:val="true"/>
        <w:spacing w:lineRule="auto" w:line="240" w:before="0" w:after="0"/>
        <w:jc w:val="center"/>
        <w:rPr>
          <w:rFonts w:ascii="Times New Roman" w:hAnsi="Times New Roman" w:eastAsia="Times New Roman" w:cs="Times New Roman"/>
          <w:b/>
          <w:vertAlign w:val="superscript"/>
          <w:lang w:val="kk-KZ" w:eastAsia="ru-RU"/>
        </w:rPr>
      </w:pPr>
      <w:r>
        <w:rPr>
          <w:rFonts w:eastAsia="Times New Roman" w:cs="Times New Roman" w:ascii="Times New Roman" w:hAnsi="Times New Roman"/>
          <w:b/>
          <w:lang w:val="kk-KZ" w:eastAsia="ru-RU"/>
        </w:rPr>
        <w:t>С. Рейдолда</w:t>
      </w:r>
      <w:r>
        <w:rPr/>
        <w:drawing>
          <wp:inline distT="0" distB="0" distL="0" distR="0">
            <wp:extent cx="135890" cy="135890"/>
            <wp:effectExtent l="0" t="0" r="0" b="0"/>
            <wp:docPr id="17" name="Рисунок 6" descr="D:\Desktop\иконка.pn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6" descr="D:\Desktop\иконка.png">
                      <a:hlinkClick r:id="rId89"/>
                    </pic:cNvPr>
                    <pic:cNvPicPr>
                      <a:picLocks noChangeAspect="1" noChangeArrowheads="1"/>
                    </pic:cNvPicPr>
                  </pic:nvPicPr>
                  <pic:blipFill>
                    <a:blip r:embed="rId88"/>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 Р.А. Ерниязов</w:t>
      </w:r>
      <w:r>
        <w:rPr/>
        <w:drawing>
          <wp:inline distT="0" distB="0" distL="0" distR="0">
            <wp:extent cx="135890" cy="135890"/>
            <wp:effectExtent l="0" t="0" r="0" b="0"/>
            <wp:docPr id="18" name="Рисунок 9" descr="D:\Desktop\иконка.pn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9" descr="D:\Desktop\иконка.png">
                      <a:hlinkClick r:id="rId91"/>
                    </pic:cNvPr>
                    <pic:cNvPicPr>
                      <a:picLocks noChangeAspect="1" noChangeArrowheads="1"/>
                    </pic:cNvPicPr>
                  </pic:nvPicPr>
                  <pic:blipFill>
                    <a:blip r:embed="rId90"/>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 А.К. Алпысбаева</w:t>
      </w:r>
      <w:r>
        <w:rPr/>
        <w:drawing>
          <wp:inline distT="0" distB="0" distL="0" distR="0">
            <wp:extent cx="135890" cy="135890"/>
            <wp:effectExtent l="0" t="0" r="0" b="0"/>
            <wp:docPr id="19" name="Рисунок 11" descr="D:\Desktop\иконка.p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1" descr="D:\Desktop\иконка.png">
                      <a:hlinkClick r:id="rId93"/>
                    </pic:cNvPr>
                    <pic:cNvPicPr>
                      <a:picLocks noChangeAspect="1" noChangeArrowheads="1"/>
                    </pic:cNvPicPr>
                  </pic:nvPicPr>
                  <pic:blipFill>
                    <a:blip r:embed="rId92"/>
                    <a:stretch>
                      <a:fillRect/>
                    </a:stretch>
                  </pic:blipFill>
                  <pic:spPr bwMode="auto">
                    <a:xfrm>
                      <a:off x="0" y="0"/>
                      <a:ext cx="135890" cy="135890"/>
                    </a:xfrm>
                    <a:prstGeom prst="rect">
                      <a:avLst/>
                    </a:prstGeom>
                    <a:noFill/>
                  </pic:spPr>
                </pic:pic>
              </a:graphicData>
            </a:graphic>
          </wp:inline>
        </w:drawing>
      </w:r>
      <w:r>
        <w:rPr>
          <w:rFonts w:eastAsia="Times New Roman" w:cs="Times New Roman" w:ascii="Times New Roman" w:hAnsi="Times New Roman"/>
          <w:b/>
          <w:lang w:val="kk-KZ" w:eastAsia="ru-RU"/>
        </w:rPr>
        <w:t>,</w:t>
      </w:r>
      <w:r>
        <w:rPr>
          <w:rFonts w:eastAsia="Times New Roman" w:cs="Times New Roman" w:ascii="Times New Roman" w:hAnsi="Times New Roman"/>
          <w:b/>
          <w:vertAlign w:val="superscript"/>
          <w:lang w:val="kk-KZ" w:eastAsia="ru-RU"/>
        </w:rPr>
        <w:t xml:space="preserve"> </w:t>
      </w:r>
      <w:r>
        <w:rPr>
          <w:rFonts w:eastAsia="Times New Roman" w:cs="Times New Roman" w:ascii="Times New Roman" w:hAnsi="Times New Roman"/>
          <w:b/>
          <w:lang w:val="kk-KZ" w:eastAsia="ru-RU"/>
        </w:rPr>
        <w:t>Б.А. Жуматаева</w:t>
      </w:r>
      <w:r>
        <w:rPr/>
        <w:drawing>
          <wp:inline distT="0" distB="0" distL="0" distR="0">
            <wp:extent cx="135890" cy="135890"/>
            <wp:effectExtent l="0" t="0" r="0" b="0"/>
            <wp:docPr id="20" name="Рисунок 20" descr="D:\Desktop\иконка.p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D:\Desktop\иконка.png">
                      <a:hlinkClick r:id="rId95"/>
                    </pic:cNvPr>
                    <pic:cNvPicPr>
                      <a:picLocks noChangeAspect="1" noChangeArrowheads="1"/>
                    </pic:cNvPicPr>
                  </pic:nvPicPr>
                  <pic:blipFill>
                    <a:blip r:embed="rId94"/>
                    <a:stretch>
                      <a:fillRect/>
                    </a:stretch>
                  </pic:blipFill>
                  <pic:spPr bwMode="auto">
                    <a:xfrm>
                      <a:off x="0" y="0"/>
                      <a:ext cx="135890" cy="135890"/>
                    </a:xfrm>
                    <a:prstGeom prst="rect">
                      <a:avLst/>
                    </a:prstGeom>
                    <a:noFill/>
                  </pic:spPr>
                </pic:pic>
              </a:graphicData>
            </a:graphic>
          </wp:inline>
        </w:drawing>
      </w:r>
      <w:r>
        <w:rPr>
          <w:rFonts w:eastAsia="Times New Roman" w:cs="Times New Roman" w:ascii="Times New Roman" w:hAnsi="Times New Roman"/>
          <w:b/>
          <w:lang w:val="kk-KZ" w:eastAsia="ru-RU"/>
        </w:rPr>
        <w:t>, У.Б. Юсупов</w:t>
      </w:r>
      <w:r>
        <w:rPr/>
        <w:drawing>
          <wp:inline distT="0" distB="0" distL="0" distR="0">
            <wp:extent cx="135890" cy="135890"/>
            <wp:effectExtent l="0" t="0" r="0" b="0"/>
            <wp:docPr id="21" name="Рисунок 21" descr="D:\Desktop\иконка.png">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D:\Desktop\иконка.png">
                      <a:hlinkClick r:id="rId97"/>
                    </pic:cNvPr>
                    <pic:cNvPicPr>
                      <a:picLocks noChangeAspect="1" noChangeArrowheads="1"/>
                    </pic:cNvPicPr>
                  </pic:nvPicPr>
                  <pic:blipFill>
                    <a:blip r:embed="rId96"/>
                    <a:stretch>
                      <a:fillRect/>
                    </a:stretch>
                  </pic:blipFill>
                  <pic:spPr bwMode="auto">
                    <a:xfrm>
                      <a:off x="0" y="0"/>
                      <a:ext cx="135890" cy="135890"/>
                    </a:xfrm>
                    <a:prstGeom prst="rect">
                      <a:avLst/>
                    </a:prstGeom>
                    <a:noFill/>
                  </pic:spPr>
                </pic:pic>
              </a:graphicData>
            </a:graphic>
          </wp:inline>
        </w:drawing>
      </w:r>
      <w:r>
        <w:rPr>
          <w:rFonts w:eastAsia="Times New Roman" w:cs="Times New Roman" w:ascii="Times New Roman" w:hAnsi="Times New Roman"/>
          <w:b/>
          <w:lang w:val="kk-KZ" w:eastAsia="ru-RU"/>
        </w:rPr>
        <w:t>, А.Т. Кабиева</w:t>
      </w:r>
      <w:r>
        <w:rPr/>
        <w:drawing>
          <wp:inline distT="0" distB="0" distL="0" distR="0">
            <wp:extent cx="135890" cy="135890"/>
            <wp:effectExtent l="0" t="0" r="0" b="0"/>
            <wp:docPr id="22" name="Рисунок 22" descr="D:\Desktop\иконка.pn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D:\Desktop\иконка.png">
                      <a:hlinkClick r:id="rId99"/>
                    </pic:cNvPr>
                    <pic:cNvPicPr>
                      <a:picLocks noChangeAspect="1" noChangeArrowheads="1"/>
                    </pic:cNvPicPr>
                  </pic:nvPicPr>
                  <pic:blipFill>
                    <a:blip r:embed="rId98"/>
                    <a:stretch>
                      <a:fillRect/>
                    </a:stretch>
                  </pic:blipFill>
                  <pic:spPr bwMode="auto">
                    <a:xfrm>
                      <a:off x="0" y="0"/>
                      <a:ext cx="135890" cy="135890"/>
                    </a:xfrm>
                    <a:prstGeom prst="rect">
                      <a:avLst/>
                    </a:prstGeom>
                    <a:noFill/>
                  </pic:spPr>
                </pic:pic>
              </a:graphicData>
            </a:graphic>
          </wp:inline>
        </w:drawing>
      </w:r>
      <w:r>
        <w:rPr>
          <w:rFonts w:eastAsia="Times New Roman" w:cs="Times New Roman" w:ascii="Times New Roman" w:hAnsi="Times New Roman"/>
          <w:b/>
          <w:lang w:val="kk-KZ" w:eastAsia="ru-RU"/>
        </w:rPr>
        <w:t xml:space="preserve"> </w:t>
      </w:r>
    </w:p>
    <w:p>
      <w:pPr>
        <w:pStyle w:val="Normal"/>
        <w:suppressAutoHyphens w:val="true"/>
        <w:spacing w:lineRule="auto" w:line="240" w:before="0" w:after="0"/>
        <w:jc w:val="center"/>
        <w:rPr>
          <w:rFonts w:ascii="Times New Roman" w:hAnsi="Times New Roman" w:eastAsia="Times New Roman" w:cs="Times New Roman"/>
          <w:i/>
          <w:i/>
          <w:sz w:val="20"/>
          <w:szCs w:val="20"/>
          <w:lang w:val="kk-KZ" w:eastAsia="ru-RU"/>
        </w:rPr>
      </w:pPr>
      <w:r>
        <w:rPr>
          <w:rFonts w:eastAsia="Times New Roman" w:cs="Times New Roman" w:ascii="Times New Roman" w:hAnsi="Times New Roman"/>
          <w:i/>
          <w:sz w:val="20"/>
          <w:szCs w:val="20"/>
          <w:lang w:val="kk-KZ" w:eastAsia="ru-RU"/>
        </w:rPr>
        <w:t>Қ. Құлажанов атындағы Қазақ технология және бизнес университеті, Астана, Қазақстан</w:t>
      </w:r>
    </w:p>
    <w:p>
      <w:pPr>
        <w:pStyle w:val="Normal"/>
        <w:suppressAutoHyphens w:val="true"/>
        <w:spacing w:lineRule="auto" w:line="240" w:before="0" w:after="0"/>
        <w:jc w:val="center"/>
        <w:rPr>
          <w:rFonts w:ascii="Times New Roman" w:hAnsi="Times New Roman" w:eastAsia="Times New Roman" w:cs="Times New Roman"/>
          <w:i/>
          <w:i/>
          <w:lang w:val="kk-KZ" w:eastAsia="ru-RU"/>
        </w:rPr>
      </w:pPr>
      <w:r>
        <w:rPr>
          <w:rFonts w:eastAsia="Times New Roman" w:cs="Times New Roman" w:ascii="Times New Roman" w:hAnsi="Times New Roman"/>
          <w:i/>
          <w:lang w:val="kk-KZ" w:eastAsia="ru-RU"/>
        </w:rPr>
      </w:r>
    </w:p>
    <w:p>
      <w:pPr>
        <w:pStyle w:val="Normal"/>
        <w:suppressAutoHyphens w:val="true"/>
        <w:spacing w:lineRule="auto" w:line="240" w:before="0" w:after="0"/>
        <w:rPr>
          <w:rFonts w:ascii="Times New Roman" w:hAnsi="Times New Roman" w:eastAsia="Times New Roman" w:cs="Times New Roman"/>
          <w:lang w:val="kk-KZ" w:eastAsia="ru-RU"/>
        </w:rPr>
      </w:pPr>
      <w:r>
        <w:rPr>
          <w:rFonts w:eastAsia="Wingdings" w:cs="Wingdings" w:ascii="Wingdings" w:hAnsi="Wingdings"/>
          <w:b/>
          <w:bCs/>
          <w:color w:val="1F497D"/>
          <w:vertAlign w:val="superscript"/>
        </w:rPr>
        <w:sym w:font="Wingdings" w:char="f02a"/>
      </w:r>
      <w:r>
        <w:rPr>
          <w:rFonts w:eastAsia="Times New Roman" w:cs="Times New Roman" w:ascii="Times New Roman" w:hAnsi="Times New Roman"/>
          <w:lang w:val="kk-KZ" w:eastAsia="ru-RU"/>
        </w:rPr>
        <w:t xml:space="preserve">Корреспондент авторлар: </w:t>
      </w:r>
      <w:hyperlink r:id="rId100">
        <w:r>
          <w:rPr>
            <w:rStyle w:val="Style3"/>
            <w:rFonts w:eastAsia="Times New Roman" w:cs="Times New Roman" w:ascii="Times New Roman" w:hAnsi="Times New Roman"/>
            <w:color w:val="000000"/>
            <w:lang w:val="kk-KZ" w:eastAsia="ru-RU"/>
          </w:rPr>
          <w:t>Sau_1981@mail.ru</w:t>
        </w:r>
      </w:hyperlink>
      <w:r>
        <w:rPr>
          <w:rFonts w:eastAsia="Times New Roman" w:cs="Times New Roman" w:ascii="Times New Roman" w:hAnsi="Times New Roman"/>
          <w:lang w:val="kk-KZ" w:eastAsia="ru-RU"/>
        </w:rPr>
        <w:t xml:space="preserve">, </w:t>
      </w:r>
      <w:hyperlink r:id="rId101">
        <w:r>
          <w:rPr>
            <w:rStyle w:val="Style3"/>
            <w:rFonts w:eastAsia="Times New Roman" w:cs="Times New Roman" w:ascii="Times New Roman" w:hAnsi="Times New Roman"/>
            <w:lang w:val="kk-KZ" w:eastAsia="ru-RU"/>
          </w:rPr>
          <w:t>erniyazov_rust@mail.ru</w:t>
        </w:r>
      </w:hyperlink>
    </w:p>
    <w:p>
      <w:pPr>
        <w:pStyle w:val="Normal"/>
        <w:shd w:val="clear" w:color="auto" w:fill="FFFFFF"/>
        <w:tabs>
          <w:tab w:val="clear" w:pos="708"/>
          <w:tab w:val="left" w:pos="6699" w:leader="none"/>
        </w:tabs>
        <w:suppressAutoHyphens w:val="true"/>
        <w:spacing w:lineRule="auto" w:line="240" w:before="0" w:after="0"/>
        <w:jc w:val="center"/>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Мақаланың мақсаты гудвиллдің құнын бағалаудың тиімді моделін анықтау үшін талдау және гудвиллді бухгалтерлік есепке алу мәнін ашу болып табылады. Гудвиллмен туындаған мәселенің бірі - бухгалтерлік есепте әдейі немесе абайсызда гудвиллдің сомасын асыра сілтеп көрсетеді. Мұндай асыра сілтеулер ұйымдардың активтерін жасанды түрде мықты етіп көрсетуі салдарынан инвесторларды адастыруы мүмкін. Осыған байланысты мақалада ұйымның гудвиллін дәл қалай анықтауға болатындығын қарастырамыз. Гудвиллге қатысты ұйымдарды </w:t>
      </w:r>
      <w:hyperlink r:id="rId102">
        <w:r>
          <w:rPr>
            <w:rStyle w:val="Style3"/>
            <w:rFonts w:eastAsia="Times New Roman" w:cs="Times New Roman" w:ascii="Times New Roman" w:hAnsi="Times New Roman"/>
            <w:color w:val="000000"/>
            <w:sz w:val="24"/>
            <w:szCs w:val="24"/>
            <w:lang w:val="kk-KZ" w:eastAsia="ru-RU"/>
          </w:rPr>
          <w:t>сатып алу</w:t>
        </w:r>
      </w:hyperlink>
      <w:r>
        <w:rPr>
          <w:rFonts w:eastAsia="Times New Roman" w:cs="Times New Roman" w:ascii="Times New Roman" w:hAnsi="Times New Roman"/>
          <w:sz w:val="24"/>
          <w:szCs w:val="24"/>
          <w:lang w:val="kk-KZ" w:eastAsia="ru-RU"/>
        </w:rPr>
        <w:t xml:space="preserve"> кезінде сатып алушы артық төлем жасай. Нәтижесінде жанжалдар туындайды, осыған байланысты гудвиллдің құнсыздануына жыл сайын сынақтар жүргізу арқылы ұйымның мәлімделген гудвиллдің әділ нарықтық құнынан асып кетуін анықтайды. Осы сынақтар гудвиллдің азаюына алып келгенде, ұйым қаржылық есептіліктің төмендеуін гудвиллдің құнсыздануынан болған залал ретінде көрсетеді. Осы жағдайды ескере отырып, біз гудвиллдің құнсыздануына тестілеудің негізгі қадамдарын қарастыра аламыз.</w:t>
      </w:r>
    </w:p>
    <w:p>
      <w:pPr>
        <w:pStyle w:val="Normal"/>
        <w:suppressAutoHyphens w:val="true"/>
        <w:spacing w:lineRule="auto" w:line="240" w:before="0" w:after="0"/>
        <w:ind w:firstLine="567"/>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Ұйымның гудвилл үшін төлеген шығындарын 40 жыл ішінде амортизациялаудың орнына, сатып алынған ұйымлармен байланысты гудвилл құнының жыл сайынғы азаюын мойындауы керек. Кірістер мен шығыстардың мұндай сәйкестігі қаржылық есептіліктің негізділігін қамтамасыз етеді, сонымен қатар бухгалтерлерге құнсызданудан болған шығындарды өлшеу үшін тиісті модельді таңдау міндеті туындайды. Авторлар осы жаңа стандартты шығарудың кейбір себептерін атап көрсетеді, дисконтталған ақша ағындарының әсерін және осындай құнсыздануды өлшеу үшін қалдық кіріс әдістерін салыстырады және жаңа беделді ережелерді сақтау үшін тұжырымдамалық модельді қалай әзірлеу керектігін ұсынады.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 xml:space="preserve">Түйін сөздер. </w:t>
      </w:r>
      <w:r>
        <w:rPr>
          <w:rFonts w:eastAsia="Times New Roman" w:cs="Times New Roman" w:ascii="Times New Roman" w:hAnsi="Times New Roman"/>
          <w:sz w:val="24"/>
          <w:szCs w:val="24"/>
          <w:lang w:val="kk-KZ" w:eastAsia="ru-RU"/>
        </w:rPr>
        <w:t xml:space="preserve">гудвилл, іскерлік бедел, ұйымның құны, гудвиллдің құнсыздануы, амортизация </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t>БУХГАЛТЕРСКИЙ УЧЕТ ГУДВИЛЛА И МОДЕЛИ ЕГО ОЦЕНКИ</w:t>
      </w:r>
    </w:p>
    <w:p>
      <w:pPr>
        <w:pStyle w:val="Normal"/>
        <w:suppressAutoHyphens w:val="true"/>
        <w:spacing w:lineRule="auto" w:line="240" w:before="0" w:after="0"/>
        <w:ind w:firstLine="567"/>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uppressAutoHyphens w:val="true"/>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С. Рейдолда</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 Р.А. Ерниязов</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 А.К. Алпысбаева,</w:t>
      </w:r>
      <w:r>
        <w:rPr>
          <w:rFonts w:eastAsia="Times New Roman" w:cs="Times New Roman" w:ascii="Times New Roman" w:hAnsi="Times New Roman"/>
          <w:b/>
          <w:vertAlign w:val="superscript"/>
          <w:lang w:val="kk-KZ" w:eastAsia="ru-RU"/>
        </w:rPr>
        <w:t xml:space="preserve"> </w:t>
      </w:r>
      <w:r>
        <w:rPr>
          <w:rFonts w:eastAsia="Times New Roman" w:cs="Times New Roman" w:ascii="Times New Roman" w:hAnsi="Times New Roman"/>
          <w:b/>
          <w:lang w:val="kk-KZ" w:eastAsia="ru-RU"/>
        </w:rPr>
        <w:t xml:space="preserve">Б.А. Жуматаева, У.Б. Юсупов, А.Т. Кабиева </w:t>
      </w:r>
    </w:p>
    <w:p>
      <w:pPr>
        <w:pStyle w:val="Normal"/>
        <w:suppressAutoHyphens w:val="true"/>
        <w:spacing w:lineRule="auto" w:line="240" w:before="0" w:after="0"/>
        <w:ind w:firstLine="567"/>
        <w:jc w:val="center"/>
        <w:rPr>
          <w:rFonts w:ascii="Times New Roman" w:hAnsi="Times New Roman" w:eastAsia="Times New Roman" w:cs="Times New Roman"/>
          <w:i/>
          <w:i/>
          <w:sz w:val="20"/>
          <w:szCs w:val="20"/>
          <w:lang w:val="kk-KZ" w:eastAsia="ru-RU"/>
        </w:rPr>
      </w:pPr>
      <w:r>
        <w:rPr>
          <w:rFonts w:eastAsia="Times New Roman" w:cs="Times New Roman" w:ascii="Times New Roman" w:hAnsi="Times New Roman"/>
          <w:i/>
          <w:sz w:val="20"/>
          <w:szCs w:val="20"/>
          <w:lang w:val="kk-KZ" w:eastAsia="ru-RU"/>
        </w:rPr>
        <w:t>Казахский университет технологии и бизнеса имени К. Кулажанова, Астана, Казахстан,</w:t>
      </w:r>
    </w:p>
    <w:p>
      <w:pPr>
        <w:pStyle w:val="Normal"/>
        <w:suppressAutoHyphens w:val="true"/>
        <w:spacing w:lineRule="auto" w:line="240" w:before="0" w:after="0"/>
        <w:ind w:firstLine="567"/>
        <w:jc w:val="center"/>
        <w:rPr>
          <w:rFonts w:ascii="Times New Roman" w:hAnsi="Times New Roman" w:eastAsia="Times New Roman" w:cs="Times New Roman"/>
          <w:sz w:val="20"/>
          <w:szCs w:val="20"/>
          <w:lang w:val="kk-KZ" w:eastAsia="ru-RU"/>
        </w:rPr>
      </w:pPr>
      <w:r>
        <w:rPr>
          <w:rFonts w:eastAsia="Calibri" w:cs="Times New Roman" w:ascii="Times New Roman" w:hAnsi="Times New Roman"/>
          <w:sz w:val="20"/>
          <w:szCs w:val="20"/>
          <w:lang w:val="en-US" w:eastAsia="ru-RU"/>
        </w:rPr>
        <w:t xml:space="preserve">e-mail: </w:t>
      </w:r>
      <w:hyperlink r:id="rId103">
        <w:r>
          <w:rPr>
            <w:rStyle w:val="Style3"/>
            <w:rFonts w:eastAsia="Times New Roman" w:cs="Times New Roman" w:ascii="Times New Roman" w:hAnsi="Times New Roman"/>
            <w:color w:val="000000"/>
            <w:sz w:val="20"/>
            <w:szCs w:val="20"/>
            <w:lang w:val="kk-KZ" w:eastAsia="ru-RU"/>
          </w:rPr>
          <w:t>Sau_1981@mail.ru</w:t>
        </w:r>
      </w:hyperlink>
      <w:r>
        <w:rPr>
          <w:rFonts w:eastAsia="Times New Roman" w:cs="Times New Roman" w:ascii="Times New Roman" w:hAnsi="Times New Roman"/>
          <w:color w:val="000000"/>
          <w:sz w:val="20"/>
          <w:szCs w:val="20"/>
          <w:lang w:val="en-US" w:eastAsia="ru-RU"/>
        </w:rPr>
        <w:t xml:space="preserve">, </w:t>
      </w:r>
      <w:hyperlink r:id="rId104">
        <w:r>
          <w:rPr>
            <w:rStyle w:val="Style3"/>
            <w:rFonts w:eastAsia="Times New Roman" w:cs="Times New Roman" w:ascii="Times New Roman" w:hAnsi="Times New Roman"/>
            <w:color w:val="000000"/>
            <w:sz w:val="20"/>
            <w:szCs w:val="20"/>
            <w:lang w:val="kk-KZ" w:eastAsia="ru-RU"/>
          </w:rPr>
          <w:t>erniyazov_rust@mail.ru</w:t>
        </w:r>
      </w:hyperlink>
    </w:p>
    <w:p>
      <w:pPr>
        <w:pStyle w:val="Normal"/>
        <w:suppressAutoHyphens w:val="true"/>
        <w:spacing w:lineRule="auto" w:line="240" w:before="0" w:after="0"/>
        <w:ind w:firstLine="567"/>
        <w:jc w:val="center"/>
        <w:rPr>
          <w:rFonts w:ascii="Times New Roman" w:hAnsi="Times New Roman" w:eastAsia="Times New Roman" w:cs="Times New Roman"/>
          <w:b/>
          <w:sz w:val="20"/>
          <w:szCs w:val="20"/>
          <w:lang w:val="kk-KZ" w:eastAsia="ru-RU"/>
        </w:rPr>
      </w:pPr>
      <w:r>
        <w:rPr>
          <w:rFonts w:eastAsia="Times New Roman" w:cs="Times New Roman" w:ascii="Times New Roman" w:hAnsi="Times New Roman"/>
          <w:b/>
          <w:sz w:val="20"/>
          <w:szCs w:val="20"/>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Цель статьи - определить эффективность моделей оценки гудвилла, проанализировав и раскрыв сущность учета гудвилла. Одной из проблем, возникающих в связи с гудвиллом, является умышленное или ненамеренное преувеличение его величины в бухгалтерском учете. Такие преувеличения могут ввести инвесторов в заблуждение из-за того, что компании искусственно делают свои активы сильными. В связи с этим в статье мы рассмотрим, как именно определить гудвилл компании. При покупке компаний, связанных с гудвиллом, покупатель переплачивает. В результате возникают конфликты, в связи с чем от компаний стали проводиться ежегодные тесты на обесценение гудвилла и предусматриваться выявление превышения заявленной гудвилла компании над ее справедливой рыночной стоимостью. По мере того, как эти тесты приводят к сокращению гудвилла, организация показывает снижение финансовой отчетности как ущерб от обесценения гудвилла. Учитывая эту ситуацию, теперь мы можем рассмотреть основные этапы тестирования на обесценение гудвилла.</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Вместо того, чтобы амортизировать расходы, которые организация заплатила за гудвилл, в течение 40 лет, она должна признать ежегодное снижение стоимости гудвилла, связанное с приобретенными ұйымми. Такое соответствие доходов и расходов обеспечивает достоверность финансовой отчетности, а также возникает обязанность бухгалтеров выбирать соответствующую модель для измерения убытков от обесценения. Авторы подчеркивают некоторые причины для выпуска этого нового стандарта, сравнивают эффекты дисконтированных денежных потоков и методы остаточного дохода для измерения такого обесценения и предлагают, как разработать концептуальную модель для соблюдения новых авторитетных правил.</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Ключевые слова.</w:t>
      </w:r>
      <w:r>
        <w:rPr>
          <w:rFonts w:eastAsia="Times New Roman" w:cs="Times New Roman" w:ascii="Times New Roman" w:hAnsi="Times New Roman"/>
          <w:sz w:val="24"/>
          <w:szCs w:val="24"/>
          <w:lang w:val="kk-KZ" w:eastAsia="ru-RU"/>
        </w:rPr>
        <w:t xml:space="preserve"> гудвилл, деловая репутация, стоимость компании, обесценение гудвилла, амортизация</w:t>
      </w:r>
    </w:p>
    <w:p>
      <w:pPr>
        <w:pStyle w:val="Normal"/>
        <w:suppressAutoHyphens w:val="true"/>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t>GOODWILL ACCOUNTING AND ITS VALUATION MODELS</w:t>
      </w:r>
    </w:p>
    <w:p>
      <w:pPr>
        <w:pStyle w:val="Normal"/>
        <w:suppressAutoHyphens w:val="true"/>
        <w:spacing w:lineRule="auto" w:line="240" w:before="0" w:after="0"/>
        <w:jc w:val="both"/>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p>
      <w:pPr>
        <w:pStyle w:val="Normal"/>
        <w:suppressAutoHyphens w:val="true"/>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S. Reidolda</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w:t>
      </w:r>
      <w:r>
        <w:rPr>
          <w:rFonts w:eastAsia="Times New Roman" w:cs="Times New Roman" w:ascii="Times New Roman" w:hAnsi="Times New Roman"/>
          <w:b/>
          <w:highlight w:val="white"/>
          <w:lang w:val="kk-KZ" w:eastAsia="ru-RU"/>
        </w:rPr>
        <w:t xml:space="preserve"> R.A</w:t>
      </w:r>
      <w:r>
        <w:rPr>
          <w:rFonts w:eastAsia="Times New Roman" w:cs="Times New Roman" w:ascii="Times New Roman" w:hAnsi="Times New Roman"/>
          <w:b/>
          <w:lang w:val="kk-KZ" w:eastAsia="ru-RU"/>
        </w:rPr>
        <w:t xml:space="preserve">. </w:t>
      </w:r>
      <w:r>
        <w:rPr>
          <w:rFonts w:eastAsia="Times New Roman" w:cs="Times New Roman" w:ascii="Times New Roman" w:hAnsi="Times New Roman"/>
          <w:b/>
          <w:highlight w:val="white"/>
          <w:lang w:val="kk-KZ" w:eastAsia="ru-RU"/>
        </w:rPr>
        <w:t>Yerniyazov</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 xml:space="preserve">, A.K. Alpysbaeva, B.A. Zhumataeva, U.B. Yusupov, </w:t>
      </w:r>
      <w:r>
        <w:rPr>
          <w:rFonts w:eastAsia="Times New Roman" w:cs="Times New Roman" w:ascii="Times New Roman" w:hAnsi="Times New Roman"/>
          <w:b/>
          <w:highlight w:val="white"/>
          <w:lang w:val="kk-KZ" w:eastAsia="ru-RU"/>
        </w:rPr>
        <w:t>A.T.Kabiyeva</w:t>
      </w:r>
    </w:p>
    <w:p>
      <w:pPr>
        <w:pStyle w:val="Normal"/>
        <w:suppressAutoHyphens w:val="true"/>
        <w:spacing w:lineRule="auto" w:line="240" w:before="0" w:after="0"/>
        <w:jc w:val="center"/>
        <w:rPr>
          <w:rFonts w:ascii="Times New Roman" w:hAnsi="Times New Roman" w:eastAsia="Times New Roman" w:cs="Times New Roman"/>
          <w:i/>
          <w:i/>
          <w:sz w:val="20"/>
          <w:szCs w:val="20"/>
          <w:lang w:val="kk-KZ" w:eastAsia="ru-RU"/>
        </w:rPr>
      </w:pPr>
      <w:r>
        <w:rPr>
          <w:rFonts w:eastAsia="Times New Roman" w:cs="Times New Roman" w:ascii="Times New Roman" w:hAnsi="Times New Roman"/>
          <w:i/>
          <w:sz w:val="20"/>
          <w:szCs w:val="20"/>
          <w:lang w:val="kk-KZ" w:eastAsia="ru-RU"/>
        </w:rPr>
        <w:t>K. Kulazhanov University of Technology and Business, Astana, Kazakhstan,</w:t>
      </w:r>
    </w:p>
    <w:p>
      <w:pPr>
        <w:pStyle w:val="Normal"/>
        <w:suppressAutoHyphens w:val="true"/>
        <w:spacing w:lineRule="auto" w:line="240" w:before="0" w:after="0"/>
        <w:jc w:val="center"/>
        <w:rPr>
          <w:rFonts w:ascii="Times New Roman" w:hAnsi="Times New Roman" w:eastAsia="Times New Roman" w:cs="Times New Roman"/>
          <w:sz w:val="20"/>
          <w:szCs w:val="20"/>
          <w:lang w:val="kk-KZ" w:eastAsia="ru-RU"/>
        </w:rPr>
      </w:pPr>
      <w:r>
        <w:rPr>
          <w:rFonts w:eastAsia="Calibri" w:cs="Times New Roman" w:ascii="Times New Roman" w:hAnsi="Times New Roman"/>
          <w:sz w:val="20"/>
          <w:szCs w:val="20"/>
          <w:lang w:val="en-US" w:eastAsia="ru-RU"/>
        </w:rPr>
        <w:t xml:space="preserve">e-mail: </w:t>
      </w:r>
      <w:hyperlink r:id="rId105">
        <w:r>
          <w:rPr>
            <w:rStyle w:val="Style3"/>
            <w:rFonts w:eastAsia="Times New Roman" w:cs="Times New Roman" w:ascii="Times New Roman" w:hAnsi="Times New Roman"/>
            <w:color w:val="000000"/>
            <w:sz w:val="20"/>
            <w:szCs w:val="20"/>
            <w:lang w:val="kk-KZ" w:eastAsia="ru-RU"/>
          </w:rPr>
          <w:t>Sau_1981@mail.ru</w:t>
        </w:r>
      </w:hyperlink>
      <w:r>
        <w:rPr>
          <w:rFonts w:eastAsia="Times New Roman" w:cs="Times New Roman" w:ascii="Times New Roman" w:hAnsi="Times New Roman"/>
          <w:color w:val="000000"/>
          <w:sz w:val="20"/>
          <w:szCs w:val="20"/>
          <w:lang w:val="en-US" w:eastAsia="ru-RU"/>
        </w:rPr>
        <w:t xml:space="preserve">, </w:t>
      </w:r>
      <w:hyperlink r:id="rId106">
        <w:r>
          <w:rPr>
            <w:rStyle w:val="Style3"/>
            <w:rFonts w:eastAsia="Times New Roman" w:cs="Times New Roman" w:ascii="Times New Roman" w:hAnsi="Times New Roman"/>
            <w:color w:val="000000"/>
            <w:sz w:val="20"/>
            <w:szCs w:val="20"/>
            <w:lang w:val="kk-KZ" w:eastAsia="ru-RU"/>
          </w:rPr>
          <w:t>erniyazov_rust@mail.ru</w:t>
        </w:r>
      </w:hyperlink>
    </w:p>
    <w:p>
      <w:pPr>
        <w:pStyle w:val="Normal"/>
        <w:suppressAutoHyphens w:val="true"/>
        <w:spacing w:lineRule="auto" w:line="240" w:before="0" w:after="0"/>
        <w:jc w:val="both"/>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The purpose of the article is to analyze and reveal the essence of goodwill accounting in order to determine the effectiveness of goodwill valuation models. One of the issues arising from goodwill is the intentional or unintentional overstatement of its value in accounting. Such overstatements can mislead investors, as companies artificially present their assets as impressive. Therefore, in this article, we will consider how to determine a company's goodwill. When companies with goodwill are acquired, the buyer tends to overpay. As a result, conflicts arise that require companies to perform annual tests for goodwill impairment, which involve determining whether reported goodwill exceeds its fair market value. As a result of these tests, goodwill may decline, and the company records this decline as a goodwill impairment charge in its financial statements. Taking this situation into account, we can review the key steps for testing goodwill for impairment. Instead of amortizing the costs incurred for goodwill over 40 years, the company should recognize the annual decline in the value of goodwill associated with acquired firms. This matching of revenues and expenses ensures the accuracy of financial reporting, and selecting the appropriate model for measuring impairment becomes the responsibility of accountants. The authors emphasize some reasons for issuing this new standard, comparing it to previous practices.</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Keywords.</w:t>
      </w:r>
      <w:r>
        <w:rPr>
          <w:rFonts w:eastAsia="Times New Roman" w:cs="Times New Roman" w:ascii="Times New Roman" w:hAnsi="Times New Roman"/>
          <w:sz w:val="24"/>
          <w:szCs w:val="24"/>
          <w:lang w:val="kk-KZ" w:eastAsia="ru-RU"/>
        </w:rPr>
        <w:t xml:space="preserve"> goodwill, business reputation, company value, goodwill impairment, depreciation</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Кіріспе.</w:t>
      </w:r>
      <w:r>
        <w:rPr>
          <w:rFonts w:eastAsia="Times New Roman" w:cs="Times New Roman" w:ascii="Times New Roman" w:hAnsi="Times New Roman"/>
          <w:sz w:val="24"/>
          <w:szCs w:val="24"/>
          <w:lang w:val="kk-KZ" w:eastAsia="ru-RU"/>
        </w:rPr>
        <w:t xml:space="preserve"> Гудвилл ұғымы 90 жылдардың аяғындағы атышулы ең үлкен шығындардың бірі болды. Ұйымды сатып алған кезде бастапқыда гудвиллдің көптеген негіздемелері болуы мүмкін: клиенттермен күшті қарым-қатынас, зияткерлік меншік немесе танымал бренд сияқты материалдық емес активтер - бұл гудвиллге ықпал ететін факторлар болып табылады [1]. Осылайша, кез келген гудвилл активін нақты не қолдайтынын түсіну қиын [2]. Гудвилл - бұл бір ұйымды екінші ұйымның сатып алуынан туындайтын материалдық емес актив. Сатып алушы ұйымды өзінің баланстық құнынан артық құн төлеп сатып алған кезде [3], баланстық құннан артық төлегнген сома сатып алушының балансында гудвилл ретінде есепке алынады. Көптеген инвесторлар </w:t>
      </w:r>
      <w:hyperlink r:id="rId107">
        <w:r>
          <w:rPr>
            <w:rStyle w:val="Style3"/>
            <w:rFonts w:eastAsia="Times New Roman" w:cs="Times New Roman" w:ascii="Times New Roman" w:hAnsi="Times New Roman"/>
            <w:color w:val="000000"/>
            <w:sz w:val="24"/>
            <w:szCs w:val="24"/>
            <w:lang w:val="kk-KZ" w:eastAsia="ru-RU"/>
          </w:rPr>
          <w:t>гудвиллді бағалау</w:t>
        </w:r>
      </w:hyperlink>
      <w:r>
        <w:rPr>
          <w:rFonts w:eastAsia="Times New Roman" w:cs="Times New Roman" w:ascii="Times New Roman" w:hAnsi="Times New Roman"/>
          <w:sz w:val="24"/>
          <w:szCs w:val="24"/>
          <w:lang w:val="kk-KZ" w:eastAsia="ru-RU"/>
        </w:rPr>
        <w:t xml:space="preserve"> қиын активтердің бірі деп санайды [4]. </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1970 жылдан бастап Америкалық бухгалтерлік есеп қағидасына сәйкес ұйымдар гудвиллді 40 жыл тиімді пайдалану мерзімі ішінде амортизациялау арқылы есептен шығара бастады және осылайша гудвиллдің құны төмендетіле бастады [5]. Осы сәттен бастап ұйымдарды сатып алу кезінде 20 жылдан астам уақыт ішінде гудвиллдің төмендеу мәндерін мойындай отырып, ұйым ның нарықтық құнын анықтау қажет. «Материалдық емес активтер» 38 ҚЕХС талабына сәйкес ұйымдарды біріктіру кезінде алынған гудвилл бұл сатып алушы-ұйым болашақта күтілетін экономикалық табысты күту кезінде өздігінен жеке бірегейлендіре алмайтын және бөлек таныла алмайтын активтерден жасалатын төлем болып танылады [6]. Болашақтағы экономикалық табыстар сатып алынған бірегейлендірілетін активтер арасында тиімділігінен немесе жеке өзі қаржы есептілігінде тану талаптарына жауап бермейтін, бірақ ұйымдарды біріктіру кезінде сатып алушы ақысын төлеуге даяр активтерден туындауы ықтимал [7]. «Бизнесті біріктіру» 3 ХҚЕС (IFRS) сәйкес сатып алу күніне сатып алынатын ұйымның тану критерийлеріне сәйкес келетін сәйкестендірілетін активтерін, міндеттемелерін және шартты міндеттемелерін тану арқылы бизнесті біріктіруге арналған шығындарды бөлу керек: активтер үшін ұйымның осы активтермен байланысты экономикалық пайда алатынына және олардың әділ құнын сенімді түрде өлшеуге болатындығына сенімділік бар; міндеттемелерді өтеу үшін экономикалық пайда әкелетін ресурстарды жою қажет болатынына сенімділік бар олардың әділ құнын сатып алу күніндегі әділ құнымен сенімді түрде өлшеуге болады [8].</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Анықталатын активтер мен міндеттемелерге сатып алынатын ұйымның барлық қаржылық активтері мен қаржылық міндеттемелері кіреді. Сатып алу күні: а) бизнесті біріктіру кезінде сатып алынған гудвиллді актив ретінде тану; б) бастапқыда гудвиллді өзіндік құны бойынша өлшеу қажет [9].</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Гудвиллдің құны - бұл бизнесті біріктіру шығындарының анықталатын активтердің, міндеттемелердің және шартты міндеттемелердің таза әділ құнындағы сатып алушының үлесінен асып кетуін айтады [10].  Ұйымдарды біріктіру нәтижесінде сатып алынған жеке сәйкестендірілетін материалдық емес активтердің бастапқы құны әділ құны бойынша танылады. Жеке материалдық емес активтерді сәйкестендіру және бөлек бағалау, егер алынған актив материалдық емес активті тану анықтамасы мен критерийлеріне сәйкес келсе, олар қосылатын ұйымның есебінде бөлінбеген кезде де жүргізіледі. Егер материалдық емес активті жеке объект ретінде сенімді түрде бағалау мүмкін болмаса, онда оның құны ұйымның гудвилліне (іскерлік бедел ретінде) қосылады [11].</w:t>
      </w:r>
    </w:p>
    <w:p>
      <w:pPr>
        <w:pStyle w:val="Normal"/>
        <w:tabs>
          <w:tab w:val="clear" w:pos="708"/>
          <w:tab w:val="left" w:pos="993" w:leader="none"/>
        </w:tabs>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 барысында мынадай негізгі зерттеу сұрақтары тұжырымдалды:</w:t>
      </w:r>
    </w:p>
    <w:p>
      <w:pPr>
        <w:pStyle w:val="Normal"/>
        <w:numPr>
          <w:ilvl w:val="0"/>
          <w:numId w:val="11"/>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Гудвиллді бағалаудың тиімді моделін қалай анықтауға болады?</w:t>
      </w:r>
    </w:p>
    <w:p>
      <w:pPr>
        <w:pStyle w:val="Normal"/>
        <w:numPr>
          <w:ilvl w:val="0"/>
          <w:numId w:val="11"/>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Қазіргі қолданыстағы DDM, DCF және RIM модельдерінің қайсысы гудвиллдің құнсыздануын есептеуге қолайлы?</w:t>
      </w:r>
    </w:p>
    <w:p>
      <w:pPr>
        <w:pStyle w:val="Normal"/>
        <w:numPr>
          <w:ilvl w:val="0"/>
          <w:numId w:val="11"/>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Гудвиллдің құнсыздануын тексерудің қандай әдістері шынайы қаржылық есептілікке қол жеткізуге мүмкіндік береді?</w:t>
      </w:r>
    </w:p>
    <w:p>
      <w:pPr>
        <w:pStyle w:val="Normal"/>
        <w:numPr>
          <w:ilvl w:val="0"/>
          <w:numId w:val="11"/>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Сатып алу кезінде төленген артық құн мен таза активтер арасындағы айырмашылық гудвиллдің әділ құнын қалайша бұрмалайды?</w:t>
      </w:r>
    </w:p>
    <w:p>
      <w:pPr>
        <w:pStyle w:val="Normal"/>
        <w:tabs>
          <w:tab w:val="clear" w:pos="708"/>
          <w:tab w:val="left" w:pos="993" w:leader="none"/>
        </w:tabs>
        <w:suppressAutoHyphens w:val="true"/>
        <w:spacing w:lineRule="auto" w:line="240" w:before="0" w:after="0"/>
        <w:ind w:firstLine="567"/>
        <w:jc w:val="both"/>
        <w:rPr>
          <w:rFonts w:ascii="Times New Roman" w:hAnsi="Times New Roman" w:eastAsia="Calibri" w:cs="Times New Roman"/>
          <w:sz w:val="24"/>
          <w:szCs w:val="24"/>
          <w:lang w:val="kk-KZ" w:eastAsia="ru-RU"/>
        </w:rPr>
      </w:pPr>
      <w:r>
        <w:rPr>
          <w:rFonts w:eastAsia="Calibri" w:cs="Times New Roman" w:ascii="Times New Roman" w:hAnsi="Times New Roman"/>
          <w:sz w:val="24"/>
          <w:szCs w:val="24"/>
          <w:lang w:val="kk-KZ" w:eastAsia="ru-RU"/>
        </w:rPr>
        <w:t>Мақалада үш түрлі бағалау моделі – DDM (дивидендтік дисконттау моделі), DCF (дисконтталған ақша ағыны моделі), RIM (қалдық табыс моделі) – салыстырмалы талдауға түскен. Әрқайсысының теориялық негізі мен практикалық қолайлылығы сипатталған. Сонымен қатар, гудвиллдің құнсыздануын бағалауда кездесетін тәжірибелік қиындықтар атап көрсетілген.</w:t>
      </w:r>
    </w:p>
    <w:p>
      <w:pPr>
        <w:pStyle w:val="Normal"/>
        <w:tabs>
          <w:tab w:val="clear" w:pos="708"/>
          <w:tab w:val="left" w:pos="993" w:leader="none"/>
        </w:tabs>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 басында авторлар мынадай күтілетін нәтижелерді мақсат етіп қояды:</w:t>
      </w:r>
    </w:p>
    <w:p>
      <w:pPr>
        <w:pStyle w:val="Normal"/>
        <w:numPr>
          <w:ilvl w:val="0"/>
          <w:numId w:val="12"/>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гудвиллдің әділ құнын бағалаудың тиімді және нақты моделін анықтау;</w:t>
      </w:r>
    </w:p>
    <w:p>
      <w:pPr>
        <w:pStyle w:val="Normal"/>
        <w:numPr>
          <w:ilvl w:val="0"/>
          <w:numId w:val="12"/>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қаржылық есептілік шынайылығын қамтамасыз ететін құнсыздануды тестілеудің дұрыс әдістемесін ұсыну;</w:t>
      </w:r>
    </w:p>
    <w:p>
      <w:pPr>
        <w:pStyle w:val="Normal"/>
        <w:numPr>
          <w:ilvl w:val="0"/>
          <w:numId w:val="12"/>
        </w:numPr>
        <w:tabs>
          <w:tab w:val="clear" w:pos="708"/>
          <w:tab w:val="left" w:pos="993" w:leader="none"/>
        </w:tabs>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гудвиллдің құнсыздануынан болатын есептік бұрмаланулардың алдын алу жолдарын көрсету.</w:t>
      </w:r>
    </w:p>
    <w:p>
      <w:pPr>
        <w:pStyle w:val="Normal"/>
        <w:tabs>
          <w:tab w:val="clear" w:pos="708"/>
          <w:tab w:val="left" w:pos="993" w:leader="none"/>
        </w:tabs>
        <w:suppressAutoHyphens w:val="true"/>
        <w:spacing w:lineRule="auto" w:line="240" w:before="0" w:after="0"/>
        <w:ind w:firstLine="567"/>
        <w:contextualSpacing/>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Мақаладағы модельдерді салыстырмалы талдау нәтижелері күтілген мақсатпен толық үндеседі: DDM моделінің болжам жасау қиындығы, DCF моделінің кең таралуы және RIM моделінің таза табысқа негізделуі нақты дәлелдермен берілген. Сонымен бірге құнсыздануды бағалаудағы қиындықтар (мысалы, сатып алынған гудвилл мен кейінгі ішкі гудвиллді ажырату) күтілген нәтижелерге жетуге кедергі келтіретін факторлар ретінде көрсетіледі. Авторлар ұсыныс ретінде, ұйым ерекшелігіне сай модель таңдауды, сонымен қатар объективті бағалау әдістерін қолдануды алға тартады - бұл да бастапқы күтіліммен үйлеседі.</w:t>
      </w:r>
    </w:p>
    <w:p>
      <w:pPr>
        <w:pStyle w:val="Normal"/>
        <w:tabs>
          <w:tab w:val="clear" w:pos="708"/>
          <w:tab w:val="left" w:pos="993" w:leader="none"/>
        </w:tabs>
        <w:suppressAutoHyphens w:val="true"/>
        <w:spacing w:lineRule="auto" w:line="240" w:before="0" w:after="0"/>
        <w:ind w:firstLine="567"/>
        <w:contextualSpacing/>
        <w:jc w:val="both"/>
        <w:rPr>
          <w:rFonts w:ascii="Times New Roman" w:hAnsi="Times New Roman" w:eastAsia="Times New Roman" w:cs="Times New Roman"/>
          <w:sz w:val="24"/>
          <w:szCs w:val="24"/>
          <w:highlight w:val="yellow"/>
          <w:lang w:val="kk-KZ" w:eastAsia="ru-RU"/>
        </w:rPr>
      </w:pPr>
      <w:r>
        <w:rPr>
          <w:rFonts w:eastAsia="Calibri" w:cs="Times New Roman" w:ascii="Times New Roman" w:hAnsi="Times New Roman"/>
          <w:sz w:val="24"/>
          <w:szCs w:val="24"/>
          <w:lang w:val="kk-KZ" w:eastAsia="ru-RU"/>
        </w:rPr>
        <w:t>Қазақстандағы бухгалтерлік есеп тәжірибесінде гудвиллді тану және бағалау Халықаралық қаржылық есеп стандарттары (IFRS) негізінде жүзеге асырылады. Атап айтқанда, ҚЕХС 3 «Бизнесті біріктіру» стандарты бойынша, сатып алу күніне сәйкестендірілетін активтер мен міндеттемелердің әділ құнына төленген артық сома гудвилл ретінде танылады. Ал ҚЕХС 36 «Активтердің құнсыздануы» стандартына сәйкес, бұл гудвилл жыл сайын және индикаторлар пайда болғанда құнсыздануға тестіленуі тиіс. Осылайша, мақалада қарастырылған теориялық модельдер (DDM, DCF, RIM) мен гудвиллдің құнсыздануына қатысты тұжырымдар Қазақстанда қолданылатын қаржылық есеп стандарттарымен толық сәйкес келеді және тәжірибелік маңызға ие.</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 xml:space="preserve">Материалдар және әдістер. </w:t>
      </w:r>
      <w:r>
        <w:rPr>
          <w:rFonts w:eastAsia="Times New Roman" w:cs="Times New Roman" w:ascii="Times New Roman" w:hAnsi="Times New Roman"/>
          <w:sz w:val="24"/>
          <w:szCs w:val="24"/>
          <w:lang w:val="kk-KZ" w:eastAsia="ru-RU"/>
        </w:rPr>
        <w:t>Ғылыми зерттеулерде гудвиллді бағалдаудың келесідей моделдері қарастырылған (Герц және басқалар, 2001): дивидендтік дисконттау моделі (DDM), дисконтталған ақша ағындарының моделі (DCF) және қалдық табыс моделі (RIM). Гудвиллді бағалау модельдеріне талдау жасай отырып,  өзара салыстыру арқылы гудвиллді бағалаудың ең тиімді моделін анықтау қарастырылған. Сондай-ақ моделдердің әрқайсысына своп-талдау әдісі арқылы талдау жасай отырып, әр моделдің әлді, әлсіз және күшті жақтары анықталды.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Ұйымдар гудвиллді бүкіл бизнесті сатып алған кезде ғана тіркеуі керек, өйткені гудвилл бүкіл бизнес үшін төленген баға мен барлық арнайы анықталған активтер арасындағы айырмашылықты білдіреді. Мысалы, жылжымайтын мүлікті салушы бәсекелестің мүлкін және клиенттерін әрбір жеке жалдау бірлігінің әділ (нарықтық) құнынан жоғары бағаға, ең алдымен, жұмыс істеп тұрған (бизнес) концернін сатып алу кезінде сатып ала алады. Бұл бағалау тұтастай алғанда бизнестің құнынан бөлінбейді [12]. Нәтижесінде алынған гудвилл таза материалдық және анықталатын материалдық емес активтердің әділ нарықтық құнын шегергенде, сатып алынған бизнестің сатып алынған бағасына тең болады. Осылайша, туындаған айырмашылық негізгі бағалау шоты деп аталады. Сол сияқты, субъектілер мұндай активтердің олар үшін төлегеннен де қымбат екенін дәлелдей алса да, ішкі пайда болған гудиллді мойындамауы керек, өйткені объективті бағалау әдісі туындамайды [13].</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Егер баға белгіленетін нарықтық бағалар қол жетімді болмаса, әділ құнды бағалау әдетте ұқсас активтер мен міндеттемелердің бағаларын ескере отырып, болжамды болашақ ақша ағындарының дисконтталған құны сияқты бағалаудың тиісті әдістерін қолдану арқылы қолда бар ең жақсы ақпаратқа негізделуі керек. Ұйымлар өздерінің таза активтерінің әділ құнының осындай төмендеуін өлшеу үшін объективті бағалау әдістерін қолдануы керек, бұл нарық қатысушылары пайыздық мөлшерлемелер, дефолт, алдын ала төлем және құбылмалылық туралы болжамдарды қоса алғанда, құндылықтарды, болашақ кірістер мен болашақ шығыстарды бағалауда қолданатын болжамдарды қамтуы керек [14]. Әділ құнды бағалау үшін күтілетін болашақ ақша ағындарын бағалайтын ұйымдар ақылға қонымды және негізделген болжамдарға сүйеніп, осындай күтілетін болашақ ақша ағындарын бағалау үшін барлық қолда бар деректерді ескеруі керек. Мұндай дәлелдемелерге берілген салмақ субъектінің осы дәлелдемелерді объективті түрде қаншалықты тексере алатындығына сәйкес келуі керек. Ықтимал ақша ағындарының мөлшерін немесе мерзімдерін бағалау үшін диапазондарды пайдаланатын ұйымдар, егер олар күтілетін ақша ағындарының тәсілін қолданса, тікелей немесе жанама түрде тәуекелдерге түзетілген дисконттау мөлшерлемесі арқылы ықтимал нәтижелердің ықтималдығын ескеруі керек. Сөйтіп болашақ ақша ағындарының ең тиімді бағасын анықтайды [15].</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 xml:space="preserve">Нәтижелер және талқылау. </w:t>
      </w:r>
      <w:r>
        <w:rPr>
          <w:rFonts w:eastAsia="Times New Roman" w:cs="Times New Roman" w:ascii="Times New Roman" w:hAnsi="Times New Roman"/>
          <w:sz w:val="24"/>
          <w:szCs w:val="24"/>
          <w:lang w:val="kk-KZ" w:eastAsia="ru-RU"/>
        </w:rPr>
        <w:t>Гудвиллді бағалаудың дивидендтік дисконттау моделі (DDM) меншікті капиталды бағалау модельдерінің көпшілігінің негізін қалайды, мұнда ұйымның меншікті капиталының құны - V, барлық күтілетін болашақ дивидендтердің дисконтталған құнына тең - DIV, ұйымның меншікті капиталының құны бойынша дисконтталған, r</w:t>
      </w:r>
      <w:r>
        <w:rPr>
          <w:rFonts w:eastAsia="Times New Roman" w:cs="Times New Roman" w:ascii="Times New Roman" w:hAnsi="Times New Roman"/>
          <w:sz w:val="24"/>
          <w:szCs w:val="24"/>
          <w:vertAlign w:val="subscript"/>
          <w:lang w:val="kk-KZ" w:eastAsia="ru-RU"/>
        </w:rPr>
        <w:t>e</w:t>
      </w:r>
      <w:r>
        <w:rPr>
          <w:rFonts w:eastAsia="Times New Roman" w:cs="Times New Roman" w:ascii="Times New Roman" w:hAnsi="Times New Roman"/>
          <w:sz w:val="24"/>
          <w:szCs w:val="24"/>
          <w:lang w:val="kk-KZ" w:eastAsia="ru-RU"/>
        </w:rPr>
        <w:t>, әдетте уақыт бойынша тұрақты деп қабылданады: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jc w:val="center"/>
        <w:rPr>
          <w:rFonts w:ascii="Times New Roman" w:hAnsi="Times New Roman" w:eastAsia="Times New Roman" w:cs="Times New Roman"/>
          <w:sz w:val="24"/>
          <w:szCs w:val="24"/>
          <w:lang w:val="kk-KZ" w:eastAsia="ru-RU"/>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m:t>
              </m:r>
            </m:sup>
            <m:e>
              <m:sSub>
                <m:e>
                  <m:r>
                    <w:rPr>
                      <w:rFonts w:ascii="Cambria Math" w:hAnsi="Cambria Math"/>
                    </w:rPr>
                    <m:t xml:space="preserve">E</m:t>
                  </m:r>
                </m:e>
                <m:sub>
                  <m:r>
                    <w:rPr>
                      <w:rFonts w:ascii="Cambria Math" w:hAnsi="Cambria Math"/>
                    </w:rPr>
                    <m:t xml:space="preserve">0</m:t>
                  </m:r>
                </m:sub>
              </m:sSub>
              <m:r>
                <w:rPr>
                  <w:rFonts w:ascii="Cambria Math" w:hAnsi="Cambria Math"/>
                </w:rPr>
                <m:t xml:space="preserve">(</m:t>
              </m:r>
              <m:sSub>
                <m:e>
                  <m:r>
                    <m:rPr>
                      <m:lit/>
                      <m:nor/>
                    </m:rPr>
                    <w:rPr>
                      <w:rFonts w:ascii="Cambria Math" w:hAnsi="Cambria Math"/>
                    </w:rPr>
                    <m:t xml:space="preserve">DIV</m:t>
                  </m:r>
                </m:e>
                <m:sub>
                  <m:r>
                    <w:rPr>
                      <w:rFonts w:ascii="Cambria Math" w:hAnsi="Cambria Math"/>
                    </w:rPr>
                    <m:t xml:space="preserve">n</m:t>
                  </m:r>
                </m:sub>
              </m:sSub>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e</m:t>
                  </m:r>
                </m:sub>
              </m:sSub>
              <m:sSub>
                <m:e>
                  <m:r>
                    <w:rPr>
                      <w:rFonts w:ascii="Cambria Math" w:hAnsi="Cambria Math"/>
                    </w:rPr>
                    <m:t xml:space="preserve">)</m:t>
                  </m:r>
                </m:e>
                <m:sub>
                  <m:r>
                    <w:rPr>
                      <w:rFonts w:ascii="Cambria Math" w:hAnsi="Cambria Math"/>
                    </w:rPr>
                    <m:t xml:space="preserve">n</m:t>
                  </m:r>
                </m:sub>
              </m:sSub>
            </m:e>
          </m:nary>
        </m:oMath>
      </m:oMathPara>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Уақыт кезеңдері t әрпімен жазылады және ағымдағы күн n уақыты ретінде белгіленеді. DDM қолдану үшін қажетті негізгі компаненттер дивидендтерді болжау және r</w:t>
      </w:r>
      <w:r>
        <w:rPr>
          <w:rFonts w:eastAsia="Times New Roman" w:cs="Times New Roman" w:ascii="Times New Roman" w:hAnsi="Times New Roman"/>
          <w:sz w:val="24"/>
          <w:szCs w:val="24"/>
          <w:vertAlign w:val="subscript"/>
          <w:lang w:val="kk-KZ" w:eastAsia="ru-RU"/>
        </w:rPr>
        <w:t>e</w:t>
      </w:r>
      <w:r>
        <w:rPr>
          <w:rFonts w:eastAsia="Times New Roman" w:cs="Times New Roman" w:ascii="Times New Roman" w:hAnsi="Times New Roman"/>
          <w:sz w:val="24"/>
          <w:szCs w:val="24"/>
          <w:lang w:val="kk-KZ" w:eastAsia="ru-RU"/>
        </w:rPr>
        <w:t xml:space="preserve"> бағалауы болып табылады. Дивидендтер болжамдар мен бағалау DDM меншікті капиталын бағалау моделін қолдану үшін екі негізгі параметрді реформалайды.</w:t>
      </w:r>
      <w:r>
        <w:rPr>
          <w:rFonts w:eastAsia="Calibri" w:cs="Calibri" w:ascii="Calibri" w:hAnsi="Calibri"/>
          <w:lang w:val="kk-KZ" w:eastAsia="ru-RU"/>
        </w:rPr>
        <w:t xml:space="preserve"> </w:t>
      </w:r>
      <w:r>
        <w:rPr>
          <w:rFonts w:eastAsia="Calibri" w:cs="Times New Roman" w:ascii="Times New Roman" w:hAnsi="Times New Roman"/>
          <w:sz w:val="24"/>
          <w:szCs w:val="24"/>
          <w:lang w:val="kk-KZ" w:eastAsia="ru-RU"/>
        </w:rPr>
        <w:t>Біздің пікір бойынша</w:t>
      </w:r>
      <w:r>
        <w:rPr>
          <w:rFonts w:eastAsia="Calibri" w:cs="Calibri" w:ascii="Calibri" w:hAnsi="Calibri"/>
          <w:lang w:val="kk-KZ" w:eastAsia="ru-RU"/>
        </w:rPr>
        <w:t xml:space="preserve"> </w:t>
      </w:r>
      <w:r>
        <w:rPr>
          <w:rFonts w:eastAsia="Calibri" w:cs="Times New Roman" w:ascii="Times New Roman" w:hAnsi="Times New Roman"/>
          <w:sz w:val="24"/>
          <w:szCs w:val="24"/>
          <w:lang w:val="kk-KZ" w:eastAsia="ru-RU"/>
        </w:rPr>
        <w:t>бұл түсініксіздік гудвиллді бағалауда әдістемелік дәлсіздікке және субъективті бағалауға әкеліп соғатынын айта отырып, гудвилл ұғымын есептеуде нақты анықтау өлшемдері қажет екенін баса көрсетеді.</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Дисконтталған ақша ағындарының моделі. Теориялық тартымдылығына қарамастан, көп дивидендтер төлемейтін ұйымлар үшін ұзақ мерзімді перспективада DDM қолдану қиын. Осыған байланысты тәжірибеде қолданылуы жеңілдеу DDM балама түрінің практикалық формалары пайда болды. DDM балама түрінің практикалық формаларының бірі - Модильяни мен Миллердің (1958) қаржы теорияларымен тікелей байланысына негізделген дисконтталған ақша ағыны (DCF) моделі қолданыла бастады. DCF моделін пайдалану үшін алдымен бос ақша ағындарын (FCF) бағалау қажет, яғни ұйымның барлық операциялық және инвестициялық қажеттіліктерін қанағаттандырғаннан кейін капитал жеткізушілерінің белгілі бір тобына бөлуге болатын ақша ағындары. DCF моделінің көптеген нұсқалары болғанымен, FCF ең көп қолданылатын нұсқасы болып табылады. Ол қарызға да, үлескерлерге де бөлуге болатын ақша ағыны ретінде анықталады, ал дисконттау мөлшерлемесі капиталдың орташа өлшенген құны (WACC) болып табылады [16]. Бұл модель ұйымның қарызы мен меншікті капиталы сомасының құнын бағалайды; ұйымның артық ақшасын шегергендегі ұйымның қарызының нарықтық құны ұйымның құнын алу үшін ұйымның жалпы құнынан шегерілуі керек. Болашақта FCF шексіз жобалаудың өзіне тән қиындықтарына байланысты, DCF модельдерін пайдаланушылар FCF белгілі бір мерзімге дейін болжайды және таза қарыздың және меншікті капиталдың, VT+ таза қарыздың терминалдық құнын бөлек бағалайды: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sz w:val="24"/>
          <w:szCs w:val="24"/>
          <w:lang w:val="kk-KZ" w:eastAsia="ru-RU"/>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0</m:t>
              </m:r>
            </m:sub>
          </m:sSub>
          <m:r>
            <w:rPr>
              <w:rFonts w:ascii="Cambria Math" w:hAnsi="Cambria Math"/>
            </w:rPr>
            <m:t xml:space="preserve">+</m:t>
          </m:r>
          <m:sSub>
            <m:e>
              <m:r>
                <m:rPr>
                  <m:lit/>
                  <m:nor/>
                </m:rPr>
                <w:rPr>
                  <w:rFonts w:ascii="Cambria Math" w:hAnsi="Cambria Math"/>
                </w:rPr>
                <m:t xml:space="preserve">netdebt</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T</m:t>
              </m:r>
            </m:sup>
            <m:e>
              <m:sSub>
                <m:e>
                  <m:r>
                    <w:rPr>
                      <w:rFonts w:ascii="Cambria Math" w:hAnsi="Cambria Math"/>
                    </w:rPr>
                    <m:t xml:space="preserve">E</m:t>
                  </m:r>
                </m:e>
                <m:sub>
                  <m:r>
                    <w:rPr>
                      <w:rFonts w:ascii="Cambria Math" w:hAnsi="Cambria Math"/>
                    </w:rPr>
                    <m:t xml:space="preserve">0</m:t>
                  </m:r>
                </m:sub>
              </m:sSub>
              <m:r>
                <w:rPr>
                  <w:rFonts w:ascii="Cambria Math" w:hAnsi="Cambria Math"/>
                </w:rPr>
                <m:t xml:space="preserve">(</m:t>
              </m:r>
              <m:sSub>
                <m:e>
                  <m:r>
                    <m:rPr>
                      <m:lit/>
                      <m:nor/>
                    </m:rPr>
                    <w:rPr>
                      <w:rFonts w:ascii="Cambria Math" w:hAnsi="Cambria Math"/>
                    </w:rPr>
                    <m:t xml:space="preserve">FCF</m:t>
                  </m:r>
                </m:e>
                <m:sub>
                  <m:r>
                    <w:rPr>
                      <w:rFonts w:ascii="Cambria Math" w:hAnsi="Cambria Math"/>
                    </w:rPr>
                    <m:t xml:space="preserve">n</m:t>
                  </m:r>
                </m:sub>
              </m:sSub>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sSub>
                <m:e>
                  <m:r>
                    <w:rPr>
                      <w:rFonts w:ascii="Cambria Math" w:hAnsi="Cambria Math"/>
                    </w:rPr>
                    <m:t xml:space="preserve">r</m:t>
                  </m:r>
                </m:e>
                <m:sub>
                  <m:r>
                    <m:rPr>
                      <m:lit/>
                      <m:nor/>
                    </m:rPr>
                    <w:rPr>
                      <w:rFonts w:ascii="Cambria Math" w:hAnsi="Cambria Math"/>
                    </w:rPr>
                    <m:t xml:space="preserve">wacc</m:t>
                  </m:r>
                </m:sub>
              </m:sSub>
              <m:sSup>
                <m:e>
                  <m:r>
                    <w:rPr>
                      <w:rFonts w:ascii="Cambria Math" w:hAnsi="Cambria Math"/>
                    </w:rPr>
                    <m:t xml:space="preserve">)</m:t>
                  </m:r>
                </m:e>
                <m:sup>
                  <m:r>
                    <w:rPr>
                      <w:rFonts w:ascii="Cambria Math" w:hAnsi="Cambria Math"/>
                    </w:rPr>
                    <m:t xml:space="preserve">n</m:t>
                  </m:r>
                </m:sup>
              </m:sSup>
              <m:r>
                <w:rPr>
                  <w:rFonts w:ascii="Cambria Math" w:hAnsi="Cambria Math"/>
                </w:rPr>
                <m:t xml:space="preserve">+</m:t>
              </m:r>
              <m:sSub>
                <m:e>
                  <m:r>
                    <w:rPr>
                      <w:rFonts w:ascii="Cambria Math" w:hAnsi="Cambria Math"/>
                    </w:rPr>
                    <m:t xml:space="preserve">E</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netdebt</m:t>
                  </m:r>
                </m:e>
                <m:sub>
                  <m:r>
                    <w:rPr>
                      <w:rFonts w:ascii="Cambria Math" w:hAnsi="Cambria Math"/>
                    </w:rPr>
                    <m:t xml:space="preserve">T</m:t>
                  </m:r>
                </m:sub>
              </m:sSub>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sSub>
                <m:e>
                  <m:r>
                    <w:rPr>
                      <w:rFonts w:ascii="Cambria Math" w:hAnsi="Cambria Math"/>
                    </w:rPr>
                    <m:t xml:space="preserve">r</m:t>
                  </m:r>
                </m:e>
                <m:sub>
                  <m:r>
                    <m:rPr>
                      <m:lit/>
                      <m:nor/>
                    </m:rPr>
                    <w:rPr>
                      <w:rFonts w:ascii="Cambria Math" w:hAnsi="Cambria Math"/>
                    </w:rPr>
                    <m:t xml:space="preserve">wass</m:t>
                  </m:r>
                </m:sub>
              </m:sSub>
              <m:sSup>
                <m:e>
                  <m:r>
                    <w:rPr>
                      <w:rFonts w:ascii="Cambria Math" w:hAnsi="Cambria Math"/>
                    </w:rPr>
                    <m:t xml:space="preserve">)</m:t>
                  </m:r>
                </m:e>
                <m:sup>
                  <m:r>
                    <w:rPr>
                      <w:rFonts w:ascii="Cambria Math" w:hAnsi="Cambria Math"/>
                    </w:rPr>
                    <m:t xml:space="preserve">T</m:t>
                  </m:r>
                </m:sup>
              </m:sSup>
            </m:e>
          </m:nary>
        </m:oMath>
      </m:oMathPara>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мұндағы r</w:t>
      </w:r>
      <w:r>
        <w:rPr>
          <w:rFonts w:eastAsia="Times New Roman" w:cs="Times New Roman" w:ascii="Times New Roman" w:hAnsi="Times New Roman"/>
          <w:sz w:val="24"/>
          <w:szCs w:val="24"/>
          <w:vertAlign w:val="subscript"/>
          <w:lang w:val="kk-KZ" w:eastAsia="ru-RU"/>
        </w:rPr>
        <w:t>wacc</w:t>
      </w:r>
      <w:r>
        <w:rPr>
          <w:rFonts w:eastAsia="Times New Roman" w:cs="Times New Roman" w:ascii="Times New Roman" w:hAnsi="Times New Roman"/>
          <w:sz w:val="24"/>
          <w:szCs w:val="24"/>
          <w:lang w:val="kk-KZ" w:eastAsia="ru-RU"/>
        </w:rPr>
        <w:t xml:space="preserve"> - дисконттау мөлшерлемесі ретінде пайдаланылатын WACC білдіреді. Қарыз бен меншікті капиталдың түпкілікті құнын бағалаудың стандартты тәсілі ұйым соңғы күнге дейін тұрақты күйге жетеді деп болжайды және соңғы мәнді тұрақты g, [E</w:t>
      </w:r>
      <w:r>
        <w:rPr>
          <w:rFonts w:eastAsia="Times New Roman" w:cs="Times New Roman" w:ascii="Times New Roman" w:hAnsi="Times New Roman"/>
          <w:sz w:val="24"/>
          <w:szCs w:val="24"/>
          <w:vertAlign w:val="subscript"/>
          <w:lang w:val="kk-KZ" w:eastAsia="ru-RU"/>
        </w:rPr>
        <w:t>o</w:t>
      </w:r>
      <w:r>
        <w:rPr>
          <w:rFonts w:eastAsia="Times New Roman" w:cs="Times New Roman" w:ascii="Times New Roman" w:hAnsi="Times New Roman"/>
          <w:sz w:val="24"/>
          <w:szCs w:val="24"/>
          <w:lang w:val="kk-KZ" w:eastAsia="ru-RU"/>
        </w:rPr>
        <w:t>FCF</w:t>
      </w:r>
      <w:r>
        <w:rPr>
          <w:rFonts w:eastAsia="Times New Roman" w:cs="Times New Roman" w:ascii="Times New Roman" w:hAnsi="Times New Roman"/>
          <w:sz w:val="24"/>
          <w:szCs w:val="24"/>
          <w:vertAlign w:val="subscript"/>
          <w:lang w:val="kk-KZ" w:eastAsia="ru-RU"/>
        </w:rPr>
        <w:t>T</w:t>
      </w:r>
      <w:r>
        <w:rPr>
          <w:rFonts w:eastAsia="Times New Roman" w:cs="Times New Roman" w:ascii="Times New Roman" w:hAnsi="Times New Roman"/>
          <w:sz w:val="24"/>
          <w:szCs w:val="24"/>
          <w:lang w:val="kk-KZ" w:eastAsia="ru-RU"/>
        </w:rPr>
        <w:t>(1 +g)]/(r</w:t>
      </w:r>
      <w:r>
        <w:rPr>
          <w:rFonts w:eastAsia="Times New Roman" w:cs="Times New Roman" w:ascii="Times New Roman" w:hAnsi="Times New Roman"/>
          <w:sz w:val="24"/>
          <w:szCs w:val="24"/>
          <w:vertAlign w:val="subscript"/>
          <w:lang w:val="kk-KZ" w:eastAsia="ru-RU"/>
        </w:rPr>
        <w:t>wacc</w:t>
      </w:r>
      <w:r>
        <w:rPr>
          <w:rFonts w:eastAsia="Times New Roman" w:cs="Times New Roman" w:ascii="Times New Roman" w:hAnsi="Times New Roman"/>
          <w:sz w:val="24"/>
          <w:szCs w:val="24"/>
          <w:lang w:val="kk-KZ" w:eastAsia="ru-RU"/>
        </w:rPr>
        <w:t xml:space="preserve">-g) тұрақты қарқынмен өсетін FCF ретінде есептейді. DCF моделінің негізгі құрамдас бөліктері FCF болжамдары және WACC бағалауы, капиталдың орташа өлшенген құны болып табылады. WACC ұйымның капитал құрылымына сәйкес келеді. Пайдаланушылар көбінесе ұйымның мақсатты қарызы мен меншікті капиталының арақатынасына негізделген тұрақты WACC қабылдайды [17]. </w:t>
      </w:r>
      <w:r>
        <w:rPr>
          <w:rFonts w:eastAsia="Calibri" w:cs="Times New Roman" w:ascii="Times New Roman" w:hAnsi="Times New Roman"/>
          <w:sz w:val="24"/>
          <w:szCs w:val="24"/>
          <w:lang w:val="kk-KZ" w:eastAsia="ru-RU"/>
        </w:rPr>
        <w:t>Біздің пікір бойынша бұл тәсілдің ұйым активтерінің шынайы жағдайын көрсетуге мүмкіндік беретінін, сонымен қатар гудвиллдің шын мәніндегі әділ құнын бағалауға жол ашатынын қолдайды.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Қалдық табыс моделі. Қалдық табыс моделі (RIM) таза профицитті есепке алуды ескере отырып, DDM алынуы мүмкін. Таза профицитті есепке алу кірістер мен шығыстар туралы есепте акционерлермен операцияларды қоспағанда, осы кезеңдегі меншікті капиталдың баланстық құнына әсер ететін барлық операциялар танылуы керек деп есептейді [18]. Қалдық табыс, RI, меншікті капиталдың өзіндік құнына тең меншікті капитал үшін төлемді шегергендегі таза табысты есепке алу ретінде анықталады, меншікті капиталдың кезең басындағы баланстық құнынан көп:</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sz w:val="24"/>
          <w:szCs w:val="24"/>
          <w:lang w:val="kk-KZ" w:eastAsia="ru-RU"/>
        </w:rPr>
      </w:pPr>
      <w:r>
        <w:rPr/>
      </w:r>
      <m:oMathPara xmlns:m="http://schemas.openxmlformats.org/officeDocument/2006/math">
        <m:oMathParaPr>
          <m:jc m:val="center"/>
        </m:oMathParaPr>
        <m:oMath>
          <m:sSub>
            <m:e>
              <m:r>
                <m:rPr>
                  <m:lit/>
                  <m:nor/>
                </m:rPr>
                <w:rPr>
                  <w:rFonts w:ascii="Cambria Math" w:hAnsi="Cambria Math"/>
                </w:rPr>
                <m:t xml:space="preserve">RI</m:t>
              </m:r>
            </m:e>
            <m:sub>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NI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e</m:t>
              </m:r>
            </m:sub>
          </m:sSub>
          <m:sSub>
            <m:e>
              <m:r>
                <m:rPr>
                  <m:lit/>
                  <m:nor/>
                </m:rPr>
                <w:rPr>
                  <w:rFonts w:ascii="Cambria Math" w:hAnsi="Cambria Math"/>
                </w:rPr>
                <m:t xml:space="preserve">BV</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RIM үшін меншікті капиталдың нарықтық құны ұйымның меншікті капиталының ағымдағы баланстық құнының, BV</w:t>
      </w:r>
      <w:r>
        <w:rPr>
          <w:rFonts w:eastAsia="Times New Roman" w:cs="Times New Roman" w:ascii="Times New Roman" w:hAnsi="Times New Roman"/>
          <w:sz w:val="24"/>
          <w:szCs w:val="24"/>
          <w:vertAlign w:val="subscript"/>
          <w:lang w:val="kk-KZ" w:eastAsia="ru-RU"/>
        </w:rPr>
        <w:t>0</w:t>
      </w:r>
      <w:r>
        <w:rPr>
          <w:rFonts w:eastAsia="Times New Roman" w:cs="Times New Roman" w:ascii="Times New Roman" w:hAnsi="Times New Roman"/>
          <w:sz w:val="24"/>
          <w:szCs w:val="24"/>
          <w:lang w:val="kk-KZ" w:eastAsia="ru-RU"/>
        </w:rPr>
        <w:t xml:space="preserve"> және күтілетін болашақ RI дисконтталған құнының қосындысы ретінде бағаланады.</w:t>
      </w:r>
      <w:r>
        <w:rPr>
          <w:rFonts w:eastAsia="Calibri"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kk-KZ" w:eastAsia="ru-RU"/>
        </w:rPr>
        <w:t>DCF моделі сияқты, RIM пайдаланушылары RI тек белгілі бір болашақ терминал күні арқылы болжайды және меншікті капиталдың нарықтық құны мен баланстық құны арасындағы айырмашылықты терминал құны мерзіміне бөлек бағалайды, В</w:t>
      </w:r>
      <w:r>
        <w:rPr>
          <w:rFonts w:eastAsia="Times New Roman" w:cs="Times New Roman" w:ascii="Times New Roman" w:hAnsi="Times New Roman"/>
          <w:sz w:val="24"/>
          <w:szCs w:val="24"/>
          <w:vertAlign w:val="subscript"/>
          <w:lang w:val="kk-KZ" w:eastAsia="ru-RU"/>
        </w:rPr>
        <w:t>Т</w:t>
      </w:r>
      <w:r>
        <w:rPr>
          <w:rFonts w:eastAsia="Times New Roman" w:cs="Times New Roman" w:ascii="Times New Roman" w:hAnsi="Times New Roman"/>
          <w:sz w:val="24"/>
          <w:szCs w:val="24"/>
          <w:lang w:val="kk-KZ" w:eastAsia="ru-RU"/>
        </w:rPr>
        <w:t xml:space="preserve"> - BV</w:t>
      </w:r>
      <w:r>
        <w:rPr>
          <w:rFonts w:eastAsia="Times New Roman" w:cs="Times New Roman" w:ascii="Times New Roman" w:hAnsi="Times New Roman"/>
          <w:sz w:val="24"/>
          <w:szCs w:val="24"/>
          <w:vertAlign w:val="subscript"/>
          <w:lang w:val="kk-KZ" w:eastAsia="ru-RU"/>
        </w:rPr>
        <w:t>T</w:t>
      </w:r>
      <w:r>
        <w:rPr>
          <w:rFonts w:eastAsia="Times New Roman" w:cs="Times New Roman" w:ascii="Times New Roman" w:hAnsi="Times New Roman"/>
          <w:sz w:val="24"/>
          <w:szCs w:val="24"/>
          <w:lang w:val="kk-KZ" w:eastAsia="ru-RU"/>
        </w:rPr>
        <w:t>:</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sz w:val="24"/>
          <w:szCs w:val="24"/>
          <w:lang w:val="kk-KZ" w:eastAsia="ru-RU"/>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0</m:t>
              </m:r>
            </m:sub>
          </m:sSub>
          <m:r>
            <w:rPr>
              <w:rFonts w:ascii="Cambria Math" w:hAnsi="Cambria Math"/>
            </w:rPr>
            <m:t xml:space="preserve">=</m:t>
          </m:r>
          <m:sSub>
            <m:e>
              <m:r>
                <m:rPr>
                  <m:lit/>
                  <m:nor/>
                </m:rPr>
                <w:rPr>
                  <w:rFonts w:ascii="Cambria Math" w:hAnsi="Cambria Math"/>
                </w:rPr>
                <m:t xml:space="preserve">BV</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T</m:t>
              </m:r>
            </m:sup>
            <m:e>
              <m:sSub>
                <m:e>
                  <m:r>
                    <w:rPr>
                      <w:rFonts w:ascii="Cambria Math" w:hAnsi="Cambria Math"/>
                    </w:rPr>
                    <m:t xml:space="preserve">E</m:t>
                  </m:r>
                </m:e>
                <m:sub>
                  <m:r>
                    <w:rPr>
                      <w:rFonts w:ascii="Cambria Math" w:hAnsi="Cambria Math"/>
                    </w:rPr>
                    <m:t xml:space="preserve">0</m:t>
                  </m:r>
                </m:sub>
              </m:sSub>
              <m:r>
                <w:rPr>
                  <w:rFonts w:ascii="Cambria Math" w:hAnsi="Cambria Math"/>
                </w:rPr>
                <m:t xml:space="preserve">(</m:t>
              </m:r>
              <m:sSub>
                <m:e>
                  <m:r>
                    <m:rPr>
                      <m:lit/>
                      <m:nor/>
                    </m:rPr>
                    <w:rPr>
                      <w:rFonts w:ascii="Cambria Math" w:hAnsi="Cambria Math"/>
                    </w:rPr>
                    <m:t xml:space="preserve">RI</m:t>
                  </m:r>
                </m:e>
                <m:sub>
                  <m:r>
                    <w:rPr>
                      <w:rFonts w:ascii="Cambria Math" w:hAnsi="Cambria Math"/>
                    </w:rPr>
                    <m:t xml:space="preserve">n</m:t>
                  </m:r>
                </m:sub>
              </m:sSub>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e</m:t>
                  </m:r>
                </m:sub>
              </m:sSub>
              <m:sSup>
                <m:e>
                  <m:r>
                    <w:rPr>
                      <w:rFonts w:ascii="Cambria Math" w:hAnsi="Cambria Math"/>
                    </w:rPr>
                    <m:t xml:space="preserve">)</m:t>
                  </m:r>
                </m:e>
                <m:sup>
                  <m:r>
                    <w:rPr>
                      <w:rFonts w:ascii="Cambria Math" w:hAnsi="Cambria Math"/>
                    </w:rPr>
                    <m:t xml:space="preserve">n</m:t>
                  </m:r>
                </m:sup>
              </m:sSup>
              <m:r>
                <w:rPr>
                  <w:rFonts w:ascii="Cambria Math" w:hAnsi="Cambria Math"/>
                </w:rPr>
                <m:t xml:space="preserve">+</m:t>
              </m:r>
              <m:sSub>
                <m:e>
                  <m:r>
                    <w:rPr>
                      <w:rFonts w:ascii="Cambria Math" w:hAnsi="Cambria Math"/>
                    </w:rPr>
                    <m:t xml:space="preserve">E</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BV</m:t>
                  </m:r>
                </m:e>
                <m:sub>
                  <m:r>
                    <w:rPr>
                      <w:rFonts w:ascii="Cambria Math" w:hAnsi="Cambria Math"/>
                    </w:rPr>
                    <m:t xml:space="preserve">T</m:t>
                  </m:r>
                </m:sub>
              </m:sSub>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e</m:t>
                  </m:r>
                </m:sub>
              </m:sSub>
              <m:sSup>
                <m:e>
                  <m:r>
                    <w:rPr>
                      <w:rFonts w:ascii="Cambria Math" w:hAnsi="Cambria Math"/>
                    </w:rPr>
                    <m:t xml:space="preserve">)</m:t>
                  </m:r>
                </m:e>
                <m:sup>
                  <m:r>
                    <w:rPr>
                      <w:rFonts w:ascii="Cambria Math" w:hAnsi="Cambria Math"/>
                    </w:rPr>
                    <m:t xml:space="preserve">T</m:t>
                  </m:r>
                </m:sup>
              </m:sSup>
            </m:e>
          </m:nary>
        </m:oMath>
      </m:oMathPara>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both"/>
        <w:rPr>
          <w:rFonts w:ascii="Times New Roman" w:hAnsi="Times New Roman" w:eastAsia="Calibri" w:cs="Times New Roman"/>
          <w:sz w:val="24"/>
          <w:szCs w:val="24"/>
          <w:lang w:val="kk-KZ" w:eastAsia="ru-RU"/>
        </w:rPr>
      </w:pPr>
      <w:r>
        <w:rPr>
          <w:rFonts w:eastAsia="Times New Roman" w:cs="Times New Roman" w:ascii="Times New Roman" w:hAnsi="Times New Roman"/>
          <w:sz w:val="24"/>
          <w:szCs w:val="24"/>
          <w:lang w:val="kk-KZ" w:eastAsia="ru-RU"/>
        </w:rPr>
        <w:t>Бұл модельді пайдаланушылар көбінесе ұйым терминал мерзіміне дейін тұрақты күйге жетеді деп болжайды. Олар тұрақты g жылдамдығымен өсетін RI мәңгілігінің терминалдық мәнін (TV) есептейді, сондықтан TV=E</w:t>
      </w:r>
      <w:r>
        <w:rPr>
          <w:rFonts w:eastAsia="Times New Roman" w:cs="Times New Roman" w:ascii="Times New Roman" w:hAnsi="Times New Roman"/>
          <w:sz w:val="24"/>
          <w:szCs w:val="24"/>
          <w:vertAlign w:val="subscript"/>
          <w:lang w:val="kk-KZ" w:eastAsia="ru-RU"/>
        </w:rPr>
        <w:t>0</w:t>
      </w:r>
      <w:r>
        <w:rPr>
          <w:rFonts w:eastAsia="Times New Roman" w:cs="Times New Roman" w:ascii="Times New Roman" w:hAnsi="Times New Roman"/>
          <w:sz w:val="24"/>
          <w:szCs w:val="24"/>
          <w:lang w:val="kk-KZ" w:eastAsia="ru-RU"/>
        </w:rPr>
        <w:t>[RI</w:t>
      </w:r>
      <w:r>
        <w:rPr>
          <w:rFonts w:eastAsia="Times New Roman" w:cs="Times New Roman" w:ascii="Times New Roman" w:hAnsi="Times New Roman"/>
          <w:sz w:val="24"/>
          <w:szCs w:val="24"/>
          <w:vertAlign w:val="subscript"/>
          <w:lang w:val="kk-KZ" w:eastAsia="ru-RU"/>
        </w:rPr>
        <w:t>T</w:t>
      </w:r>
      <w:r>
        <w:rPr>
          <w:rFonts w:eastAsia="Times New Roman" w:cs="Times New Roman" w:ascii="Times New Roman" w:hAnsi="Times New Roman"/>
          <w:sz w:val="24"/>
          <w:szCs w:val="24"/>
          <w:lang w:val="kk-KZ" w:eastAsia="ru-RU"/>
        </w:rPr>
        <w:t>(1+g)]/(r</w:t>
      </w:r>
      <w:r>
        <w:rPr>
          <w:rFonts w:eastAsia="Times New Roman" w:cs="Times New Roman" w:ascii="Times New Roman" w:hAnsi="Times New Roman"/>
          <w:sz w:val="24"/>
          <w:szCs w:val="24"/>
          <w:vertAlign w:val="subscript"/>
          <w:lang w:val="kk-KZ" w:eastAsia="ru-RU"/>
        </w:rPr>
        <w:t>e</w:t>
      </w:r>
      <w:r>
        <w:rPr>
          <w:rFonts w:eastAsia="Times New Roman" w:cs="Times New Roman" w:ascii="Times New Roman" w:hAnsi="Times New Roman"/>
          <w:sz w:val="24"/>
          <w:szCs w:val="24"/>
          <w:lang w:val="kk-KZ" w:eastAsia="ru-RU"/>
        </w:rPr>
        <w:t>-g). RIM-ді қолданудың негізгі компоненттері BV және бухгалтерлік есептің таза кірісінің болжамдары, сондай-ақ r</w:t>
      </w:r>
      <w:r>
        <w:rPr>
          <w:rFonts w:eastAsia="Times New Roman" w:cs="Times New Roman" w:ascii="Times New Roman" w:hAnsi="Times New Roman"/>
          <w:sz w:val="24"/>
          <w:szCs w:val="24"/>
          <w:vertAlign w:val="subscript"/>
          <w:lang w:val="kk-KZ" w:eastAsia="ru-RU"/>
        </w:rPr>
        <w:t>e</w:t>
      </w:r>
      <w:r>
        <w:rPr>
          <w:rFonts w:eastAsia="Times New Roman" w:cs="Times New Roman" w:ascii="Times New Roman" w:hAnsi="Times New Roman"/>
          <w:sz w:val="24"/>
          <w:szCs w:val="24"/>
          <w:lang w:val="kk-KZ" w:eastAsia="ru-RU"/>
        </w:rPr>
        <w:t xml:space="preserve"> бағалауы болып табылады [19]. Баланстық құндылықтарды болжау сонымен қатар таза дивидендтерді болжауды талап етеді, яғни дивидендтер ретінде бөлінбеген пайданың кетуін шегергендегі жарғылық капиталдың таза ағыны. Теориялық эквиваленттілігіне байланысты DDM, DCF және RIM модельдері ағындар шексіздікке дейін дәйекті түрде жобаланған және дисконттаудың дәйекті мөлшерлемелері қолданылған кезде бірдей бағалауды қамтамасыз етеді. Алайда іс жүзінде ағындарды ақылға қонымды түрде болжауға болатын көкжиектер шектеулі және дисконттау мөлшерлемелері қателіктермен бағаланады. Бұл практикалық ойлар кейбір ғалымдар мен практиктерді бағалаудың бір моделін екіншісінен артық көруге мәжбүр етеді [20]. </w:t>
      </w:r>
      <w:r>
        <w:rPr>
          <w:rFonts w:eastAsia="Calibri" w:cs="Times New Roman" w:ascii="Times New Roman" w:hAnsi="Times New Roman"/>
          <w:sz w:val="24"/>
          <w:szCs w:val="24"/>
          <w:lang w:val="kk-KZ" w:eastAsia="ru-RU"/>
        </w:rPr>
        <w:t>Біздің пікір бойынша бұл модельдерді салыстыра отырып, нақты жағдайға байланысты әрқайсысының артықшылықтары мен кемшіліктері бар екенін көрсетіп, ең тиімдісін таңдау үшін ұйымның ерекшелігіне мән беру қажеттігін ұсынады.</w:t>
      </w:r>
    </w:p>
    <w:p>
      <w:pPr>
        <w:pStyle w:val="Normal"/>
        <w:suppressAutoHyphens w:val="true"/>
        <w:spacing w:lineRule="auto" w:line="240" w:before="0" w:after="0"/>
        <w:ind w:firstLine="567"/>
        <w:jc w:val="both"/>
        <w:rPr>
          <w:rFonts w:ascii="Times New Roman" w:hAnsi="Times New Roman" w:eastAsia="Calibri" w:cs="Times New Roman"/>
          <w:sz w:val="24"/>
          <w:szCs w:val="24"/>
          <w:lang w:val="kk-KZ" w:eastAsia="ru-RU"/>
        </w:rPr>
      </w:pPr>
      <w:r>
        <w:rPr>
          <w:rFonts w:eastAsia="Times New Roman" w:cs="Times New Roman" w:ascii="Times New Roman" w:hAnsi="Times New Roman"/>
          <w:sz w:val="24"/>
          <w:szCs w:val="24"/>
          <w:lang w:val="kk-KZ" w:eastAsia="ru-RU"/>
        </w:rPr>
        <w:t xml:space="preserve">RIM және DCF моделінің айырмашылықтары мынандай: DDM, әдетте, негізгі теориялық модель болып саналады және DCF моделіне немесе RIM қарағанда аз эмпирикалық тестілеудің тақырыбы болып табылады. DCF де, RIM де бір спецификацияның екіншісіне қарағанда практикалық артықшылықтарын қабылдайтын жақтаушылары бар көптеген нұсқалары бар. DCF моделі MBA сыныбында да, Уолл-Стритте де танымал болғанымен, RIM екі параметрде де танымал бола бастады. </w:t>
      </w:r>
      <w:r>
        <w:rPr>
          <w:rFonts w:eastAsia="Calibri" w:cs="Times New Roman" w:ascii="Times New Roman" w:hAnsi="Times New Roman"/>
          <w:sz w:val="24"/>
          <w:szCs w:val="24"/>
          <w:lang w:val="kk-KZ" w:eastAsia="ru-RU"/>
        </w:rPr>
        <w:t>Біздің пікір бойынша екі модельдің де қолдануға жарамды екенін мойындай отырып, нақты есептеу мен болжам жасау үшін модельді дұрыс таңдау ұйым табысына тікелей әсер ететінін айтады.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DCF моделінің мәлімделген тұжырымдамалық артықшылықтары оның ақша ағындарына баса назар аударатын корпоративтік қаржыландыру тамырларына негізделген [20]. Копленд және басқалар [21] және басқа да негізгі практикалық анықтамалықтардың авторлары ақша ағындарын бағалау мақсатында бухгалтерлік кірісте басым болады деп тұжырымдайды және осылайша DCF моделін бухгалтерлік есепке негізделген модельдерден жоғары қояды.  </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Гудвиллдің құнсыздануын тексерудегі қиындықтар. FASB гудвиллдің әділ құнын гудвиллмен байланысты есеп беру бөлімшесінің болжамды әділ құны мен гудвиллді қоспағанда, есеп беру бөлімшесінің танылған таза активтерінің әділ құны арасындағы айырмашылық ретінде бағалауды талап етеді. Егер гудвиллдің баланстық құны оның болжамды әділ құнынан асып кетсе, гудвилл құнсызданады және оны есептен шығару керек. Сатып алу күніндегі гудвиллдің құнсыздануының бұл сынағы мақсатты көрсеткіш үшін төленген баға мен мақсатты таза активтердің әділ құны арасындағы қалдық немесе айырмашылық болып табылады. Егер кейіннен гудвилл сатып алынған меншікті капиталдың жалпы құны ретінде өлшенсе, оны RIM немесе DCF бағалау моделі таза активтердің әділ құнын шегергенде, гудвиллді қалдық ретінде өлшенуді жалғастырады [22]. </w:t>
      </w:r>
      <w:r>
        <w:rPr>
          <w:rFonts w:eastAsia="Calibri" w:cs="Times New Roman" w:ascii="Times New Roman" w:hAnsi="Times New Roman"/>
          <w:sz w:val="24"/>
          <w:szCs w:val="24"/>
          <w:lang w:val="kk-KZ" w:eastAsia="ru-RU"/>
        </w:rPr>
        <w:t>Біздің пікір бойынша бұл қиындықтардың гудвиллге қатысты есепті жүргізуде айқын шектеулер тудыратынын, сондықтан бағалау мен есеп жүргізудің жетілдірілген, стандартталған тәсілдері қажет екенін көрсетеді.</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Осылайша, сатып алу кезінде де, одан кейін де гудвилл бөлінетін актив болып табылмайды және бухгалтерлік есептің қолданыстағы стандарттарына немесе құнсыздануға ұсынылған тәсілге сәйкес қалдық ретінде өлшенуі керек. Таза активтердің әділ құнын есептеудегі кез келген өлшеу қателігі сатып алу күніндегі артық төлемдер мен төмен төлемдер сияқты гудвиллдің есептік құнына әсер етеді. Таза активтердің әділ құнына қарамастан, сатып алу кезінде гудвиллді өлшейтін жалпы қабылданған әдісі жоқ. Екі фактор сатып алғаннан кейінгі гудвиллді өлшеуді одан әрі қиындатады. Біріншіден, мақсатты ұйымлар көбінесе бас ұйымларға немесе олардың еншілес ұйымдарына біріктіріледі, бұл жеке тиімділікті бағалауды да, бухгалтерлік есепті өлшеуді де нашарлатады, сондай-ақ бизнесті біріктіру күнінен кейін кәсіпорынның гудвиллінен бөлек сатып алу гудвиллін өлшейді [23].</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Екіншіден, егер ұйым өзінің тәуелсіздігін сақтап қалса да, сатып алу саласындағы гудвиллдің өзгеруі ішкі гудвиллдің қалыптасуынан кейінгі іскерлік үйлесімділіктің өзгеруінен ерекшеленбейді, бұл гудвиллдің екі түрінің де құнсыздануын жеке өлшеу мен тексеруді болдырмайды. Егер GAAP толығымен әділ құнға негізделген жүйе болса, онда мұндай бөлу маңызды болмас еді, өйткені сатып алу да, ішкі гудвилл де әділ бағаланатын еді. Материалдық емес активтердің құны активтер ретінде танылады, ішкі дамыған материалдық емес активтердің шығындары активтер ретінде танылады және ішкі дамыған гудвилл шығындары дереу жұмсалады [24]. Сатып алынған гудвилл капиталдандырылып қана қоймайды, сонымен қатар құнсызданудың кейінгі сынақтары ішкі өндірілген гудвиллді жанама түрде капиталдандыруы мүмкін, ал сыртқы сатып алынған гудвиллі жоқ ұйымлар ішкі өндірілген гудвиллге жұмсалған шығындарды өтеуді жалғастырады. Құнсыздануды тестілеудегі екі мәселе де қолданылатын бағалау үлгісіне қарамастан сақталады және бағалау үлгілерінің ешқайсысы оларды басқаларға қарағанда жеңілдетпейді [25].</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Бұдан әрі гудвиллдің әрбір моделі бойынша своп-талдау жасалды және талдау нәтижесі келесі 1-кестеде берілген:</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1-кесте. Гудвиллдің әрбір моделі бойынша своп-талдау</w:t>
      </w:r>
    </w:p>
    <w:p>
      <w:pPr>
        <w:pStyle w:val="Normal"/>
        <w:suppressAutoHyphens w:val="true"/>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bl>
      <w:tblPr>
        <w:tblStyle w:val="34"/>
        <w:tblW w:w="93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40"/>
        <w:gridCol w:w="2708"/>
        <w:gridCol w:w="2551"/>
        <w:gridCol w:w="2545"/>
      </w:tblGrid>
      <w:tr>
        <w:trPr/>
        <w:tc>
          <w:tcPr>
            <w:tcW w:w="1540"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Аспект</w:t>
            </w:r>
          </w:p>
        </w:tc>
        <w:tc>
          <w:tcPr>
            <w:tcW w:w="2708"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DDM моделі</w:t>
            </w:r>
          </w:p>
        </w:tc>
        <w:tc>
          <w:tcPr>
            <w:tcW w:w="2551"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DCF моделі</w:t>
            </w:r>
          </w:p>
        </w:tc>
        <w:tc>
          <w:tcPr>
            <w:tcW w:w="2545"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RIM моделі</w:t>
            </w:r>
          </w:p>
        </w:tc>
      </w:tr>
      <w:tr>
        <w:trPr/>
        <w:tc>
          <w:tcPr>
            <w:tcW w:w="1540"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Күшті жақтары</w:t>
            </w:r>
          </w:p>
        </w:tc>
        <w:tc>
          <w:tcPr>
            <w:tcW w:w="2708"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теориялық тұрғыда қарапайым;</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дивиденд саясаты тұрақты ұйымдарға ыңғайлы</w:t>
            </w:r>
          </w:p>
        </w:tc>
        <w:tc>
          <w:tcPr>
            <w:tcW w:w="2551"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ақша ағындарына негізделген нақты көрсеткіш береді;</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қаржылық есепке байланысты емес дербес модель</w:t>
            </w:r>
          </w:p>
        </w:tc>
        <w:tc>
          <w:tcPr>
            <w:tcW w:w="2545"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бухгалтерлік кіріске сүйенеді;</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капиталдың құнын нақты есептейді;</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шынайы табыстылықты көрсетеді</w:t>
            </w:r>
          </w:p>
        </w:tc>
      </w:tr>
      <w:tr>
        <w:trPr/>
        <w:tc>
          <w:tcPr>
            <w:tcW w:w="1540"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Әлсіз жақтары</w:t>
            </w:r>
          </w:p>
        </w:tc>
        <w:tc>
          <w:tcPr>
            <w:tcW w:w="2708"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дивиденд төлемейтін ұйымдарға қолдану қиын;</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болашақ дивидендтерді болжау күрделі</w:t>
            </w:r>
          </w:p>
        </w:tc>
        <w:tc>
          <w:tcPr>
            <w:tcW w:w="2551"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ақша ағынын нақты болжау қиын;</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WACC мөлшерлемесін бағалауда субъективтілік бар</w:t>
            </w:r>
          </w:p>
        </w:tc>
        <w:tc>
          <w:tcPr>
            <w:tcW w:w="2545"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баланстық құн мен таза табыс болжамдары дәл болмауы мүмкін;</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деректерге өте тәуелді</w:t>
            </w:r>
          </w:p>
        </w:tc>
      </w:tr>
      <w:tr>
        <w:trPr/>
        <w:tc>
          <w:tcPr>
            <w:tcW w:w="1540"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Мүмкіндіктер</w:t>
            </w:r>
          </w:p>
        </w:tc>
        <w:tc>
          <w:tcPr>
            <w:tcW w:w="2708"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тұрақты дивидендтік саясат ұстанатын компа-нияларға жарамды;</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инвесторларға түсінікті.</w:t>
            </w:r>
          </w:p>
        </w:tc>
        <w:tc>
          <w:tcPr>
            <w:tcW w:w="2551"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барлық ұйымдарға қолдануға икемді;</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бизнес-жоспарлармен жақсы үйлеседі</w:t>
            </w:r>
          </w:p>
        </w:tc>
        <w:tc>
          <w:tcPr>
            <w:tcW w:w="2545"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қаржылық есептілікке негізделгендіктен, аудит пен стандарттарға жақсы сәйкестенеді</w:t>
            </w:r>
          </w:p>
        </w:tc>
      </w:tr>
      <w:tr>
        <w:trPr/>
        <w:tc>
          <w:tcPr>
            <w:tcW w:w="1540"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Қауіп-қатерлер</w:t>
            </w:r>
          </w:p>
        </w:tc>
        <w:tc>
          <w:tcPr>
            <w:tcW w:w="2708"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ақпараттың жетіспеу-</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шілігі болжамды бұрмалауы мүмкін;</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тек дивидендке тәуелділік</w:t>
            </w:r>
          </w:p>
        </w:tc>
        <w:tc>
          <w:tcPr>
            <w:tcW w:w="2551"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сценарийлік қателер мен болашақты дәл болжай алмау қаупі;</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модель күрделі</w:t>
            </w:r>
          </w:p>
        </w:tc>
        <w:tc>
          <w:tcPr>
            <w:tcW w:w="2545"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таза кірістің бұрмала-нуы;</w:t>
            </w:r>
          </w:p>
          <w:p>
            <w:pPr>
              <w:pStyle w:val="Normal"/>
              <w:widowControl/>
              <w:suppressAutoHyphens w:val="true"/>
              <w:spacing w:lineRule="auto" w:line="240"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есептік қателіктер мен болжам дәлсіздігі нәтижеге әсер етеді</w:t>
            </w:r>
          </w:p>
        </w:tc>
      </w:tr>
      <w:tr>
        <w:trPr/>
        <w:tc>
          <w:tcPr>
            <w:tcW w:w="1540"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Қорытынды</w:t>
            </w:r>
          </w:p>
        </w:tc>
        <w:tc>
          <w:tcPr>
            <w:tcW w:w="2708"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теориялық жағынан қарапайым әрі қолдануға жеңіл, бірақ дивидендтерге тәуелділігі оның практикалық қолдану аясын шектейді</w:t>
            </w:r>
          </w:p>
        </w:tc>
        <w:tc>
          <w:tcPr>
            <w:tcW w:w="2551"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ақша ағындарына сүйенетін әмбебап әрі кеңінен қолданылатын модель, алайда дұрыс болжам мен дисконттау мөлшерлемесін таңдау маңызды</w:t>
            </w:r>
          </w:p>
        </w:tc>
        <w:tc>
          <w:tcPr>
            <w:tcW w:w="2545"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есепке негізделген сенімді әдіс, бірақ таза кіріс пен баланстық құн көрсеткіштерінің дәлдігіне тәуелді. Теориялық және практикалық тұрғыда тепе-теңдік ұсына алады</w:t>
            </w:r>
          </w:p>
        </w:tc>
      </w:tr>
      <w:tr>
        <w:trPr/>
        <w:tc>
          <w:tcPr>
            <w:tcW w:w="9344" w:type="dxa"/>
            <w:gridSpan w:val="4"/>
            <w:tcBorders/>
          </w:tcPr>
          <w:p>
            <w:pPr>
              <w:pStyle w:val="Normal"/>
              <w:widowControl/>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kk-KZ" w:eastAsia="ru-RU" w:bidi="ar-SA"/>
              </w:rPr>
              <w:t>Ескерту - авторлармен құрастырылған</w:t>
            </w:r>
          </w:p>
        </w:tc>
      </w:tr>
    </w:tbl>
    <w:p>
      <w:pPr>
        <w:pStyle w:val="Normal"/>
        <w:suppressAutoHyphens w:val="true"/>
        <w:spacing w:lineRule="auto" w:line="240" w:before="0" w:after="0"/>
        <w:ind w:firstLine="567"/>
        <w:jc w:val="both"/>
        <w:rPr>
          <w:rFonts w:ascii="Times New Roman" w:hAnsi="Times New Roman" w:eastAsia="Times New Roman" w:cs="Times New Roman"/>
          <w:sz w:val="24"/>
          <w:szCs w:val="24"/>
          <w:highlight w:val="yellow"/>
          <w:lang w:eastAsia="ru-RU"/>
        </w:rPr>
      </w:pPr>
      <w:r>
        <w:rPr>
          <w:rFonts w:eastAsia="Times New Roman" w:cs="Times New Roman" w:ascii="Times New Roman" w:hAnsi="Times New Roman"/>
          <w:sz w:val="24"/>
          <w:szCs w:val="24"/>
          <w:highlight w:val="yellow"/>
          <w:lang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1-кестедегі своп-талдау нәтижесі бойынша DDM - теориялық тұрғыдан түсінікті және қарапайым, бірақ тек дивиденд төлейтін ұйымдарға тиімді. DCF - әмбебап және кең таралған модель, ақша ағындарына негізделген, бірақ болжам дәлдігіне тәуелді. RIM - есепке негізделген нақты модель, таза табыс пен баланстық құнды жақсы көрсетеді, бірақ дұрыс деректерді талап етеді.</w:t>
      </w:r>
    </w:p>
    <w:p>
      <w:pPr>
        <w:pStyle w:val="Normal"/>
        <w:suppressAutoHyphens w:val="true"/>
        <w:spacing w:lineRule="auto" w:line="240" w:before="0" w:after="0"/>
        <w:ind w:firstLine="567"/>
        <w:jc w:val="both"/>
        <w:rPr>
          <w:rFonts w:ascii="Times New Roman" w:hAnsi="Times New Roman" w:eastAsia="Calibri" w:cs="Times New Roman"/>
          <w:bCs/>
          <w:sz w:val="24"/>
          <w:szCs w:val="24"/>
          <w:lang w:val="kk-KZ" w:eastAsia="ru-RU"/>
        </w:rPr>
      </w:pPr>
      <w:r>
        <w:rPr>
          <w:rFonts w:eastAsia="Calibri" w:cs="Times New Roman" w:ascii="Times New Roman" w:hAnsi="Times New Roman"/>
          <w:sz w:val="24"/>
          <w:szCs w:val="24"/>
          <w:lang w:val="kk-KZ" w:eastAsia="ru-RU"/>
        </w:rPr>
        <w:t xml:space="preserve">Жоғарыдағы талдау бойынша гудвилл  сатып алу кезінде төленген бағаның активтер мен міндеттемелердің таза әділ құнынан артатын бөлігі. Бұл теория Қазақстанда да қолданыстағы халықаралық қаржылық есеп стандарттарымен (ҚЕХС) тығыз байланысты. </w:t>
      </w:r>
      <w:r>
        <w:rPr>
          <w:rFonts w:eastAsia="Calibri" w:cs="Times New Roman" w:ascii="Times New Roman" w:hAnsi="Times New Roman"/>
          <w:bCs/>
          <w:sz w:val="24"/>
          <w:szCs w:val="24"/>
          <w:lang w:val="kk-KZ" w:eastAsia="ru-RU"/>
        </w:rPr>
        <w:t>ҚЕХС 3 «Бизнесті біріктіру» стандарт бойынша, сатып алушы ұйым «Сатып алу күніне сәйкестендірілетін активтер мен міндеттемелердің әділ құнынан артық төленген соманы гудвилл ретінде таниды». Гудвиллдің мәнін авторлар «сатып алу күніне ұйымның әділ құны мен төленген баға арасындағы айырмашылық» деп сипаттайды - бұл IFRS 3-пен толық үндеседі [26]. ҚЕХС 36 «Активтердің құнсыздануы» стандартына сәйкес танылған гудвилл амортизацияланбайды, оның орнына жыл сайын құнсыздану тестінен өткізілуі тиіс. IAS 36 80-бабына сәйкес «Гудвиллді жыл сайын және индикаторлар болған жағдайда жиірек құнсыздануға тексеру қажет». Гудвиллді амортизациялау орнына жыл сайын әділ құнмен салыстырып, құнсыздануға сынақ жүргізудің маңызын атап өтеді - бұл IAS 36 талабымен толық үйлеседі [27].</w:t>
      </w:r>
    </w:p>
    <w:p>
      <w:pPr>
        <w:pStyle w:val="Normal"/>
        <w:keepNext w:val="true"/>
        <w:keepLines/>
        <w:numPr>
          <w:ilvl w:val="0"/>
          <w:numId w:val="0"/>
        </w:numPr>
        <w:suppressAutoHyphens w:val="true"/>
        <w:spacing w:lineRule="auto" w:line="240" w:before="0" w:after="0"/>
        <w:ind w:firstLine="567"/>
        <w:jc w:val="both"/>
        <w:outlineLvl w:val="1"/>
        <w:rPr>
          <w:rFonts w:ascii="Times New Roman" w:hAnsi="Times New Roman" w:eastAsia="Calibri" w:cs="Times New Roman"/>
          <w:bCs/>
          <w:sz w:val="24"/>
          <w:szCs w:val="24"/>
          <w:lang w:val="kk-KZ" w:eastAsia="ru-RU"/>
        </w:rPr>
      </w:pPr>
      <w:r>
        <w:rPr>
          <w:rFonts w:eastAsia="Calibri" w:cs="Times New Roman" w:ascii="Times New Roman" w:hAnsi="Times New Roman"/>
          <w:bCs/>
          <w:sz w:val="24"/>
          <w:szCs w:val="24"/>
          <w:lang w:val="kk-KZ" w:eastAsia="ru-RU"/>
        </w:rPr>
        <w:t>Қазақстандық есеп тәжірибесінде гудвиллді қолдану IFRS стандарттары 2006 жылдан бастап толық қабылданған. Барлық ірі және орта кәсіпорындар IFRS (ҚЕХС) негізінде қаржылық есептілік жүргізеді, соның ішінде: Гудвиллді тану - ҚЕХС 3 бойынша; Гудвиллдің құнсыздануын тестілеу – ҚЕХС 36 бойынша; Қаржы министрлігі мен ҚСҚЕО ұсынымдары. Қазақстан Республикасының Қаржы министрлігі мен кәсіби ұйымдар (мысалы, ҚСҚЕО - Қаржылық есептілік стандарттарын қолдану орталығы) гудвиллді сатып алу әдісімен тану керектігін және шоғырландырылған есептілік дайындайтын компаниялар үшін жыл сайын құнсыздануға сынақтан өткізу қажеттігін ескертеді. Мысалы, «Қазақстан Темір Жолы» ұлттық компаниясы шетелдік активті сатып алғанда, оның есептілігінде гудвилл IFRS 3 негізінде танылып, IAS 36 бойынша жыл сайын құнсыздануға тест жүргізіледі. Бұдан әрі «Қазақстан Темір Жолы» ұлттық компаниясы деректері бойынша гудвиллді бағалауға қажетті гипотетикалық деректер төменде 2-кестеде беріген:</w:t>
      </w:r>
    </w:p>
    <w:p>
      <w:pPr>
        <w:pStyle w:val="Normal"/>
        <w:suppressAutoHyphens w:val="true"/>
        <w:spacing w:lineRule="auto" w:line="276" w:before="0" w:after="0"/>
        <w:jc w:val="both"/>
        <w:rPr>
          <w:rFonts w:ascii="Times New Roman" w:hAnsi="Times New Roman" w:eastAsia="Calibri" w:cs="Times New Roman"/>
          <w:highlight w:val="yellow"/>
          <w:lang w:val="kk-KZ" w:eastAsia="ru-RU"/>
        </w:rPr>
      </w:pPr>
      <w:r>
        <w:rPr>
          <w:rFonts w:eastAsia="Calibri" w:cs="Times New Roman" w:ascii="Times New Roman" w:hAnsi="Times New Roman"/>
          <w:highlight w:val="yellow"/>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2-кесте.  «Қазақстан Темір Жолы» ұлттық компаниясы деректері бойынша гудвиллді бағалаудың алғашқы мәліметтері, млн теңге</w:t>
      </w:r>
    </w:p>
    <w:p>
      <w:pPr>
        <w:pStyle w:val="Normal"/>
        <w:suppressAutoHyphens w:val="true"/>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bl>
      <w:tblPr>
        <w:tblStyle w:val="34"/>
        <w:tblW w:w="87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7"/>
        <w:gridCol w:w="2011"/>
        <w:gridCol w:w="1330"/>
        <w:gridCol w:w="2005"/>
        <w:gridCol w:w="2283"/>
      </w:tblGrid>
      <w:tr>
        <w:trPr/>
        <w:tc>
          <w:tcPr>
            <w:tcW w:w="1127"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Жыл</w:t>
            </w:r>
          </w:p>
        </w:tc>
        <w:tc>
          <w:tcPr>
            <w:tcW w:w="2011"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Дивиденд (DDM)</w:t>
            </w:r>
          </w:p>
        </w:tc>
        <w:tc>
          <w:tcPr>
            <w:tcW w:w="1330"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FCF (DCF)</w:t>
            </w:r>
          </w:p>
        </w:tc>
        <w:tc>
          <w:tcPr>
            <w:tcW w:w="2005"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Таза табыс (RIM)</w:t>
            </w:r>
          </w:p>
        </w:tc>
        <w:tc>
          <w:tcPr>
            <w:tcW w:w="2283"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Баланстық құн (BV)</w:t>
            </w:r>
          </w:p>
        </w:tc>
      </w:tr>
      <w:tr>
        <w:trPr/>
        <w:tc>
          <w:tcPr>
            <w:tcW w:w="112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2019</w:t>
            </w:r>
          </w:p>
        </w:tc>
        <w:tc>
          <w:tcPr>
            <w:tcW w:w="2011"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200</w:t>
            </w:r>
          </w:p>
        </w:tc>
        <w:tc>
          <w:tcPr>
            <w:tcW w:w="133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500</w:t>
            </w:r>
          </w:p>
        </w:tc>
        <w:tc>
          <w:tcPr>
            <w:tcW w:w="2005"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400</w:t>
            </w:r>
          </w:p>
        </w:tc>
        <w:tc>
          <w:tcPr>
            <w:tcW w:w="228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3000</w:t>
            </w:r>
          </w:p>
        </w:tc>
      </w:tr>
      <w:tr>
        <w:trPr/>
        <w:tc>
          <w:tcPr>
            <w:tcW w:w="112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2020</w:t>
            </w:r>
          </w:p>
        </w:tc>
        <w:tc>
          <w:tcPr>
            <w:tcW w:w="2011"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210</w:t>
            </w:r>
          </w:p>
        </w:tc>
        <w:tc>
          <w:tcPr>
            <w:tcW w:w="133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520</w:t>
            </w:r>
          </w:p>
        </w:tc>
        <w:tc>
          <w:tcPr>
            <w:tcW w:w="2005"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420</w:t>
            </w:r>
          </w:p>
        </w:tc>
        <w:tc>
          <w:tcPr>
            <w:tcW w:w="228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3100</w:t>
            </w:r>
          </w:p>
        </w:tc>
      </w:tr>
      <w:tr>
        <w:trPr/>
        <w:tc>
          <w:tcPr>
            <w:tcW w:w="112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2021</w:t>
            </w:r>
          </w:p>
        </w:tc>
        <w:tc>
          <w:tcPr>
            <w:tcW w:w="2011"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220</w:t>
            </w:r>
          </w:p>
        </w:tc>
        <w:tc>
          <w:tcPr>
            <w:tcW w:w="133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550</w:t>
            </w:r>
          </w:p>
        </w:tc>
        <w:tc>
          <w:tcPr>
            <w:tcW w:w="2005"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440</w:t>
            </w:r>
          </w:p>
        </w:tc>
        <w:tc>
          <w:tcPr>
            <w:tcW w:w="228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3200</w:t>
            </w:r>
          </w:p>
        </w:tc>
      </w:tr>
      <w:tr>
        <w:trPr/>
        <w:tc>
          <w:tcPr>
            <w:tcW w:w="112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2022</w:t>
            </w:r>
          </w:p>
        </w:tc>
        <w:tc>
          <w:tcPr>
            <w:tcW w:w="2011"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230</w:t>
            </w:r>
          </w:p>
        </w:tc>
        <w:tc>
          <w:tcPr>
            <w:tcW w:w="133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580</w:t>
            </w:r>
          </w:p>
        </w:tc>
        <w:tc>
          <w:tcPr>
            <w:tcW w:w="2005"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460</w:t>
            </w:r>
          </w:p>
        </w:tc>
        <w:tc>
          <w:tcPr>
            <w:tcW w:w="228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3300</w:t>
            </w:r>
          </w:p>
        </w:tc>
      </w:tr>
      <w:tr>
        <w:trPr/>
        <w:tc>
          <w:tcPr>
            <w:tcW w:w="112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2023</w:t>
            </w:r>
          </w:p>
        </w:tc>
        <w:tc>
          <w:tcPr>
            <w:tcW w:w="2011"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240</w:t>
            </w:r>
          </w:p>
        </w:tc>
        <w:tc>
          <w:tcPr>
            <w:tcW w:w="133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600</w:t>
            </w:r>
          </w:p>
        </w:tc>
        <w:tc>
          <w:tcPr>
            <w:tcW w:w="2005"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480</w:t>
            </w:r>
          </w:p>
        </w:tc>
        <w:tc>
          <w:tcPr>
            <w:tcW w:w="228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3400</w:t>
            </w:r>
          </w:p>
        </w:tc>
      </w:tr>
      <w:tr>
        <w:trPr/>
        <w:tc>
          <w:tcPr>
            <w:tcW w:w="8756" w:type="dxa"/>
            <w:gridSpan w:val="5"/>
            <w:tcBorders/>
          </w:tcPr>
          <w:p>
            <w:pPr>
              <w:pStyle w:val="Normal"/>
              <w:widowControl/>
              <w:suppressAutoHyphens w:val="true"/>
              <w:spacing w:lineRule="auto" w:line="240" w:before="0" w:after="0"/>
              <w:jc w:val="both"/>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 xml:space="preserve">Ескерту - мәліметтер </w:t>
            </w:r>
            <w:r>
              <w:rPr>
                <w:rFonts w:eastAsia="Calibri" w:cs="Times New Roman" w:ascii="Times New Roman" w:hAnsi="Times New Roman"/>
                <w:kern w:val="0"/>
                <w:sz w:val="22"/>
                <w:szCs w:val="22"/>
                <w:lang w:val="kk-KZ" w:eastAsia="ru-RU" w:bidi="ar-SA"/>
              </w:rPr>
              <w:t>«Қазақстан Темір Жолы» ұлттық компаниясының ішкі деректерінен алынды</w:t>
            </w:r>
          </w:p>
        </w:tc>
      </w:tr>
    </w:tbl>
    <w:p>
      <w:pPr>
        <w:pStyle w:val="Normal"/>
        <w:suppressAutoHyphens w:val="true"/>
        <w:spacing w:lineRule="auto" w:line="276" w:before="0" w:after="0"/>
        <w:jc w:val="both"/>
        <w:rPr>
          <w:rFonts w:ascii="Times New Roman" w:hAnsi="Times New Roman" w:eastAsia="Calibri" w:cs="Times New Roman"/>
          <w:lang w:val="kk-KZ" w:eastAsia="ru-RU"/>
        </w:rPr>
      </w:pPr>
      <w:r>
        <w:rPr>
          <w:rFonts w:eastAsia="Calibri" w:cs="Times New Roman" w:ascii="Times New Roman" w:hAnsi="Times New Roman"/>
          <w:lang w:val="kk-KZ" w:eastAsia="ru-RU"/>
        </w:rPr>
      </w:r>
    </w:p>
    <w:p>
      <w:pPr>
        <w:pStyle w:val="Normal"/>
        <w:keepNext w:val="true"/>
        <w:keepLines/>
        <w:numPr>
          <w:ilvl w:val="0"/>
          <w:numId w:val="0"/>
        </w:numPr>
        <w:suppressAutoHyphens w:val="true"/>
        <w:spacing w:lineRule="auto" w:line="276" w:before="0" w:after="0"/>
        <w:ind w:firstLine="567"/>
        <w:outlineLvl w:val="2"/>
        <w:rPr>
          <w:rFonts w:ascii="Times New Roman" w:hAnsi="Times New Roman" w:eastAsia="Calibri" w:cs="Times New Roman"/>
          <w:bCs/>
          <w:sz w:val="24"/>
          <w:szCs w:val="24"/>
          <w:lang w:val="kk-KZ" w:eastAsia="ru-RU"/>
        </w:rPr>
      </w:pPr>
      <w:r>
        <w:rPr>
          <w:rFonts w:eastAsia="Calibri" w:cs="Times New Roman" w:ascii="Times New Roman" w:hAnsi="Times New Roman"/>
          <w:bCs/>
          <w:sz w:val="24"/>
          <w:szCs w:val="24"/>
          <w:lang w:val="kk-KZ" w:eastAsia="ru-RU"/>
        </w:rPr>
        <w:t>Талдауға қажетті ортақ параметрлер: дисконт мөлшерлемесі (r) = 10%; капиталдың орташа өлшенген құны (WACC) = 10%; меншікті капиталдың құны (re) = 10%. Талдау нәтидесі келесі 3-кестеде көрсетілген:</w:t>
      </w:r>
    </w:p>
    <w:p>
      <w:pPr>
        <w:pStyle w:val="Normal"/>
        <w:keepNext w:val="true"/>
        <w:keepLines/>
        <w:numPr>
          <w:ilvl w:val="0"/>
          <w:numId w:val="0"/>
        </w:numPr>
        <w:suppressAutoHyphens w:val="true"/>
        <w:spacing w:lineRule="auto" w:line="276" w:before="0" w:after="0"/>
        <w:ind w:firstLine="567"/>
        <w:outlineLvl w:val="2"/>
        <w:rPr>
          <w:rFonts w:ascii="Times New Roman" w:hAnsi="Times New Roman" w:eastAsia="Calibri" w:cs="Times New Roman"/>
          <w:bCs/>
          <w:lang w:val="kk-KZ" w:eastAsia="ru-RU"/>
        </w:rPr>
      </w:pPr>
      <w:r>
        <w:rPr>
          <w:rFonts w:eastAsia="Calibri" w:cs="Times New Roman" w:ascii="Times New Roman" w:hAnsi="Times New Roman"/>
          <w:bCs/>
          <w:lang w:val="kk-KZ" w:eastAsia="ru-RU"/>
        </w:rPr>
      </w:r>
    </w:p>
    <w:p>
      <w:pPr>
        <w:pStyle w:val="Normal"/>
        <w:suppressAutoHyphens w:val="true"/>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 xml:space="preserve">3-кесте.  DDM, DCF, RIM моделдері бойынша гудвиллді бағалау </w:t>
      </w:r>
    </w:p>
    <w:p>
      <w:pPr>
        <w:pStyle w:val="Normal"/>
        <w:suppressAutoHyphens w:val="true"/>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bl>
      <w:tblPr>
        <w:tblStyle w:val="34"/>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43"/>
        <w:gridCol w:w="2537"/>
        <w:gridCol w:w="2194"/>
        <w:gridCol w:w="3470"/>
      </w:tblGrid>
      <w:tr>
        <w:trPr/>
        <w:tc>
          <w:tcPr>
            <w:tcW w:w="1143" w:type="dxa"/>
            <w:vMerge w:val="restart"/>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Жыл</w:t>
            </w:r>
          </w:p>
        </w:tc>
        <w:tc>
          <w:tcPr>
            <w:tcW w:w="8201" w:type="dxa"/>
            <w:gridSpan w:val="3"/>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t>Моделдер</w:t>
            </w:r>
          </w:p>
        </w:tc>
      </w:tr>
      <w:tr>
        <w:trPr/>
        <w:tc>
          <w:tcPr>
            <w:tcW w:w="1143" w:type="dxa"/>
            <w:vMerge w:val="continue"/>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kern w:val="0"/>
                <w:sz w:val="22"/>
                <w:szCs w:val="22"/>
                <w:lang w:val="kk-KZ" w:eastAsia="ru-RU" w:bidi="ar-SA"/>
              </w:rPr>
            </w:r>
          </w:p>
        </w:tc>
        <w:tc>
          <w:tcPr>
            <w:tcW w:w="2537" w:type="dxa"/>
            <w:tcBorders/>
          </w:tcPr>
          <w:p>
            <w:pPr>
              <w:pStyle w:val="Normal"/>
              <w:widowControl/>
              <w:suppressAutoHyphens w:val="true"/>
              <w:spacing w:lineRule="auto" w:line="240" w:before="0" w:after="0"/>
              <w:jc w:val="center"/>
              <w:rPr>
                <w:rFonts w:ascii="Times New Roman" w:hAnsi="Times New Roman" w:cs="Times New Roman"/>
                <w:b/>
              </w:rPr>
            </w:pPr>
            <w:r>
              <w:rPr>
                <w:rFonts w:eastAsia="Calibri" w:cs="Times New Roman" w:ascii="Times New Roman" w:hAnsi="Times New Roman"/>
                <w:b/>
                <w:kern w:val="0"/>
                <w:sz w:val="22"/>
                <w:szCs w:val="22"/>
                <w:lang w:val="kk-KZ" w:eastAsia="ru-RU" w:bidi="ar-SA"/>
              </w:rPr>
              <w:t>DDM</w:t>
            </w:r>
          </w:p>
        </w:tc>
        <w:tc>
          <w:tcPr>
            <w:tcW w:w="2194" w:type="dxa"/>
            <w:tcBorders/>
          </w:tcPr>
          <w:p>
            <w:pPr>
              <w:pStyle w:val="Normal"/>
              <w:widowControl/>
              <w:suppressAutoHyphens w:val="true"/>
              <w:spacing w:lineRule="auto" w:line="240" w:before="0" w:after="0"/>
              <w:jc w:val="center"/>
              <w:rPr>
                <w:rFonts w:ascii="Times New Roman" w:hAnsi="Times New Roman" w:cs="Times New Roman"/>
                <w:b/>
              </w:rPr>
            </w:pPr>
            <w:r>
              <w:rPr>
                <w:rFonts w:eastAsia="Calibri" w:cs="Times New Roman" w:ascii="Times New Roman" w:hAnsi="Times New Roman"/>
                <w:b/>
                <w:kern w:val="0"/>
                <w:sz w:val="22"/>
                <w:szCs w:val="22"/>
                <w:lang w:val="kk-KZ" w:eastAsia="ru-RU" w:bidi="ar-SA"/>
              </w:rPr>
              <w:t>DCF</w:t>
            </w:r>
          </w:p>
        </w:tc>
        <w:tc>
          <w:tcPr>
            <w:tcW w:w="3470" w:type="dxa"/>
            <w:tcBorders/>
          </w:tcPr>
          <w:p>
            <w:pPr>
              <w:pStyle w:val="Normal"/>
              <w:widowControl/>
              <w:suppressAutoHyphens w:val="true"/>
              <w:spacing w:lineRule="auto" w:line="240" w:before="0" w:after="0"/>
              <w:jc w:val="center"/>
              <w:rPr>
                <w:rFonts w:ascii="Times New Roman" w:hAnsi="Times New Roman" w:cs="Times New Roman"/>
                <w:b/>
              </w:rPr>
            </w:pPr>
            <w:r>
              <w:rPr>
                <w:rFonts w:eastAsia="Calibri" w:cs="Times New Roman" w:ascii="Times New Roman" w:hAnsi="Times New Roman"/>
                <w:b/>
                <w:kern w:val="0"/>
                <w:sz w:val="22"/>
                <w:szCs w:val="22"/>
                <w:lang w:val="kk-KZ" w:eastAsia="ru-RU" w:bidi="ar-SA"/>
              </w:rPr>
              <w:t>RIM</w:t>
            </w:r>
          </w:p>
        </w:tc>
      </w:tr>
      <w:tr>
        <w:trPr/>
        <w:tc>
          <w:tcPr>
            <w:tcW w:w="1143" w:type="dxa"/>
            <w:tcBorders/>
          </w:tcPr>
          <w:p>
            <w:pPr>
              <w:pStyle w:val="Normal"/>
              <w:widowControl/>
              <w:suppressAutoHyphens w:val="true"/>
              <w:spacing w:lineRule="auto" w:line="240" w:before="0" w:after="0"/>
              <w:jc w:val="both"/>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Формула</w:t>
            </w:r>
          </w:p>
        </w:tc>
        <w:tc>
          <w:tcPr>
            <w:tcW w:w="2537" w:type="dxa"/>
            <w:tcBorders/>
          </w:tcPr>
          <w:p>
            <w:pPr>
              <w:pStyle w:val="Normal"/>
              <w:widowControl/>
              <w:suppressAutoHyphens w:val="true"/>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kk-KZ" w:eastAsia="ru-RU" w:bidi="ar-SA"/>
              </w:rPr>
              <w:t>PV</w:t>
            </w:r>
            <w:r>
              <w:rPr>
                <w:rFonts w:eastAsia="Calibri" w:cs="Times New Roman" w:ascii="Times New Roman" w:hAnsi="Times New Roman"/>
                <w:kern w:val="0"/>
                <w:sz w:val="22"/>
                <w:szCs w:val="22"/>
                <w:vertAlign w:val="subscript"/>
                <w:lang w:val="kk-KZ" w:eastAsia="ru-RU" w:bidi="ar-SA"/>
              </w:rPr>
              <w:t>DDM</w:t>
            </w:r>
            <w:r>
              <w:rPr>
                <w:rFonts w:eastAsia="Calibri" w:cs="Times New Roman" w:ascii="Times New Roman" w:hAnsi="Times New Roman"/>
                <w:kern w:val="0"/>
                <w:sz w:val="22"/>
                <w:szCs w:val="22"/>
                <w:lang w:val="kk-KZ" w:eastAsia="ru-RU" w:bidi="ar-SA"/>
              </w:rPr>
              <w:t>​=∑ D</w:t>
            </w:r>
            <w:r>
              <w:rPr>
                <w:rFonts w:eastAsia="Calibri" w:cs="Times New Roman" w:ascii="Times New Roman" w:hAnsi="Times New Roman"/>
                <w:kern w:val="0"/>
                <w:sz w:val="22"/>
                <w:szCs w:val="22"/>
                <w:vertAlign w:val="subscript"/>
                <w:lang w:val="kk-KZ" w:eastAsia="ru-RU" w:bidi="ar-SA"/>
              </w:rPr>
              <w:t>t</w:t>
            </w:r>
            <w:r>
              <w:rPr>
                <w:rFonts w:eastAsia="Calibri" w:cs="Times New Roman" w:ascii="Times New Roman" w:hAnsi="Times New Roman"/>
                <w:kern w:val="0"/>
                <w:sz w:val="22"/>
                <w:szCs w:val="22"/>
                <w:lang w:val="kk-KZ" w:eastAsia="ru-RU" w:bidi="ar-SA"/>
              </w:rPr>
              <w:t>​​ /(1+r)</w:t>
            </w:r>
            <w:r>
              <w:rPr>
                <w:rFonts w:eastAsia="Calibri" w:cs="Times New Roman" w:ascii="Times New Roman" w:hAnsi="Times New Roman"/>
                <w:kern w:val="0"/>
                <w:sz w:val="22"/>
                <w:szCs w:val="22"/>
                <w:vertAlign w:val="superscript"/>
                <w:lang w:val="kk-KZ" w:eastAsia="ru-RU" w:bidi="ar-SA"/>
              </w:rPr>
              <w:t>t</w:t>
            </w:r>
          </w:p>
        </w:tc>
        <w:tc>
          <w:tcPr>
            <w:tcW w:w="2194" w:type="dxa"/>
            <w:tcBorders/>
          </w:tcPr>
          <w:p>
            <w:pPr>
              <w:pStyle w:val="Normal"/>
              <w:widowControl/>
              <w:suppressAutoHyphens w:val="true"/>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kk-KZ" w:eastAsia="ru-RU" w:bidi="ar-SA"/>
              </w:rPr>
              <w:t>PV</w:t>
            </w:r>
            <w:r>
              <w:rPr>
                <w:rFonts w:eastAsia="Calibri" w:cs="Times New Roman" w:ascii="Times New Roman" w:hAnsi="Times New Roman"/>
                <w:kern w:val="0"/>
                <w:sz w:val="22"/>
                <w:szCs w:val="22"/>
                <w:vertAlign w:val="subscript"/>
                <w:lang w:val="kk-KZ" w:eastAsia="ru-RU" w:bidi="ar-SA"/>
              </w:rPr>
              <w:t>DCF</w:t>
            </w:r>
            <w:r>
              <w:rPr>
                <w:rFonts w:eastAsia="Calibri" w:cs="Times New Roman" w:ascii="Times New Roman" w:hAnsi="Times New Roman"/>
                <w:kern w:val="0"/>
                <w:sz w:val="22"/>
                <w:szCs w:val="22"/>
                <w:lang w:val="kk-KZ" w:eastAsia="ru-RU" w:bidi="ar-SA"/>
              </w:rPr>
              <w:t>​=∑ FCF</w:t>
            </w:r>
            <w:r>
              <w:rPr>
                <w:rFonts w:eastAsia="Calibri" w:cs="Times New Roman" w:ascii="Times New Roman" w:hAnsi="Times New Roman"/>
                <w:kern w:val="0"/>
                <w:sz w:val="22"/>
                <w:szCs w:val="22"/>
                <w:vertAlign w:val="subscript"/>
                <w:lang w:val="kk-KZ" w:eastAsia="ru-RU" w:bidi="ar-SA"/>
              </w:rPr>
              <w:t>t</w:t>
            </w:r>
            <w:r>
              <w:rPr>
                <w:rFonts w:eastAsia="Calibri" w:cs="Times New Roman" w:ascii="Times New Roman" w:hAnsi="Times New Roman"/>
                <w:kern w:val="0"/>
                <w:sz w:val="22"/>
                <w:szCs w:val="22"/>
                <w:lang w:val="kk-KZ" w:eastAsia="ru-RU" w:bidi="ar-SA"/>
              </w:rPr>
              <w:t>​​ /(1+WACC)</w:t>
            </w:r>
            <w:r>
              <w:rPr>
                <w:rFonts w:eastAsia="Calibri" w:cs="Times New Roman" w:ascii="Times New Roman" w:hAnsi="Times New Roman"/>
                <w:kern w:val="0"/>
                <w:sz w:val="22"/>
                <w:szCs w:val="22"/>
                <w:vertAlign w:val="superscript"/>
                <w:lang w:val="kk-KZ" w:eastAsia="ru-RU" w:bidi="ar-SA"/>
              </w:rPr>
              <w:t>t</w:t>
            </w:r>
          </w:p>
        </w:tc>
        <w:tc>
          <w:tcPr>
            <w:tcW w:w="3470" w:type="dxa"/>
            <w:tcBorders/>
          </w:tcPr>
          <w:p>
            <w:pPr>
              <w:pStyle w:val="Normal"/>
              <w:widowControl/>
              <w:suppressAutoHyphens w:val="true"/>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kk-KZ" w:eastAsia="ru-RU" w:bidi="ar-SA"/>
              </w:rPr>
              <w:t>RI</w:t>
            </w:r>
            <w:r>
              <w:rPr>
                <w:rFonts w:eastAsia="Calibri" w:cs="Times New Roman" w:ascii="Times New Roman" w:hAnsi="Times New Roman"/>
                <w:kern w:val="0"/>
                <w:sz w:val="22"/>
                <w:szCs w:val="22"/>
                <w:vertAlign w:val="subscript"/>
                <w:lang w:val="kk-KZ" w:eastAsia="ru-RU" w:bidi="ar-SA"/>
              </w:rPr>
              <w:t>t</w:t>
            </w:r>
            <w:r>
              <w:rPr>
                <w:rFonts w:eastAsia="Calibri" w:cs="Times New Roman" w:ascii="Times New Roman" w:hAnsi="Times New Roman"/>
                <w:kern w:val="0"/>
                <w:sz w:val="22"/>
                <w:szCs w:val="22"/>
                <w:lang w:val="kk-KZ" w:eastAsia="ru-RU" w:bidi="ar-SA"/>
              </w:rPr>
              <w:t>​=Net Income−(re×BV)</w:t>
            </w:r>
          </w:p>
          <w:p>
            <w:pPr>
              <w:pStyle w:val="Normal"/>
              <w:widowControl/>
              <w:suppressAutoHyphens w:val="true"/>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kk-KZ" w:eastAsia="ru-RU" w:bidi="ar-SA"/>
              </w:rPr>
              <w:t>PV</w:t>
            </w:r>
            <w:r>
              <w:rPr>
                <w:rFonts w:eastAsia="Calibri" w:cs="Times New Roman" w:ascii="Times New Roman" w:hAnsi="Times New Roman"/>
                <w:kern w:val="0"/>
                <w:sz w:val="22"/>
                <w:szCs w:val="22"/>
                <w:vertAlign w:val="subscript"/>
                <w:lang w:val="kk-KZ" w:eastAsia="ru-RU" w:bidi="ar-SA"/>
              </w:rPr>
              <w:t>RIM</w:t>
            </w:r>
            <w:r>
              <w:rPr>
                <w:rFonts w:eastAsia="Calibri" w:cs="Times New Roman" w:ascii="Times New Roman" w:hAnsi="Times New Roman"/>
                <w:kern w:val="0"/>
                <w:sz w:val="22"/>
                <w:szCs w:val="22"/>
                <w:lang w:val="kk-KZ" w:eastAsia="ru-RU" w:bidi="ar-SA"/>
              </w:rPr>
              <w:t>​=∑RI</w:t>
            </w:r>
            <w:r>
              <w:rPr>
                <w:rFonts w:eastAsia="Calibri" w:cs="Times New Roman" w:ascii="Times New Roman" w:hAnsi="Times New Roman"/>
                <w:kern w:val="0"/>
                <w:sz w:val="22"/>
                <w:szCs w:val="22"/>
                <w:vertAlign w:val="subscript"/>
                <w:lang w:val="kk-KZ" w:eastAsia="ru-RU" w:bidi="ar-SA"/>
              </w:rPr>
              <w:t>t</w:t>
            </w:r>
            <w:r>
              <w:rPr>
                <w:rFonts w:eastAsia="Calibri" w:cs="Times New Roman" w:ascii="Times New Roman" w:hAnsi="Times New Roman"/>
                <w:kern w:val="0"/>
                <w:sz w:val="22"/>
                <w:szCs w:val="22"/>
                <w:lang w:val="kk-KZ" w:eastAsia="ru-RU" w:bidi="ar-SA"/>
              </w:rPr>
              <w:t xml:space="preserve"> (1+re)</w:t>
            </w:r>
            <w:r>
              <w:rPr>
                <w:rFonts w:eastAsia="Calibri" w:cs="Times New Roman" w:ascii="Times New Roman" w:hAnsi="Times New Roman"/>
                <w:kern w:val="0"/>
                <w:sz w:val="22"/>
                <w:szCs w:val="22"/>
                <w:vertAlign w:val="superscript"/>
                <w:lang w:val="kk-KZ" w:eastAsia="ru-RU" w:bidi="ar-SA"/>
              </w:rPr>
              <w:t>t​​</w:t>
            </w:r>
          </w:p>
        </w:tc>
      </w:tr>
      <w:tr>
        <w:trPr/>
        <w:tc>
          <w:tcPr>
            <w:tcW w:w="114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2019</w:t>
            </w:r>
          </w:p>
        </w:tc>
        <w:tc>
          <w:tcPr>
            <w:tcW w:w="2537" w:type="dxa"/>
            <w:tcBorders/>
          </w:tcPr>
          <w:p>
            <w:pPr>
              <w:pStyle w:val="Normal"/>
              <w:widowControl/>
              <w:suppressAutoHyphens w:val="true"/>
              <w:spacing w:lineRule="auto" w:line="240" w:before="0" w:after="0"/>
              <w:jc w:val="left"/>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200 / (1+0.10) = 181.82</w:t>
            </w:r>
          </w:p>
        </w:tc>
        <w:tc>
          <w:tcPr>
            <w:tcW w:w="2194"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500 / 1.10 = 454.55</w:t>
            </w:r>
          </w:p>
        </w:tc>
        <w:tc>
          <w:tcPr>
            <w:tcW w:w="347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RI = 400 – (0.10 × 3000) = 100</w:t>
            </w:r>
          </w:p>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PV = 100 / 1.10 = 90.9</w:t>
            </w:r>
          </w:p>
        </w:tc>
      </w:tr>
      <w:tr>
        <w:trPr/>
        <w:tc>
          <w:tcPr>
            <w:tcW w:w="114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2020</w:t>
            </w:r>
          </w:p>
        </w:tc>
        <w:tc>
          <w:tcPr>
            <w:tcW w:w="253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210 / (1+0.10)</w:t>
            </w:r>
            <w:r>
              <w:rPr>
                <w:rFonts w:eastAsia="Calibri" w:cs="Times New Roman" w:ascii="Times New Roman" w:hAnsi="Times New Roman"/>
                <w:kern w:val="0"/>
                <w:sz w:val="22"/>
                <w:szCs w:val="22"/>
                <w:vertAlign w:val="superscript"/>
                <w:lang w:val="kk-KZ" w:eastAsia="ru-RU" w:bidi="ar-SA"/>
              </w:rPr>
              <w:t>2</w:t>
            </w:r>
            <w:r>
              <w:rPr>
                <w:rFonts w:eastAsia="Calibri" w:cs="Times New Roman" w:ascii="Times New Roman" w:hAnsi="Times New Roman"/>
                <w:kern w:val="0"/>
                <w:sz w:val="22"/>
                <w:szCs w:val="22"/>
                <w:lang w:val="kk-KZ" w:eastAsia="ru-RU" w:bidi="ar-SA"/>
              </w:rPr>
              <w:t xml:space="preserve"> = 173.55</w:t>
            </w:r>
          </w:p>
        </w:tc>
        <w:tc>
          <w:tcPr>
            <w:tcW w:w="2194"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520 / (1.10)</w:t>
            </w:r>
            <w:r>
              <w:rPr>
                <w:rFonts w:eastAsia="Calibri" w:cs="Times New Roman" w:ascii="Times New Roman" w:hAnsi="Times New Roman"/>
                <w:kern w:val="0"/>
                <w:sz w:val="22"/>
                <w:szCs w:val="22"/>
                <w:vertAlign w:val="superscript"/>
                <w:lang w:val="kk-KZ" w:eastAsia="ru-RU" w:bidi="ar-SA"/>
              </w:rPr>
              <w:t>2</w:t>
            </w:r>
            <w:r>
              <w:rPr>
                <w:rFonts w:eastAsia="Calibri" w:cs="Times New Roman" w:ascii="Times New Roman" w:hAnsi="Times New Roman"/>
                <w:kern w:val="0"/>
                <w:sz w:val="22"/>
                <w:szCs w:val="22"/>
                <w:lang w:val="kk-KZ" w:eastAsia="ru-RU" w:bidi="ar-SA"/>
              </w:rPr>
              <w:t xml:space="preserve"> = 430.58</w:t>
            </w:r>
          </w:p>
        </w:tc>
        <w:tc>
          <w:tcPr>
            <w:tcW w:w="3470" w:type="dxa"/>
            <w:tcBorders/>
          </w:tcPr>
          <w:p>
            <w:pPr>
              <w:pStyle w:val="Normal"/>
              <w:widowControl/>
              <w:suppressAutoHyphens w:val="true"/>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kk-KZ" w:eastAsia="ru-RU" w:bidi="ar-SA"/>
              </w:rPr>
              <w:t>RI=420−(0.10×3100)=420−310=110</w:t>
            </w:r>
          </w:p>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PV=110/(1.10)</w:t>
            </w:r>
            <w:r>
              <w:rPr>
                <w:rFonts w:eastAsia="Calibri" w:cs="Times New Roman" w:ascii="Times New Roman" w:hAnsi="Times New Roman"/>
                <w:kern w:val="0"/>
                <w:sz w:val="22"/>
                <w:szCs w:val="22"/>
                <w:vertAlign w:val="superscript"/>
                <w:lang w:val="kk-KZ" w:eastAsia="ru-RU" w:bidi="ar-SA"/>
              </w:rPr>
              <w:t>2</w:t>
            </w:r>
            <w:r>
              <w:rPr>
                <w:rFonts w:eastAsia="Calibri" w:cs="Times New Roman" w:ascii="Times New Roman" w:hAnsi="Times New Roman"/>
                <w:kern w:val="0"/>
                <w:sz w:val="22"/>
                <w:szCs w:val="22"/>
                <w:lang w:val="kk-KZ" w:eastAsia="ru-RU" w:bidi="ar-SA"/>
              </w:rPr>
              <w:t>​=90.91</w:t>
            </w:r>
          </w:p>
        </w:tc>
      </w:tr>
      <w:tr>
        <w:trPr/>
        <w:tc>
          <w:tcPr>
            <w:tcW w:w="114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2021</w:t>
            </w:r>
          </w:p>
        </w:tc>
        <w:tc>
          <w:tcPr>
            <w:tcW w:w="253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220/(1.10)</w:t>
            </w:r>
            <w:r>
              <w:rPr>
                <w:rFonts w:eastAsia="Calibri" w:cs="Times New Roman" w:ascii="Times New Roman" w:hAnsi="Times New Roman"/>
                <w:kern w:val="0"/>
                <w:sz w:val="22"/>
                <w:szCs w:val="22"/>
                <w:vertAlign w:val="superscript"/>
                <w:lang w:val="kk-KZ" w:eastAsia="ru-RU" w:bidi="ar-SA"/>
              </w:rPr>
              <w:t>3</w:t>
            </w:r>
            <w:r>
              <w:rPr>
                <w:rFonts w:eastAsia="Calibri" w:cs="Times New Roman" w:ascii="Times New Roman" w:hAnsi="Times New Roman"/>
                <w:kern w:val="0"/>
                <w:sz w:val="22"/>
                <w:szCs w:val="22"/>
                <w:lang w:val="kk-KZ" w:eastAsia="ru-RU" w:bidi="ar-SA"/>
              </w:rPr>
              <w:t>=165.29</w:t>
            </w:r>
          </w:p>
        </w:tc>
        <w:tc>
          <w:tcPr>
            <w:tcW w:w="2194"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550/(1.10)</w:t>
            </w:r>
            <w:r>
              <w:rPr>
                <w:rFonts w:eastAsia="Calibri" w:cs="Times New Roman" w:ascii="Times New Roman" w:hAnsi="Times New Roman"/>
                <w:kern w:val="0"/>
                <w:sz w:val="22"/>
                <w:szCs w:val="22"/>
                <w:vertAlign w:val="superscript"/>
                <w:lang w:val="kk-KZ" w:eastAsia="ru-RU" w:bidi="ar-SA"/>
              </w:rPr>
              <w:t>3</w:t>
            </w:r>
            <w:r>
              <w:rPr>
                <w:rFonts w:eastAsia="Calibri" w:cs="Times New Roman" w:ascii="Times New Roman" w:hAnsi="Times New Roman"/>
                <w:kern w:val="0"/>
                <w:sz w:val="22"/>
                <w:szCs w:val="22"/>
                <w:lang w:val="kk-KZ" w:eastAsia="ru-RU" w:bidi="ar-SA"/>
              </w:rPr>
              <w:t>=412.16</w:t>
            </w:r>
          </w:p>
        </w:tc>
        <w:tc>
          <w:tcPr>
            <w:tcW w:w="347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RI = 440 – 0.10 × 3200 = 120</w:t>
              <w:br/>
              <w:t>PV = 120/(1.10)</w:t>
            </w:r>
            <w:r>
              <w:rPr>
                <w:rFonts w:eastAsia="Calibri" w:cs="Times New Roman" w:ascii="Times New Roman" w:hAnsi="Times New Roman"/>
                <w:kern w:val="0"/>
                <w:sz w:val="22"/>
                <w:szCs w:val="22"/>
                <w:vertAlign w:val="superscript"/>
                <w:lang w:val="kk-KZ" w:eastAsia="ru-RU" w:bidi="ar-SA"/>
              </w:rPr>
              <w:t>3</w:t>
            </w:r>
            <w:r>
              <w:rPr>
                <w:rFonts w:eastAsia="Calibri" w:cs="Times New Roman" w:ascii="Times New Roman" w:hAnsi="Times New Roman"/>
                <w:kern w:val="0"/>
                <w:sz w:val="22"/>
                <w:szCs w:val="22"/>
                <w:lang w:val="kk-KZ" w:eastAsia="ru-RU" w:bidi="ar-SA"/>
              </w:rPr>
              <w:t>=90.11</w:t>
            </w:r>
          </w:p>
        </w:tc>
      </w:tr>
      <w:tr>
        <w:trPr/>
        <w:tc>
          <w:tcPr>
            <w:tcW w:w="114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2022</w:t>
            </w:r>
          </w:p>
        </w:tc>
        <w:tc>
          <w:tcPr>
            <w:tcW w:w="253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230/(1.10)</w:t>
            </w:r>
            <w:r>
              <w:rPr>
                <w:rFonts w:eastAsia="Calibri" w:cs="Times New Roman" w:ascii="Times New Roman" w:hAnsi="Times New Roman"/>
                <w:kern w:val="0"/>
                <w:sz w:val="22"/>
                <w:szCs w:val="22"/>
                <w:vertAlign w:val="superscript"/>
                <w:lang w:val="kk-KZ" w:eastAsia="ru-RU" w:bidi="ar-SA"/>
              </w:rPr>
              <w:t>4</w:t>
            </w:r>
            <w:r>
              <w:rPr>
                <w:rFonts w:eastAsia="Calibri" w:cs="Times New Roman" w:ascii="Times New Roman" w:hAnsi="Times New Roman"/>
                <w:kern w:val="0"/>
                <w:sz w:val="22"/>
                <w:szCs w:val="22"/>
                <w:lang w:val="kk-KZ" w:eastAsia="ru-RU" w:bidi="ar-SA"/>
              </w:rPr>
              <w:t>=157.18</w:t>
            </w:r>
          </w:p>
        </w:tc>
        <w:tc>
          <w:tcPr>
            <w:tcW w:w="2194"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580/(1.10)</w:t>
            </w:r>
            <w:r>
              <w:rPr>
                <w:rFonts w:eastAsia="Calibri" w:cs="Times New Roman" w:ascii="Times New Roman" w:hAnsi="Times New Roman"/>
                <w:kern w:val="0"/>
                <w:sz w:val="22"/>
                <w:szCs w:val="22"/>
                <w:vertAlign w:val="superscript"/>
                <w:lang w:val="kk-KZ" w:eastAsia="ru-RU" w:bidi="ar-SA"/>
              </w:rPr>
              <w:t>4</w:t>
            </w:r>
            <w:r>
              <w:rPr>
                <w:rFonts w:eastAsia="Calibri" w:cs="Times New Roman" w:ascii="Times New Roman" w:hAnsi="Times New Roman"/>
                <w:kern w:val="0"/>
                <w:sz w:val="22"/>
                <w:szCs w:val="22"/>
                <w:lang w:val="kk-KZ" w:eastAsia="ru-RU" w:bidi="ar-SA"/>
              </w:rPr>
              <w:t>=396.02</w:t>
            </w:r>
          </w:p>
        </w:tc>
        <w:tc>
          <w:tcPr>
            <w:tcW w:w="347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RI = 460 – 0.10 × 3300 = 130</w:t>
              <w:br/>
              <w:t>PV = 130/(1.10)</w:t>
            </w:r>
            <w:r>
              <w:rPr>
                <w:rFonts w:eastAsia="Calibri" w:cs="Times New Roman" w:ascii="Times New Roman" w:hAnsi="Times New Roman"/>
                <w:kern w:val="0"/>
                <w:sz w:val="22"/>
                <w:szCs w:val="22"/>
                <w:vertAlign w:val="superscript"/>
                <w:lang w:val="kk-KZ" w:eastAsia="ru-RU" w:bidi="ar-SA"/>
              </w:rPr>
              <w:t>4</w:t>
            </w:r>
            <w:r>
              <w:rPr>
                <w:rFonts w:eastAsia="Calibri" w:cs="Times New Roman" w:ascii="Times New Roman" w:hAnsi="Times New Roman"/>
                <w:kern w:val="0"/>
                <w:sz w:val="22"/>
                <w:szCs w:val="22"/>
                <w:lang w:val="kk-KZ" w:eastAsia="ru-RU" w:bidi="ar-SA"/>
              </w:rPr>
              <w:t>=88.69</w:t>
            </w:r>
          </w:p>
        </w:tc>
      </w:tr>
      <w:tr>
        <w:trPr/>
        <w:tc>
          <w:tcPr>
            <w:tcW w:w="1143"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2023</w:t>
            </w:r>
          </w:p>
        </w:tc>
        <w:tc>
          <w:tcPr>
            <w:tcW w:w="253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240/(1.10)</w:t>
            </w:r>
            <w:r>
              <w:rPr>
                <w:rFonts w:eastAsia="Calibri" w:cs="Times New Roman" w:ascii="Times New Roman" w:hAnsi="Times New Roman"/>
                <w:kern w:val="0"/>
                <w:sz w:val="22"/>
                <w:szCs w:val="22"/>
                <w:vertAlign w:val="superscript"/>
                <w:lang w:val="kk-KZ" w:eastAsia="ru-RU" w:bidi="ar-SA"/>
              </w:rPr>
              <w:t>5</w:t>
            </w:r>
            <w:r>
              <w:rPr>
                <w:rFonts w:eastAsia="Calibri" w:cs="Times New Roman" w:ascii="Times New Roman" w:hAnsi="Times New Roman"/>
                <w:kern w:val="0"/>
                <w:sz w:val="22"/>
                <w:szCs w:val="22"/>
                <w:lang w:val="kk-KZ" w:eastAsia="ru-RU" w:bidi="ar-SA"/>
              </w:rPr>
              <w:t>=149.01</w:t>
            </w:r>
          </w:p>
        </w:tc>
        <w:tc>
          <w:tcPr>
            <w:tcW w:w="2194"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600/(1.10)</w:t>
            </w:r>
            <w:r>
              <w:rPr>
                <w:rFonts w:eastAsia="Calibri" w:cs="Times New Roman" w:ascii="Times New Roman" w:hAnsi="Times New Roman"/>
                <w:kern w:val="0"/>
                <w:sz w:val="22"/>
                <w:szCs w:val="22"/>
                <w:vertAlign w:val="superscript"/>
                <w:lang w:val="kk-KZ" w:eastAsia="ru-RU" w:bidi="ar-SA"/>
              </w:rPr>
              <w:t>5</w:t>
            </w:r>
            <w:r>
              <w:rPr>
                <w:rFonts w:eastAsia="Calibri" w:cs="Times New Roman" w:ascii="Times New Roman" w:hAnsi="Times New Roman"/>
                <w:kern w:val="0"/>
                <w:sz w:val="22"/>
                <w:szCs w:val="22"/>
                <w:lang w:val="kk-KZ" w:eastAsia="ru-RU" w:bidi="ar-SA"/>
              </w:rPr>
              <w:t>=384.87</w:t>
            </w:r>
          </w:p>
        </w:tc>
        <w:tc>
          <w:tcPr>
            <w:tcW w:w="347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RI = 480 – 0.10 × 3400 = 140</w:t>
              <w:br/>
              <w:t>PV = 140/(1.10)</w:t>
            </w:r>
            <w:r>
              <w:rPr>
                <w:rFonts w:eastAsia="Calibri" w:cs="Times New Roman" w:ascii="Times New Roman" w:hAnsi="Times New Roman"/>
                <w:kern w:val="0"/>
                <w:sz w:val="22"/>
                <w:szCs w:val="22"/>
                <w:vertAlign w:val="superscript"/>
                <w:lang w:val="kk-KZ" w:eastAsia="ru-RU" w:bidi="ar-SA"/>
              </w:rPr>
              <w:t>5</w:t>
            </w:r>
            <w:r>
              <w:rPr>
                <w:rFonts w:eastAsia="Calibri" w:cs="Times New Roman" w:ascii="Times New Roman" w:hAnsi="Times New Roman"/>
                <w:kern w:val="0"/>
                <w:sz w:val="22"/>
                <w:szCs w:val="22"/>
                <w:lang w:val="kk-KZ" w:eastAsia="ru-RU" w:bidi="ar-SA"/>
              </w:rPr>
              <w:t>=86.87</w:t>
            </w:r>
          </w:p>
        </w:tc>
      </w:tr>
      <w:tr>
        <w:trPr/>
        <w:tc>
          <w:tcPr>
            <w:tcW w:w="1143" w:type="dxa"/>
            <w:tcBorders/>
          </w:tcPr>
          <w:p>
            <w:pPr>
              <w:pStyle w:val="Normal"/>
              <w:widowControl/>
              <w:suppressAutoHyphens w:val="true"/>
              <w:spacing w:lineRule="auto" w:line="240" w:before="0" w:after="0"/>
              <w:jc w:val="both"/>
              <w:rPr>
                <w:rFonts w:ascii="Times New Roman" w:hAnsi="Times New Roman" w:eastAsia="Times New Roman" w:cs="Times New Roman"/>
              </w:rPr>
            </w:pPr>
            <w:r>
              <w:rPr>
                <w:rFonts w:eastAsia="Times New Roman" w:cs="Times New Roman" w:ascii="Times New Roman" w:hAnsi="Times New Roman"/>
                <w:kern w:val="0"/>
                <w:sz w:val="22"/>
                <w:szCs w:val="22"/>
                <w:lang w:val="kk-KZ" w:eastAsia="ru-RU" w:bidi="ar-SA"/>
              </w:rPr>
              <w:t>Барлығы</w:t>
            </w:r>
          </w:p>
        </w:tc>
        <w:tc>
          <w:tcPr>
            <w:tcW w:w="2537"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902.5</w:t>
            </w:r>
          </w:p>
        </w:tc>
        <w:tc>
          <w:tcPr>
            <w:tcW w:w="2194"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2278.4</w:t>
            </w:r>
          </w:p>
        </w:tc>
        <w:tc>
          <w:tcPr>
            <w:tcW w:w="3470" w:type="dxa"/>
            <w:tcBorders/>
          </w:tcPr>
          <w:p>
            <w:pPr>
              <w:pStyle w:val="Normal"/>
              <w:widowControl/>
              <w:suppressAutoHyphens w:val="true"/>
              <w:spacing w:lineRule="auto" w:line="240" w:before="0" w:after="0"/>
              <w:jc w:val="center"/>
              <w:rPr>
                <w:rFonts w:ascii="Times New Roman" w:hAnsi="Times New Roman" w:eastAsia="Times New Roman" w:cs="Times New Roman"/>
              </w:rPr>
            </w:pPr>
            <w:r>
              <w:rPr>
                <w:rFonts w:eastAsia="Calibri" w:cs="Times New Roman" w:ascii="Times New Roman" w:hAnsi="Times New Roman"/>
                <w:kern w:val="0"/>
                <w:sz w:val="22"/>
                <w:szCs w:val="22"/>
                <w:lang w:val="kk-KZ" w:eastAsia="ru-RU" w:bidi="ar-SA"/>
              </w:rPr>
              <w:t>490.0</w:t>
            </w:r>
            <w:bookmarkStart w:id="5" w:name="_Hlk205387158"/>
            <w:bookmarkEnd w:id="5"/>
          </w:p>
        </w:tc>
      </w:tr>
      <w:tr>
        <w:trPr/>
        <w:tc>
          <w:tcPr>
            <w:tcW w:w="9344" w:type="dxa"/>
            <w:gridSpan w:val="4"/>
            <w:tcBorders/>
          </w:tcPr>
          <w:p>
            <w:pPr>
              <w:pStyle w:val="Normal"/>
              <w:widowControl/>
              <w:suppressAutoHyphens w:val="true"/>
              <w:spacing w:lineRule="auto" w:line="240" w:before="0" w:after="0"/>
              <w:jc w:val="both"/>
              <w:rPr>
                <w:rFonts w:ascii="Times New Roman" w:hAnsi="Times New Roman" w:cs="Times New Roman"/>
              </w:rPr>
            </w:pPr>
            <w:r>
              <w:rPr>
                <w:rFonts w:eastAsia="Calibri" w:cs="Times New Roman" w:ascii="Times New Roman" w:hAnsi="Times New Roman"/>
                <w:kern w:val="0"/>
                <w:sz w:val="22"/>
                <w:szCs w:val="22"/>
                <w:lang w:val="kk-KZ" w:eastAsia="ru-RU" w:bidi="ar-SA"/>
              </w:rPr>
              <w:t>Ескерту - кесте авторлармен есептеліп құрастырылған.</w:t>
            </w:r>
          </w:p>
        </w:tc>
      </w:tr>
    </w:tbl>
    <w:p>
      <w:pPr>
        <w:pStyle w:val="Normal"/>
        <w:suppressAutoHyphens w:val="true"/>
        <w:spacing w:lineRule="auto" w:line="240" w:before="0" w:after="0"/>
        <w:jc w:val="both"/>
        <w:rPr>
          <w:rFonts w:ascii="Times New Roman" w:hAnsi="Times New Roman" w:eastAsia="Times New Roman" w:cs="Times New Roman"/>
          <w:sz w:val="24"/>
          <w:szCs w:val="24"/>
          <w:highlight w:val="yellow"/>
          <w:lang w:eastAsia="ru-RU"/>
        </w:rPr>
      </w:pPr>
      <w:r>
        <w:rPr>
          <w:rFonts w:eastAsia="Times New Roman" w:cs="Times New Roman" w:ascii="Times New Roman" w:hAnsi="Times New Roman"/>
          <w:sz w:val="24"/>
          <w:szCs w:val="24"/>
          <w:highlight w:val="yellow"/>
          <w:lang w:eastAsia="ru-RU"/>
        </w:rPr>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3-кестеге сәйкес талдау нәтижесі бойынша DCF моделі ең жоғары бағалауды көрсетеді, себебі ол бүкіл ақша ағынын есепке алады. DDM - дивидендке тәуелді модель, сондықтан тек тұрақты дивиденд төлейтін ұйымдарда нәтижелі. RIM таза табыс пен капитал құнын өлшейді, нақты есептерге негізделген.</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 xml:space="preserve">Қорытынды. </w:t>
      </w:r>
      <w:r>
        <w:rPr>
          <w:rFonts w:eastAsia="Times New Roman" w:cs="Times New Roman" w:ascii="Times New Roman" w:hAnsi="Times New Roman"/>
          <w:sz w:val="24"/>
          <w:szCs w:val="24"/>
          <w:lang w:val="kk-KZ" w:eastAsia="ru-RU"/>
        </w:rPr>
        <w:t xml:space="preserve">Гудвиллдің төмендеуін өлшеуде көптеген мәселелер бар. Герц және т.б. пікірінше пайдаланудың дұрыс үлгісі, болашақ ақша ағындарының болжамы және сатып алу гудвиллін сатып алудан кейінгі кезеңде кәсіпорынның жалпы гудвиллінен ажырата алмау үлкен мәселе болып табылады. Сатып алудан кейінгі кезеңде сатып алу гудвиллін кәсіпорынның жалпы гудвиллінен ажырата алмау гудвиллге құнсыздануды сынау тәсілін қабылдауға ең үлкен кедергі болып табылады. RIМ және DCF модельдерінің тән теориялық эквиваленттілігіне және олардың ұйым деңгейіндегі проформалық қаржылық есептілікке деген жалпы қажеттілігіне сүйене отырып, олар ғалымдардың да, практиктердің де RIM және DCF модельдері ішкі дәйекті дисконттау мөлшерлемелерін, өсу қарқынын және тұрақты күйлерді пайдаланған кезде, барлық субъектілер пайда болады деген сенімін қайталайды. </w:t>
      </w:r>
      <w:r>
        <w:rPr>
          <w:rFonts w:eastAsia="Calibri" w:cs="Times New Roman" w:ascii="Times New Roman" w:hAnsi="Times New Roman"/>
          <w:sz w:val="24"/>
          <w:szCs w:val="24"/>
          <w:lang w:val="kk-KZ" w:eastAsia="ru-RU"/>
        </w:rPr>
        <w:t>Бұл мәселелердің шешімі ретінде гудвиллді өлшеуде RIM және DCF модельдерінің теориялық теңдігін және оларды дұрыс қолданудың маңыздылығын алға тартады. Сонымен бірге болашақ ақша ағындарын болжау мен дисконттау мөлшерлемесін дәл есептеудің өзектілігіне назар аударады.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Зерттеуде гудвиллдің экономикалық мәні мен мазмұны, оны бағалау мен есепке алу мәселелері теориялық және практикалық тұрғыда жан-жақты талданған. Ұсынылған ғылыми негіздер халықаралық және отандық қаржылық есептілік стандарттары аясында өзектілігін дәлелдеді.</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 - компанияның нарықтағы орны, беделі, зияткерлік капиталы, клиенттік базасы секілді материалдық емес артықшылықтарының жиынтығын білдіретін, бірақ қаржылық есепте көрінуі күрделі актив. Бұл активтің құнын дұрыс бағалау компанияның нақты нарықтық құнын айқындауда, инвестициялық шешімдердің негізділігін арттыруда ерекше маңызға ие.</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 барысында гудвиллді бағалаудың үш негізгі моделі – DDM (дивидендтік дисконттау моделі), DCF (дисконтталған ақша ағыны моделі) және RIM (қалдық табыс моделі) салыстырмалы талдау арқылы сипатталған. Әрбір модельдің теориялық негізі, артықшылықтары мен шектеулері SWOT-талдау арқылы жүйеленіп, қолдану жағдайларына қарай практикалық ұсынымдар берілді.</w:t>
      </w:r>
    </w:p>
    <w:p>
      <w:pPr>
        <w:pStyle w:val="Normal"/>
        <w:keepNext w:val="true"/>
        <w:keepLines/>
        <w:numPr>
          <w:ilvl w:val="0"/>
          <w:numId w:val="0"/>
        </w:numPr>
        <w:suppressAutoHyphens w:val="true"/>
        <w:spacing w:lineRule="auto" w:line="276" w:before="0" w:after="0"/>
        <w:ind w:firstLine="567"/>
        <w:jc w:val="both"/>
        <w:outlineLvl w:val="2"/>
        <w:rPr>
          <w:rFonts w:ascii="Times New Roman" w:hAnsi="Times New Roman" w:eastAsia="Calibri" w:cs="Times New Roman"/>
          <w:sz w:val="24"/>
          <w:szCs w:val="24"/>
          <w:lang w:val="kk-KZ" w:eastAsia="ru-RU"/>
        </w:rPr>
      </w:pPr>
      <w:r>
        <w:rPr>
          <w:rFonts w:eastAsia="Calibri" w:cs="Times New Roman" w:ascii="Times New Roman" w:hAnsi="Times New Roman"/>
          <w:sz w:val="24"/>
          <w:szCs w:val="24"/>
          <w:lang w:val="kk-KZ" w:eastAsia="ru-RU"/>
        </w:rPr>
        <w:t xml:space="preserve">Гипотетикалық есептік үлгілер арқылы алынған нәтижелер: жалпы ағымдағы құн DDM моделі бойынша </w:t>
      </w:r>
      <w:r>
        <w:rPr>
          <w:rFonts w:eastAsia="Calibri" w:cs="Times New Roman" w:ascii="Times New Roman" w:hAnsi="Times New Roman"/>
          <w:bCs/>
          <w:sz w:val="24"/>
          <w:szCs w:val="24"/>
          <w:lang w:val="kk-KZ" w:eastAsia="ru-RU"/>
        </w:rPr>
        <w:t>902.5</w:t>
      </w:r>
      <w:r>
        <w:rPr>
          <w:rFonts w:eastAsia="Calibri" w:cs="Times New Roman" w:ascii="Times New Roman" w:hAnsi="Times New Roman"/>
          <w:b/>
          <w:sz w:val="28"/>
          <w:szCs w:val="28"/>
          <w:lang w:val="kk-KZ" w:eastAsia="ru-RU"/>
        </w:rPr>
        <w:t xml:space="preserve"> </w:t>
      </w:r>
      <w:r>
        <w:rPr>
          <w:rFonts w:eastAsia="Calibri" w:cs="Times New Roman" w:ascii="Times New Roman" w:hAnsi="Times New Roman"/>
          <w:sz w:val="24"/>
          <w:szCs w:val="24"/>
          <w:lang w:val="kk-KZ" w:eastAsia="ru-RU"/>
        </w:rPr>
        <w:t xml:space="preserve">млн тг, DCF моделі бойынша </w:t>
      </w:r>
      <w:r>
        <w:rPr>
          <w:rFonts w:eastAsia="Calibri" w:cs="Times New Roman" w:ascii="Times New Roman" w:hAnsi="Times New Roman"/>
          <w:bCs/>
          <w:sz w:val="24"/>
          <w:szCs w:val="24"/>
          <w:lang w:val="kk-KZ" w:eastAsia="ru-RU"/>
        </w:rPr>
        <w:t>2278.4</w:t>
      </w:r>
      <w:r>
        <w:rPr>
          <w:rFonts w:eastAsia="Calibri" w:cs="Times New Roman" w:ascii="Times New Roman" w:hAnsi="Times New Roman"/>
          <w:b/>
          <w:sz w:val="28"/>
          <w:szCs w:val="28"/>
          <w:lang w:val="kk-KZ" w:eastAsia="ru-RU"/>
        </w:rPr>
        <w:t xml:space="preserve"> </w:t>
      </w:r>
      <w:r>
        <w:rPr>
          <w:rFonts w:eastAsia="Calibri" w:cs="Times New Roman" w:ascii="Times New Roman" w:hAnsi="Times New Roman"/>
          <w:sz w:val="24"/>
          <w:szCs w:val="24"/>
          <w:lang w:val="kk-KZ" w:eastAsia="ru-RU"/>
        </w:rPr>
        <w:t xml:space="preserve">млн тг, RIM моделі бойынша </w:t>
      </w:r>
      <w:r>
        <w:rPr>
          <w:rFonts w:eastAsia="Calibri" w:cs="Times New Roman" w:ascii="Times New Roman" w:hAnsi="Times New Roman"/>
          <w:bCs/>
          <w:sz w:val="24"/>
          <w:szCs w:val="24"/>
          <w:lang w:val="kk-KZ" w:eastAsia="ru-RU"/>
        </w:rPr>
        <w:t>490.0</w:t>
      </w:r>
      <w:r>
        <w:rPr>
          <w:rFonts w:eastAsia="Calibri" w:cs="Times New Roman" w:ascii="Times New Roman" w:hAnsi="Times New Roman"/>
          <w:b/>
          <w:sz w:val="28"/>
          <w:szCs w:val="28"/>
          <w:lang w:val="kk-KZ" w:eastAsia="ru-RU"/>
        </w:rPr>
        <w:t xml:space="preserve"> </w:t>
      </w:r>
      <w:r>
        <w:rPr>
          <w:rFonts w:eastAsia="Calibri" w:cs="Times New Roman" w:ascii="Times New Roman" w:hAnsi="Times New Roman"/>
          <w:sz w:val="24"/>
          <w:szCs w:val="24"/>
          <w:lang w:val="kk-KZ" w:eastAsia="ru-RU"/>
        </w:rPr>
        <w:t>млн тг бағаланды.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Бұл деректер әр модельдің ерекшелігін нақты көрсетеді:</w:t>
      </w:r>
    </w:p>
    <w:p>
      <w:pPr>
        <w:pStyle w:val="Normal"/>
        <w:numPr>
          <w:ilvl w:val="0"/>
          <w:numId w:val="13"/>
        </w:numPr>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DCF моделі болашақ ақша ағындарын кешенді қамтып, жоғары құн көрсетеді;</w:t>
      </w:r>
    </w:p>
    <w:p>
      <w:pPr>
        <w:pStyle w:val="Normal"/>
        <w:numPr>
          <w:ilvl w:val="0"/>
          <w:numId w:val="13"/>
        </w:numPr>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DDM моделі тұрақты дивиденд төлейтін компаниялар үшін тиімді;</w:t>
      </w:r>
    </w:p>
    <w:p>
      <w:pPr>
        <w:pStyle w:val="Normal"/>
        <w:numPr>
          <w:ilvl w:val="0"/>
          <w:numId w:val="13"/>
        </w:numPr>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RIM моделі таза табыс пен баланстық құн арқылы нақтырақ нәтижелер береді, әсіресе қаржылық есептілігі жүйеленген компанияларға ұсынылады.</w:t>
      </w:r>
    </w:p>
    <w:p>
      <w:pPr>
        <w:pStyle w:val="Normal"/>
        <w:keepNext w:val="true"/>
        <w:keepLines/>
        <w:numPr>
          <w:ilvl w:val="0"/>
          <w:numId w:val="0"/>
        </w:numPr>
        <w:suppressAutoHyphens w:val="true"/>
        <w:spacing w:lineRule="auto" w:line="276" w:before="0" w:after="0"/>
        <w:ind w:firstLine="567"/>
        <w:jc w:val="both"/>
        <w:outlineLvl w:val="2"/>
        <w:rPr>
          <w:rFonts w:ascii="Times New Roman" w:hAnsi="Times New Roman" w:eastAsia="Calibri" w:cs="Times New Roman"/>
          <w:sz w:val="24"/>
          <w:szCs w:val="24"/>
          <w:lang w:val="kk-KZ" w:eastAsia="ru-RU"/>
        </w:rPr>
      </w:pPr>
      <w:r>
        <w:rPr>
          <w:rFonts w:eastAsia="Calibri" w:cs="Times New Roman" w:ascii="Times New Roman" w:hAnsi="Times New Roman"/>
          <w:sz w:val="24"/>
          <w:szCs w:val="24"/>
          <w:lang w:val="kk-KZ" w:eastAsia="ru-RU"/>
        </w:rPr>
        <w:t>Қазақстандық есеп тәжірибесімен байланысына келетін болсақ, гудвиллді есепке алу және тестілеу мәселелері ҚР-да қолданылатын Халықаралық қаржылық есеп стандарттары (ҚЕХС) бойынша жүзеге асады: ҚЕХС 3 "Бизнесті біріктіру" стандарты гудвиллді сатып алу кезінде тануды міндеттейді; ҚЕХС 36 "Активтердің құнсыздануы" стандарты гудвиллді жыл сайын амортизациясыз, тек құнсыздануға тестілеуді талап етеді. Мақала мазмұны осы стандарттармен толық сәйкес келеді, бұл зерттеудің тәжірибелік құндылығын арттырады.</w:t>
      </w:r>
    </w:p>
    <w:p>
      <w:pPr>
        <w:pStyle w:val="Normal"/>
        <w:keepNext w:val="true"/>
        <w:keepLines/>
        <w:numPr>
          <w:ilvl w:val="0"/>
          <w:numId w:val="0"/>
        </w:numPr>
        <w:suppressAutoHyphens w:val="true"/>
        <w:spacing w:lineRule="auto" w:line="276" w:before="0" w:after="0"/>
        <w:ind w:firstLine="567"/>
        <w:jc w:val="both"/>
        <w:outlineLvl w:val="1"/>
        <w:rPr>
          <w:rFonts w:ascii="Times New Roman" w:hAnsi="Times New Roman" w:eastAsia="Calibri" w:cs="Times New Roman"/>
          <w:sz w:val="24"/>
          <w:szCs w:val="24"/>
          <w:lang w:val="kk-KZ" w:eastAsia="ru-RU"/>
        </w:rPr>
      </w:pPr>
      <w:r>
        <w:rPr>
          <w:rFonts w:eastAsia="Calibri" w:cs="Times New Roman" w:ascii="Times New Roman" w:hAnsi="Times New Roman"/>
          <w:sz w:val="24"/>
          <w:szCs w:val="24"/>
          <w:lang w:val="kk-KZ" w:eastAsia="ru-RU"/>
        </w:rPr>
        <w:t>Жинақтай келе мынандай тұжырымдарды түйінднуге болады:</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Гудвиллді бағалау – тек қаржылық есеп жүргізудің элементі ғана емес, сонымен қатар компания құнының ұзақ мерзімді тұрақтылығын анықтайтын маңызды құрал. Мақалада ұсынылған теориялық модельдер мен есептік талдаулар көрсеткендей:</w:t>
      </w:r>
    </w:p>
    <w:p>
      <w:pPr>
        <w:pStyle w:val="Normal"/>
        <w:numPr>
          <w:ilvl w:val="0"/>
          <w:numId w:val="14"/>
        </w:numPr>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Компанияның стратегиясына, қызмет саласына және қаржылық құрылымына байланысты гудвиллді бағалау әдісін саралап таңдау қажет;</w:t>
      </w:r>
    </w:p>
    <w:p>
      <w:pPr>
        <w:pStyle w:val="Normal"/>
        <w:numPr>
          <w:ilvl w:val="0"/>
          <w:numId w:val="14"/>
        </w:numPr>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Қазақстандық кәсіпорындарға RIM моделі неғұрлым икемді, себебі ол таза табыс пен баланстық ақпаратқа сүйенеді;</w:t>
      </w:r>
    </w:p>
    <w:p>
      <w:pPr>
        <w:pStyle w:val="Normal"/>
        <w:numPr>
          <w:ilvl w:val="0"/>
          <w:numId w:val="14"/>
        </w:numPr>
        <w:suppressAutoHyphens w:val="true"/>
        <w:spacing w:lineRule="auto" w:line="240" w:before="0" w:after="0"/>
        <w:ind w:firstLine="567" w:left="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Халықаралық стандарттарға сәйкестік – гудвиллдің әділ әрі сенімді танылуын қамтамасыз етеді.</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Қорыта келгенде, гудвилл – заманауи экономиканың материалдық емес, бірақ маңызды құн көрсеткіші. Сондықтан оны дұрыс бағалау, есепке алу және тестілеу – ұйымдардың ұзақ мерзімді тұрақтылығын қамтамасыз етуде стратегиялық маңызы бар. Сол себепті жоғарыда аталған ұсыныстарды іске асыру – ғылыми зерттеу нәтижелерінің практикалық қолданылуын қамтамасыз етеді.</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tabs>
          <w:tab w:val="clear" w:pos="708"/>
          <w:tab w:val="left" w:pos="709" w:leader="none"/>
        </w:tabs>
        <w:suppressAutoHyphens w:val="true"/>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t xml:space="preserve">Әдебиеттер </w:t>
      </w:r>
    </w:p>
    <w:p>
      <w:pPr>
        <w:pStyle w:val="Normal"/>
        <w:tabs>
          <w:tab w:val="clear" w:pos="708"/>
          <w:tab w:val="left" w:pos="709" w:leader="none"/>
        </w:tabs>
        <w:suppressAutoHyphens w:val="true"/>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Abdul J.</w:t>
      </w:r>
      <w:r>
        <w:rPr>
          <w:rFonts w:eastAsia="Times New Roman" w:cs="Times New Roman" w:ascii="Times New Roman" w:hAnsi="Times New Roman"/>
          <w:color w:val="000000"/>
          <w:sz w:val="24"/>
          <w:szCs w:val="24"/>
          <w:lang w:val="en-US" w:eastAsia="ru-RU"/>
        </w:rPr>
        <w:t>M.</w:t>
      </w:r>
      <w:r>
        <w:rPr>
          <w:rFonts w:eastAsia="Times New Roman" w:cs="Times New Roman" w:ascii="Times New Roman" w:hAnsi="Times New Roman"/>
          <w:color w:val="000000"/>
          <w:sz w:val="24"/>
          <w:szCs w:val="24"/>
          <w:lang w:val="kk-KZ" w:eastAsia="ru-RU"/>
        </w:rPr>
        <w:t xml:space="preserve"> Audit committee independence and a contracting perspective on goodwill impairment // Singaporean evidence. Business: Theory and Practice. -2017. -</w:t>
      </w:r>
      <w:r>
        <w:rPr>
          <w:rFonts w:eastAsia="Times New Roman" w:cs="Times New Roman" w:ascii="Times New Roman" w:hAnsi="Times New Roman"/>
          <w:color w:val="000000"/>
          <w:sz w:val="24"/>
          <w:szCs w:val="24"/>
          <w:lang w:val="en-US" w:eastAsia="ru-RU"/>
        </w:rPr>
        <w:t xml:space="preserve">Vol. </w:t>
      </w:r>
      <w:r>
        <w:rPr>
          <w:rFonts w:eastAsia="Times New Roman" w:cs="Times New Roman" w:ascii="Times New Roman" w:hAnsi="Times New Roman"/>
          <w:color w:val="000000"/>
          <w:sz w:val="24"/>
          <w:szCs w:val="24"/>
          <w:lang w:val="kk-KZ" w:eastAsia="ru-RU"/>
        </w:rPr>
        <w:t>18. -P. 128-135 DOI 10.3846/btp.2017.013</w:t>
      </w:r>
      <w:r>
        <w:rPr>
          <w:rFonts w:eastAsia="Times New Roman" w:cs="Times New Roman" w:ascii="Times New Roman" w:hAnsi="Times New Roman"/>
          <w:color w:val="000000"/>
          <w:sz w:val="24"/>
          <w:szCs w:val="24"/>
          <w:lang w:val="en-US"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Korosec B., Jerman M., Tominc P. The impairments test of goodwill: an empirical analysis of incentives for earnings management in Italian publicly traded companies // Economic Research-Ekonomska Istrazivanja. -2016.</w:t>
      </w:r>
      <w:r>
        <w:rPr>
          <w:rFonts w:eastAsia="Times New Roman" w:cs="Times New Roman" w:ascii="Times New Roman" w:hAnsi="Times New Roman"/>
          <w:color w:val="000000"/>
          <w:sz w:val="24"/>
          <w:szCs w:val="24"/>
          <w:lang w:val="en-US" w:eastAsia="ru-RU"/>
        </w:rPr>
        <w:t xml:space="preserve"> </w:t>
      </w:r>
      <w:r>
        <w:rPr>
          <w:rFonts w:eastAsia="Times New Roman" w:cs="Times New Roman" w:ascii="Times New Roman" w:hAnsi="Times New Roman"/>
          <w:color w:val="000000"/>
          <w:sz w:val="24"/>
          <w:szCs w:val="24"/>
          <w:lang w:val="kk-KZ" w:eastAsia="ru-RU"/>
        </w:rPr>
        <w:t>-</w:t>
      </w:r>
      <w:r>
        <w:rPr>
          <w:rFonts w:eastAsia="Times New Roman" w:cs="Times New Roman" w:ascii="Times New Roman" w:hAnsi="Times New Roman"/>
          <w:color w:val="000000"/>
          <w:sz w:val="24"/>
          <w:szCs w:val="24"/>
          <w:lang w:val="en-US" w:eastAsia="ru-RU"/>
        </w:rPr>
        <w:t>Vol.</w:t>
      </w:r>
      <w:r>
        <w:rPr>
          <w:rFonts w:eastAsia="Times New Roman" w:cs="Times New Roman" w:ascii="Times New Roman" w:hAnsi="Times New Roman"/>
          <w:color w:val="000000"/>
          <w:sz w:val="24"/>
          <w:szCs w:val="24"/>
          <w:lang w:val="kk-KZ" w:eastAsia="ru-RU"/>
        </w:rPr>
        <w:t xml:space="preserve"> 29(1).- P 162-176. DOI 10.1080/1331677X.2016.1164923</w:t>
      </w:r>
      <w:r>
        <w:rPr>
          <w:rFonts w:eastAsia="Times New Roman" w:cs="Times New Roman" w:ascii="Times New Roman" w:hAnsi="Times New Roman"/>
          <w:color w:val="000000"/>
          <w:sz w:val="24"/>
          <w:szCs w:val="24"/>
          <w:lang w:val="en-US"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Mazzi F., André P., Dionysiou D., Tsalavoutas I. Compliance with goodwill-related mandatory disclosure requirements and the cost of equity capital // Accounting and Business Research. -2017.</w:t>
      </w:r>
      <w:r>
        <w:rPr>
          <w:rFonts w:eastAsia="Times New Roman" w:cs="Times New Roman" w:ascii="Times New Roman" w:hAnsi="Times New Roman"/>
          <w:color w:val="000000"/>
          <w:sz w:val="24"/>
          <w:szCs w:val="24"/>
          <w:lang w:val="en-US" w:eastAsia="ru-RU"/>
        </w:rPr>
        <w:t xml:space="preserve"> </w:t>
      </w:r>
      <w:r>
        <w:rPr>
          <w:rFonts w:eastAsia="Times New Roman" w:cs="Times New Roman" w:ascii="Times New Roman" w:hAnsi="Times New Roman"/>
          <w:color w:val="000000"/>
          <w:sz w:val="24"/>
          <w:szCs w:val="24"/>
          <w:lang w:val="kk-KZ" w:eastAsia="ru-RU"/>
        </w:rPr>
        <w:t>-</w:t>
      </w:r>
      <w:r>
        <w:rPr>
          <w:rFonts w:eastAsia="Times New Roman" w:cs="Times New Roman" w:ascii="Times New Roman" w:hAnsi="Times New Roman"/>
          <w:color w:val="000000"/>
          <w:sz w:val="24"/>
          <w:szCs w:val="24"/>
          <w:lang w:val="en-US" w:eastAsia="ru-RU"/>
        </w:rPr>
        <w:t>Vol.</w:t>
      </w:r>
      <w:r>
        <w:rPr>
          <w:rFonts w:eastAsia="Times New Roman" w:cs="Times New Roman" w:ascii="Times New Roman" w:hAnsi="Times New Roman"/>
          <w:color w:val="000000"/>
          <w:sz w:val="24"/>
          <w:szCs w:val="24"/>
          <w:lang w:val="kk-KZ" w:eastAsia="ru-RU"/>
        </w:rPr>
        <w:t xml:space="preserve"> 47(3). -P 268-312. </w:t>
      </w:r>
      <w:r>
        <w:rPr>
          <w:rFonts w:eastAsia="Calibri" w:cs="Times New Roman" w:ascii="Times New Roman" w:hAnsi="Times New Roman"/>
          <w:color w:val="000000"/>
          <w:sz w:val="24"/>
          <w:szCs w:val="24"/>
          <w:shd w:fill="FFFFFF" w:val="clear"/>
          <w:lang w:val="kk-KZ" w:eastAsia="ru-RU"/>
        </w:rPr>
        <w:t xml:space="preserve">DOI </w:t>
      </w:r>
      <w:hyperlink r:id="rId108" w:tgtFrame="_blank">
        <w:r>
          <w:rPr>
            <w:rStyle w:val="Style3"/>
            <w:rFonts w:eastAsia="Calibri" w:cs="Times New Roman" w:ascii="Times New Roman" w:hAnsi="Times New Roman"/>
            <w:color w:val="000000"/>
            <w:sz w:val="24"/>
            <w:szCs w:val="24"/>
            <w:shd w:fill="FFFFFF" w:val="clear"/>
            <w:lang w:val="kk-KZ" w:eastAsia="ru-RU"/>
          </w:rPr>
          <w:t>10.2139/ssrn.2464154</w:t>
        </w:r>
      </w:hyperlink>
      <w:r>
        <w:rPr>
          <w:rFonts w:eastAsia="Calibri" w:cs="Times New Roman" w:ascii="Times New Roman" w:hAnsi="Times New Roman"/>
          <w:color w:val="000000"/>
          <w:sz w:val="24"/>
          <w:szCs w:val="24"/>
          <w:shd w:fill="FFFFFF" w:val="clear"/>
          <w:lang w:val="en-US"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Sapkauskiene A., Leitoniene S., Vainiusiene E. Disclosure of goodwill impairment in the Baltic States // Inzinerine Ekonomika-Engineering Economics. -2016.- Vol. 27(4). -P 417-429. DOI 10.5755/j01.ee.27.4.15360.</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Al-Hiyari A., Latif R.A., Amran N.A. The value relevance of purchase goodwill in Malaysian firms: the pre- and post-IFRS evidence // International Journal of Business Research. -2016. - Vol. 16(3). -P 69-80. DOI 10.18374/IJBR-16-3.5.</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Alshehabi A., Georgiou G., Ala S. A. Country-specific drivers of the value relevance of goodwill impairment losses//Journal of International Accounting, Auditing and Taxation. -2021. – Vol. 43: 100384. DOI 10.1016/j.intaccaudtax.2021.100384.</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Burger M., Wen H. The relative and incremental value relevance of goodwill before and after SFAS No. 142//Journal of Accounting and Public Policy. -2021. –Vol. 40(6): 106906. DOI 10.1016/j.jaccpubpol.2021.106906</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Carvalho C., Rodrigues A. M., Ferreira C. Goodwill and mandatory disclosure compliance: a critical review of the literature // Australian Accounting Review. -2016. -Vol 26(4). -P. 379-389. DOI </w:t>
      </w:r>
      <w:hyperlink r:id="rId109" w:tgtFrame="_blank">
        <w:r>
          <w:rPr>
            <w:rStyle w:val="Style3"/>
            <w:rFonts w:eastAsia="Times New Roman" w:cs="Times New Roman" w:ascii="Times New Roman" w:hAnsi="Times New Roman"/>
            <w:color w:val="000000"/>
            <w:lang w:val="kk-KZ" w:eastAsia="ru-RU"/>
          </w:rPr>
          <w:t>10.1111/auar.12129</w:t>
        </w:r>
      </w:hyperlink>
      <w:r>
        <w:rPr>
          <w:rFonts w:eastAsia="Times New Roman" w:cs="Times New Roman" w:ascii="Times New Roman" w:hAnsi="Times New Roman"/>
          <w:color w:val="000000"/>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Amel-Zadeh A., Glaum M., Sellhorn T. Empirical goodwill research: insights, issues, and implications for standard setting and future research // European Accounting Review. -2021.-Vol. 32. - P 1-32. DOI 10.1080/09638180.2021.1983854.</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Amorós A., &amp; Cavero, J. A. The economic effects of IFRS goodwill reporting // Australian Accounting Review. -2018.- 86(28).- 309-322 p. DOI </w:t>
      </w:r>
      <w:hyperlink r:id="rId110" w:tgtFrame="_blank">
        <w:r>
          <w:rPr>
            <w:rStyle w:val="Style3"/>
            <w:rFonts w:eastAsia="Times New Roman" w:cs="Times New Roman" w:ascii="Times New Roman" w:hAnsi="Times New Roman"/>
            <w:color w:val="000000"/>
            <w:sz w:val="24"/>
            <w:szCs w:val="24"/>
            <w:lang w:val="kk-KZ" w:eastAsia="ru-RU"/>
          </w:rPr>
          <w:t>10.1111/auar.12200</w:t>
        </w:r>
      </w:hyperlink>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Bepari Md. K., Mollik A. T. Regime change in the accounting for goodwill: goodwill write-offs and the value relevance of older goodwill//International Journal of Accounting &amp; Information Management. -2017.- 25(1).-P 43-69. DOI </w:t>
      </w:r>
      <w:hyperlink r:id="rId111" w:tgtFrame="_blank">
        <w:r>
          <w:rPr>
            <w:rStyle w:val="Style3"/>
            <w:rFonts w:eastAsia="Times New Roman" w:cs="Times New Roman" w:ascii="Times New Roman" w:hAnsi="Times New Roman"/>
            <w:color w:val="000000"/>
            <w:sz w:val="24"/>
            <w:szCs w:val="24"/>
            <w:lang w:val="kk-KZ" w:eastAsia="ru-RU"/>
          </w:rPr>
          <w:t>10.1108/IJAIM-02-2016-0018</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Chen V. Y. S., Keung E. C., Lin I-M. Disclosure of fair value measurement in goodwill impairment test and audit fees//Journal of Contemporary Accounting and Economics. -2019. -Vol. 15(3): 100160. DOI 10.1016/j.jcae.2019.100160.</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Ferramosca S., Greco G., Allegrini M. External audit and goodwill write-off // Journal of Management and Governance. -2017. -Vol. 21(4).-P. 907-934. DOI </w:t>
      </w:r>
      <w:hyperlink r:id="rId112" w:tgtFrame="_blank">
        <w:r>
          <w:rPr>
            <w:rStyle w:val="Style3"/>
            <w:rFonts w:eastAsia="Times New Roman" w:cs="Times New Roman" w:ascii="Times New Roman" w:hAnsi="Times New Roman"/>
            <w:color w:val="000000"/>
            <w:sz w:val="24"/>
            <w:szCs w:val="24"/>
            <w:lang w:val="kk-KZ" w:eastAsia="ru-RU"/>
          </w:rPr>
          <w:t>10.1007/s10997-016-9369-x</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Financial Accounting Standards Board Identifiable intangible assets and subsequent accounting for goodwill project/ IASB Joint Education Meeting FASB Agenda Ref 18A. -2021. URL: </w:t>
      </w:r>
      <w:hyperlink r:id="rId113">
        <w:r>
          <w:rPr>
            <w:rStyle w:val="Style3"/>
            <w:rFonts w:eastAsia="Times New Roman" w:cs="Times New Roman" w:ascii="Times New Roman" w:hAnsi="Times New Roman"/>
            <w:color w:val="000000"/>
            <w:sz w:val="24"/>
            <w:szCs w:val="24"/>
            <w:lang w:val="kk-KZ" w:eastAsia="ru-RU"/>
          </w:rPr>
          <w:t>https://www.ifrs.org/content/dam/ifrs/meetings/2021/july/iasb-fasb/ap18a-identifiable-intangible-assets-and-subsequent-accounting-for-goodwill.pdf</w:t>
        </w:r>
      </w:hyperlink>
      <w:r>
        <w:rPr>
          <w:rFonts w:eastAsia="Times New Roman" w:cs="Times New Roman" w:ascii="Times New Roman" w:hAnsi="Times New Roman"/>
          <w:color w:val="000000"/>
          <w:sz w:val="24"/>
          <w:szCs w:val="24"/>
          <w:lang w:val="kk-KZ" w:eastAsia="ru-RU"/>
        </w:rPr>
        <w:t>. - Қаралған күні: 15.01.2025.</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Frii P., Hamberg, M. What motives shape the initial accounting for goodwill under IFRS 3 in a setting dominated by controlling owners? // Accounting in Europe. -2021.- 18(2). -P. 218-248. DOI 10.1080/17449480.2021.1912369.</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Glaum, M., Landsman, W. R., &amp; Wyrwa, S. Goodwill impairment: the effects of public enforcement and monitoring by institutional investors//The Accounting Review. -2018.- Vol. 93(6). - P. 149-180. DOI 10.2308/accr-52006</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Gros M., Koch S. Discretionary goodwill impairment losses in Europe // Journal of Applied Accounting Research. -2019. - Vol. 21(1).-P 106-124. DOI </w:t>
      </w:r>
      <w:hyperlink r:id="rId114" w:tgtFrame="_blank">
        <w:r>
          <w:rPr>
            <w:rStyle w:val="Style3"/>
            <w:rFonts w:eastAsia="Times New Roman" w:cs="Times New Roman" w:ascii="Times New Roman" w:hAnsi="Times New Roman"/>
            <w:color w:val="000000"/>
            <w:sz w:val="24"/>
            <w:szCs w:val="24"/>
            <w:lang w:val="kk-KZ" w:eastAsia="ru-RU"/>
          </w:rPr>
          <w:t>10.1108/JAAR-03-2018-0039</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Hong P. K., Paik D. G., Smith, J. V. D. L. A study of long-lived asset impairment under U.S. GAAP and IFRS within the U.S. institutional environment // Journal of International Accounting, Auditing and Taxation. -2018. -Vol. 31. -P. 74-89. DOI 10.1016/j.intaccaudtax.2018.05.001.</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Cheng Y., Peterson D., Sherrill K. Admitting mistakes pays: the long-term impact of goodwill impairment write-offs on stock prices // Journal of Economics and Finance. -2017. -Vol. 41. -P. 311-329. DOI </w:t>
      </w:r>
      <w:hyperlink r:id="rId115" w:tgtFrame="_blank">
        <w:r>
          <w:rPr>
            <w:rStyle w:val="Style3"/>
            <w:rFonts w:eastAsia="Times New Roman" w:cs="Times New Roman" w:ascii="Times New Roman" w:hAnsi="Times New Roman"/>
            <w:color w:val="000000"/>
            <w:sz w:val="24"/>
            <w:szCs w:val="24"/>
            <w:lang w:val="kk-KZ" w:eastAsia="ru-RU"/>
          </w:rPr>
          <w:t>10.1007/s12197-015-9349-z</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Ferramosca S., Allegrini M. Impairment or amortization of goodwill? An analysis of CFO perceptions of goodwill accounting // European Management Journal. -2021. -Vol. 39(6). - P. 816-828. DOI 10.1016/j.emj.2021.03.001.</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Johnson P. M., Lopez T. J., Sorensen T. L. Did SFAS 141/142 improve the market’s understanding of net assets, goodwill, or other intangible assets? // Review of Quantitative Finance and Accounting. -2021.-Vol. 56.-P 891-915. DOI </w:t>
      </w:r>
      <w:hyperlink r:id="rId116" w:tgtFrame="_blank">
        <w:r>
          <w:rPr>
            <w:rStyle w:val="Style3"/>
            <w:rFonts w:eastAsia="Times New Roman" w:cs="Times New Roman" w:ascii="Times New Roman" w:hAnsi="Times New Roman"/>
            <w:color w:val="000000"/>
            <w:sz w:val="24"/>
            <w:szCs w:val="24"/>
            <w:lang w:val="kk-KZ" w:eastAsia="ru-RU"/>
          </w:rPr>
          <w:t>10.1007/s11156-020-00912-x</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Kabir H., Su L., Rahman A. Firm life cycle and the disclosure of estimates and judgments in goodwill impairment tests: evidence from Australia // Journal of Contemporary Accounting and Economics. -2020. -Vol 16(3): 100207. DOI </w:t>
      </w:r>
      <w:hyperlink r:id="rId117" w:tgtFrame="_blank">
        <w:r>
          <w:rPr>
            <w:rStyle w:val="Style3"/>
            <w:rFonts w:eastAsia="Times New Roman" w:cs="Times New Roman" w:ascii="Times New Roman" w:hAnsi="Times New Roman"/>
            <w:color w:val="000000"/>
            <w:sz w:val="24"/>
            <w:szCs w:val="24"/>
            <w:lang w:val="kk-KZ" w:eastAsia="ru-RU"/>
          </w:rPr>
          <w:t>10.1016/j.jcae.2020.100207</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Kim S.,  Bay D. Cognitive dissonance as an explanation of goodwill write-offs // Journal of Behavioral Finance. -2017.- Vol. 18(1). -P 14-28. DOI </w:t>
      </w:r>
      <w:hyperlink r:id="rId118" w:tgtFrame="_blank">
        <w:r>
          <w:rPr>
            <w:rStyle w:val="Style3"/>
            <w:rFonts w:eastAsia="Times New Roman" w:cs="Times New Roman" w:ascii="Times New Roman" w:hAnsi="Times New Roman"/>
            <w:color w:val="000000"/>
            <w:sz w:val="24"/>
            <w:szCs w:val="24"/>
            <w:lang w:val="kk-KZ" w:eastAsia="ru-RU"/>
          </w:rPr>
          <w:t>10.1080/15427560.2017.1274755</w:t>
        </w:r>
      </w:hyperlink>
      <w:r>
        <w:rPr>
          <w:rFonts w:eastAsia="Times New Roman" w:cs="Times New Roman" w:ascii="Times New Roman" w:hAnsi="Times New Roman"/>
          <w:color w:val="000000"/>
          <w:sz w:val="24"/>
          <w:szCs w:val="24"/>
          <w:lang w:val="kk-KZ" w:eastAsia="ru-RU"/>
        </w:rPr>
        <w:t>.</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Schatt A., Doukakis L., Bessieux-Ollier C., Walliser E. Do goodwill impairment by European firms provide useful information to investors? // Accounting in Europe. -2016. –Vol. 13(3). –P. 307-327. DOI 10.1080/17449480.2016.1254348.</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Sun L. Managerial ability and goodwill impairment // Advances in Accounting. -2016. –Vol. 32. -P 42-51. DOI 10.1016/j.adiac.2016.02.002.</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Calibri" w:cs="Times New Roman" w:ascii="Times New Roman" w:hAnsi="Times New Roman"/>
          <w:sz w:val="24"/>
          <w:szCs w:val="24"/>
          <w:shd w:fill="FFFFFF" w:val="clear"/>
          <w:lang w:val="kk-KZ" w:eastAsia="ru-RU"/>
        </w:rPr>
        <w:t>3-Халықаралық қаржы есептілігінің стандарты</w:t>
      </w:r>
      <w:r>
        <w:rPr>
          <w:rFonts w:eastAsia="Calibri" w:cs="Times New Roman" w:ascii="Times New Roman" w:hAnsi="Times New Roman"/>
          <w:sz w:val="24"/>
          <w:szCs w:val="24"/>
          <w:lang w:val="kk-KZ" w:eastAsia="ru-RU"/>
        </w:rPr>
        <w:br/>
      </w:r>
      <w:r>
        <w:rPr>
          <w:rFonts w:eastAsia="Calibri" w:cs="Times New Roman" w:ascii="Times New Roman" w:hAnsi="Times New Roman"/>
          <w:sz w:val="24"/>
          <w:szCs w:val="24"/>
          <w:shd w:fill="FFFFFF" w:val="clear"/>
          <w:lang w:val="kk-KZ" w:eastAsia="ru-RU"/>
        </w:rPr>
        <w:t xml:space="preserve">«Бизнес бірлестіктері». </w:t>
      </w:r>
      <w:r>
        <w:rPr>
          <w:rFonts w:eastAsia="Times New Roman" w:cs="Times New Roman" w:ascii="Times New Roman" w:hAnsi="Times New Roman"/>
          <w:color w:val="000000"/>
          <w:sz w:val="24"/>
          <w:szCs w:val="24"/>
          <w:lang w:val="kk-KZ" w:eastAsia="ru-RU"/>
        </w:rPr>
        <w:t>URL:</w:t>
      </w:r>
      <w:hyperlink r:id="rId119">
        <w:r>
          <w:rPr>
            <w:rStyle w:val="Style3"/>
            <w:rFonts w:eastAsia="Times New Roman" w:cs="Times New Roman" w:ascii="Times New Roman" w:hAnsi="Times New Roman"/>
            <w:color w:val="000000"/>
            <w:sz w:val="24"/>
            <w:szCs w:val="24"/>
            <w:lang w:val="kk-KZ" w:eastAsia="ru-RU"/>
          </w:rPr>
          <w:t>https://online.zakon.kz/Document/?doc_id=31248040</w:t>
        </w:r>
      </w:hyperlink>
      <w:r>
        <w:rPr>
          <w:rFonts w:eastAsia="Times New Roman" w:cs="Times New Roman" w:ascii="Times New Roman" w:hAnsi="Times New Roman"/>
          <w:color w:val="000000"/>
          <w:sz w:val="24"/>
          <w:szCs w:val="24"/>
          <w:lang w:val="kk-KZ" w:eastAsia="ru-RU"/>
        </w:rPr>
        <w:t>. -Қаралған күні: 15.01.2025.</w:t>
      </w:r>
    </w:p>
    <w:p>
      <w:pPr>
        <w:pStyle w:val="Normal"/>
        <w:numPr>
          <w:ilvl w:val="0"/>
          <w:numId w:val="10"/>
        </w:numPr>
        <w:tabs>
          <w:tab w:val="clear" w:pos="708"/>
          <w:tab w:val="left" w:pos="284" w:leader="none"/>
          <w:tab w:val="left" w:pos="426" w:leader="none"/>
          <w:tab w:val="left" w:pos="993" w:leader="none"/>
        </w:tabs>
        <w:suppressAutoHyphens w:val="true"/>
        <w:spacing w:lineRule="auto" w:line="240" w:before="0" w:after="0"/>
        <w:ind w:hanging="0" w:left="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36-шы Халықаралық Қаржылық Есептілік Стандарты (IAS 36)</w:t>
        <w:br/>
        <w:t xml:space="preserve">Активтердің құнсыздануы. URL: </w:t>
      </w:r>
      <w:hyperlink r:id="rId120">
        <w:r>
          <w:rPr>
            <w:rStyle w:val="Style3"/>
            <w:rFonts w:eastAsia="Times New Roman" w:cs="Times New Roman" w:ascii="Times New Roman" w:hAnsi="Times New Roman"/>
            <w:color w:val="000000"/>
            <w:sz w:val="24"/>
            <w:szCs w:val="24"/>
            <w:lang w:val="kk-KZ" w:eastAsia="ru-RU"/>
          </w:rPr>
          <w:t>https://online.zakon.kz/Document/?doc_id=31248040</w:t>
        </w:r>
      </w:hyperlink>
      <w:r>
        <w:rPr>
          <w:rFonts w:eastAsia="Times New Roman" w:cs="Times New Roman" w:ascii="Times New Roman" w:hAnsi="Times New Roman"/>
          <w:color w:val="000000"/>
          <w:sz w:val="24"/>
          <w:szCs w:val="24"/>
          <w:lang w:val="kk-KZ" w:eastAsia="ru-RU"/>
        </w:rPr>
        <w:t>. -Қаралған күні: 15.01.2025.</w:t>
      </w:r>
    </w:p>
    <w:p>
      <w:pPr>
        <w:pStyle w:val="Normal"/>
        <w:suppressAutoHyphens w:val="true"/>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tabs>
          <w:tab w:val="clear" w:pos="708"/>
          <w:tab w:val="left" w:pos="709" w:leader="none"/>
        </w:tabs>
        <w:suppressAutoHyphens w:val="true"/>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t>References</w:t>
      </w:r>
    </w:p>
    <w:p>
      <w:pPr>
        <w:pStyle w:val="Normal"/>
        <w:tabs>
          <w:tab w:val="clear" w:pos="708"/>
          <w:tab w:val="left" w:pos="709" w:leader="none"/>
        </w:tabs>
        <w:suppressAutoHyphens w:val="true"/>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1. Abdul J.</w:t>
      </w:r>
      <w:r>
        <w:rPr>
          <w:rFonts w:eastAsia="Times New Roman" w:cs="Times New Roman" w:ascii="Times New Roman" w:hAnsi="Times New Roman"/>
          <w:color w:val="000000"/>
          <w:sz w:val="24"/>
          <w:szCs w:val="24"/>
          <w:lang w:val="en-US" w:eastAsia="ru-RU"/>
        </w:rPr>
        <w:t>M.</w:t>
      </w:r>
      <w:r>
        <w:rPr>
          <w:rFonts w:eastAsia="Times New Roman" w:cs="Times New Roman" w:ascii="Times New Roman" w:hAnsi="Times New Roman"/>
          <w:color w:val="000000"/>
          <w:sz w:val="24"/>
          <w:szCs w:val="24"/>
          <w:lang w:val="kk-KZ" w:eastAsia="ru-RU"/>
        </w:rPr>
        <w:t xml:space="preserve"> Audit committee independence and a contracting perspective on goodwill impairment // Singaporean evidence. Business: Theory and Practice. -2017. -</w:t>
      </w:r>
      <w:r>
        <w:rPr>
          <w:rFonts w:eastAsia="Times New Roman" w:cs="Times New Roman" w:ascii="Times New Roman" w:hAnsi="Times New Roman"/>
          <w:color w:val="000000"/>
          <w:sz w:val="24"/>
          <w:szCs w:val="24"/>
          <w:lang w:val="en-US" w:eastAsia="ru-RU"/>
        </w:rPr>
        <w:t xml:space="preserve">Vol. </w:t>
      </w:r>
      <w:r>
        <w:rPr>
          <w:rFonts w:eastAsia="Times New Roman" w:cs="Times New Roman" w:ascii="Times New Roman" w:hAnsi="Times New Roman"/>
          <w:color w:val="000000"/>
          <w:sz w:val="24"/>
          <w:szCs w:val="24"/>
          <w:lang w:val="kk-KZ" w:eastAsia="ru-RU"/>
        </w:rPr>
        <w:t>18. -P. 128-135 DOI 10.3846/btp.2017.013</w:t>
      </w:r>
      <w:r>
        <w:rPr>
          <w:rFonts w:eastAsia="Times New Roman" w:cs="Times New Roman" w:ascii="Times New Roman" w:hAnsi="Times New Roman"/>
          <w:color w:val="000000"/>
          <w:sz w:val="24"/>
          <w:szCs w:val="24"/>
          <w:lang w:val="en-US"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2. Korosec B., Jerman M., Tominc P. The impairments test of goodwill: an empirical analysis of incentives for earnings management in Italian publicly traded companies // Economic Research-Ekonomska Istrazivanja. -2016.</w:t>
      </w:r>
      <w:r>
        <w:rPr>
          <w:rFonts w:eastAsia="Times New Roman" w:cs="Times New Roman" w:ascii="Times New Roman" w:hAnsi="Times New Roman"/>
          <w:color w:val="000000"/>
          <w:sz w:val="24"/>
          <w:szCs w:val="24"/>
          <w:lang w:val="en-US" w:eastAsia="ru-RU"/>
        </w:rPr>
        <w:t xml:space="preserve"> </w:t>
      </w:r>
      <w:r>
        <w:rPr>
          <w:rFonts w:eastAsia="Times New Roman" w:cs="Times New Roman" w:ascii="Times New Roman" w:hAnsi="Times New Roman"/>
          <w:color w:val="000000"/>
          <w:sz w:val="24"/>
          <w:szCs w:val="24"/>
          <w:lang w:val="kk-KZ" w:eastAsia="ru-RU"/>
        </w:rPr>
        <w:t>-</w:t>
      </w:r>
      <w:r>
        <w:rPr>
          <w:rFonts w:eastAsia="Times New Roman" w:cs="Times New Roman" w:ascii="Times New Roman" w:hAnsi="Times New Roman"/>
          <w:color w:val="000000"/>
          <w:sz w:val="24"/>
          <w:szCs w:val="24"/>
          <w:lang w:val="en-US" w:eastAsia="ru-RU"/>
        </w:rPr>
        <w:t>Vol.</w:t>
      </w:r>
      <w:r>
        <w:rPr>
          <w:rFonts w:eastAsia="Times New Roman" w:cs="Times New Roman" w:ascii="Times New Roman" w:hAnsi="Times New Roman"/>
          <w:color w:val="000000"/>
          <w:sz w:val="24"/>
          <w:szCs w:val="24"/>
          <w:lang w:val="kk-KZ" w:eastAsia="ru-RU"/>
        </w:rPr>
        <w:t xml:space="preserve"> 29(1).- P 162-176. DOI 10.1080/1331677X.2016.1164923</w:t>
      </w:r>
      <w:r>
        <w:rPr>
          <w:rFonts w:eastAsia="Times New Roman" w:cs="Times New Roman" w:ascii="Times New Roman" w:hAnsi="Times New Roman"/>
          <w:color w:val="000000"/>
          <w:sz w:val="24"/>
          <w:szCs w:val="24"/>
          <w:lang w:val="en-US"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3. Mazzi F., André P., Dionysiou D., Tsalavoutas I. Compliance with goodwill-related mandatory disclosure requirements and the cost of equity capital // Accounting and Business Research. -2017.</w:t>
      </w:r>
      <w:r>
        <w:rPr>
          <w:rFonts w:eastAsia="Times New Roman" w:cs="Times New Roman" w:ascii="Times New Roman" w:hAnsi="Times New Roman"/>
          <w:color w:val="000000"/>
          <w:sz w:val="24"/>
          <w:szCs w:val="24"/>
          <w:lang w:val="en-US" w:eastAsia="ru-RU"/>
        </w:rPr>
        <w:t xml:space="preserve"> -Vol.</w:t>
      </w:r>
      <w:r>
        <w:rPr>
          <w:rFonts w:eastAsia="Times New Roman" w:cs="Times New Roman" w:ascii="Times New Roman" w:hAnsi="Times New Roman"/>
          <w:color w:val="000000"/>
          <w:sz w:val="24"/>
          <w:szCs w:val="24"/>
          <w:lang w:val="kk-KZ" w:eastAsia="ru-RU"/>
        </w:rPr>
        <w:t xml:space="preserve"> 47(3). -P 268-312. </w:t>
      </w:r>
      <w:r>
        <w:rPr>
          <w:rFonts w:eastAsia="Calibri" w:cs="Times New Roman" w:ascii="Times New Roman" w:hAnsi="Times New Roman"/>
          <w:color w:val="000000"/>
          <w:sz w:val="24"/>
          <w:szCs w:val="24"/>
          <w:shd w:fill="FFFFFF" w:val="clear"/>
          <w:lang w:val="kk-KZ" w:eastAsia="ru-RU"/>
        </w:rPr>
        <w:t xml:space="preserve">DOI </w:t>
      </w:r>
      <w:hyperlink r:id="rId121" w:tgtFrame="_blank">
        <w:r>
          <w:rPr>
            <w:rStyle w:val="Style3"/>
            <w:rFonts w:eastAsia="Calibri" w:cs="Times New Roman" w:ascii="Times New Roman" w:hAnsi="Times New Roman"/>
            <w:color w:val="000000"/>
            <w:sz w:val="24"/>
            <w:szCs w:val="24"/>
            <w:shd w:fill="FFFFFF" w:val="clear"/>
            <w:lang w:val="kk-KZ" w:eastAsia="ru-RU"/>
          </w:rPr>
          <w:t>10.2139/ssrn.2464154</w:t>
        </w:r>
      </w:hyperlink>
      <w:r>
        <w:rPr>
          <w:rFonts w:eastAsia="Calibri" w:cs="Times New Roman" w:ascii="Times New Roman" w:hAnsi="Times New Roman"/>
          <w:color w:val="000000"/>
          <w:sz w:val="24"/>
          <w:szCs w:val="24"/>
          <w:shd w:fill="FFFFFF" w:val="clear"/>
          <w:lang w:val="en-US"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4. Sapkauskiene A., Leitoniene S., Vainiusiene E. Disclosure of goodwill impairment in the Baltic States // Inzinerine Ekonomika-Engineering Economics. -2016.- Vol. 27(4). -P 417-429. DOI 10.5755/j01.ee.27.4.15360.</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5. Al-Hiyari A., Latif R.A., Amran N.A. The value relevance of purchase goodwill in Malaysian firms: the pre- and post-IFRS evidence // International Journal of Business Research. -2016. - Vol. 16(3). -P 69-80. DOI 10.18374/IJBR-16-3.5.</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6. Alshehabi A., Georgiou G., Ala S. A. Country-specific drivers of the value relevance of goodwill impairment losses//Journal of International Accounting, Auditing and Taxation. -2021. - Vol. 43: 100384. DOI 10.1016/j.intaccaudtax.2021.100384.</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7. Burger M., Wen H. The relative and incremental value relevance of goodwill before and after SFAS No. 142//Journal of Accounting and Public Policy. -2021. -Vol. 40(6): 106906. DOI 10.1016/j.jaccpubpol.2021.106906</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8. Carvalho C., Rodrigues A. M., Ferreira C. Goodwill and mandatory disclosure compliance: a critical review of the literature // Australian Accounting Review. -2016. -Vol 26(4). -P. 379-389. DOI </w:t>
      </w:r>
      <w:hyperlink r:id="rId122" w:tgtFrame="_blank">
        <w:r>
          <w:rPr>
            <w:rStyle w:val="Style3"/>
            <w:rFonts w:eastAsia="Times New Roman" w:cs="Calibri" w:ascii="Calibri" w:hAnsi="Calibri"/>
            <w:color w:val="000000"/>
            <w:lang w:val="kk-KZ" w:eastAsia="ru-RU"/>
          </w:rPr>
          <w:t>10.1111/auar.12129</w:t>
        </w:r>
      </w:hyperlink>
      <w:r>
        <w:rPr>
          <w:rFonts w:eastAsia="Times New Roman" w:cs="Calibri" w:ascii="Calibri" w:hAnsi="Calibri"/>
          <w:color w:val="000000"/>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9. Amel-Zadeh A., Glaum M., Sellhorn T. Empirical goodwill research: insights, issues, and implications for standard setting and future research // European Accounting Review. -2021.-Vol. 32. - P 1-32. DOI 10.1080/09638180.2021.1983854.</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10. Amorós A., &amp; Cavero, J. A. The economic effects of IFRS goodwill reporting // Australian Accounting Review. -2018.- 86(28).- 309-322 p. DOI </w:t>
      </w:r>
      <w:hyperlink r:id="rId123" w:tgtFrame="_blank">
        <w:r>
          <w:rPr>
            <w:rStyle w:val="Style3"/>
            <w:rFonts w:eastAsia="Times New Roman" w:cs="Times New Roman" w:ascii="Times New Roman" w:hAnsi="Times New Roman"/>
            <w:color w:val="000000"/>
            <w:sz w:val="24"/>
            <w:szCs w:val="24"/>
            <w:lang w:val="kk-KZ" w:eastAsia="ru-RU"/>
          </w:rPr>
          <w:t>10.1111/auar.12200</w:t>
        </w:r>
      </w:hyperlink>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11. Bepari Md. K., Mollik A. T. Regime change in the accounting for goodwill: goodwill write-offs and the value relevance of older goodwill//International Journal of Accounting &amp; Information Management. -2017.- 25(1).-P 43-69. DOI </w:t>
      </w:r>
      <w:hyperlink r:id="rId124" w:tgtFrame="_blank">
        <w:r>
          <w:rPr>
            <w:rStyle w:val="Style3"/>
            <w:rFonts w:eastAsia="Times New Roman" w:cs="Times New Roman" w:ascii="Times New Roman" w:hAnsi="Times New Roman"/>
            <w:color w:val="000000"/>
            <w:sz w:val="24"/>
            <w:szCs w:val="24"/>
            <w:lang w:val="kk-KZ" w:eastAsia="ru-RU"/>
          </w:rPr>
          <w:t>10.1108/IJAIM-02-2016-0018</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12. Chen V. Y. S., Keung E. C., Lin I-M. Disclosure of fair value measurement in goodwill impairment test and audit fees//Journal of Contemporary Accounting and Economics. -2019. -Vol. 15(3): 100160. DOI 10.1016/j.jcae.2019.100160.</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13. Ferramosca S., Greco G., Allegrini M. External audit and goodwill write-off // Journal of Management and Governance. -2017. -Vol. 21(4).-P. 907-934. DOI </w:t>
      </w:r>
      <w:hyperlink r:id="rId125" w:tgtFrame="_blank">
        <w:r>
          <w:rPr>
            <w:rStyle w:val="Style3"/>
            <w:rFonts w:eastAsia="Times New Roman" w:cs="Times New Roman" w:ascii="Times New Roman" w:hAnsi="Times New Roman"/>
            <w:color w:val="000000"/>
            <w:sz w:val="24"/>
            <w:szCs w:val="24"/>
            <w:lang w:val="kk-KZ" w:eastAsia="ru-RU"/>
          </w:rPr>
          <w:t>10.1007/s10997-016-9369-x</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14. Financial Accounting Standards Board Identifiable intangible assets and subsequent accounting for goodwill project/ IASB Joint Education Meeting FASB Agenda Ref 18A. -2021. URL: </w:t>
      </w:r>
      <w:hyperlink r:id="rId126">
        <w:r>
          <w:rPr>
            <w:rStyle w:val="Style3"/>
            <w:rFonts w:eastAsia="Times New Roman" w:cs="Times New Roman" w:ascii="Times New Roman" w:hAnsi="Times New Roman"/>
            <w:color w:val="000000"/>
            <w:sz w:val="24"/>
            <w:szCs w:val="24"/>
            <w:lang w:val="kk-KZ" w:eastAsia="ru-RU"/>
          </w:rPr>
          <w:t>https://www.ifrs.org/content/dam/ifrs/meetings/2021/july/iasb-fasb/ap18a-identifiable-intangible-assets-and-subsequent-accounting-for-goodwill.pdf</w:t>
        </w:r>
      </w:hyperlink>
      <w:r>
        <w:rPr>
          <w:rFonts w:eastAsia="Times New Roman" w:cs="Times New Roman" w:ascii="Times New Roman" w:hAnsi="Times New Roman"/>
          <w:color w:val="000000"/>
          <w:sz w:val="24"/>
          <w:szCs w:val="24"/>
          <w:lang w:val="kk-KZ" w:eastAsia="ru-RU"/>
        </w:rPr>
        <w:t>. - Date of access: 15.01.2025.</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15. Frii P., Hamberg, M. What motives shape the initial accounting for goodwill under IFRS 3 in a setting dominated by controlling owners? // Accounting in Europe. -2021.- 18(2). -P. 218-248. DOI 10.1080/17449480.2021.1912369.</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16. Glaum, M., Landsman, W. R., &amp; Wyrwa, S. Goodwill impairment: the effects of public enforcement and monitoring by institutional investors//The Accounting Review. -2018.- Vol. 93(6). -P. 149-180. DOI 10.2308/accr-52006</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17. Gros M., Koch S. Discretionary goodwill impairment losses in Europe // Journal of Applied Accounting Research. -2019. –Vol. 21(1).-P 106-124. DOI </w:t>
      </w:r>
      <w:hyperlink r:id="rId127" w:tgtFrame="_blank">
        <w:r>
          <w:rPr>
            <w:rStyle w:val="Style3"/>
            <w:rFonts w:eastAsia="Times New Roman" w:cs="Times New Roman" w:ascii="Times New Roman" w:hAnsi="Times New Roman"/>
            <w:color w:val="000000"/>
            <w:sz w:val="24"/>
            <w:szCs w:val="24"/>
            <w:lang w:val="kk-KZ" w:eastAsia="ru-RU"/>
          </w:rPr>
          <w:t>10.1108/JAAR-03-2018-0039</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18. Hong P. K., Paik D. G., Smith, J. V. D. L. A study of long-lived asset impairment under U.S. GAAP and IFRS within the U.S. institutional environment // Journal of International Accounting, Auditing and Taxation. -2018. -Vol. 31. -P. 74-89. DOI 10.1016/j.intaccaudtax.2018.05.001.</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19. Cheng Y., Peterson D., Sherrill K. Admitting mistakes pays: the long-term impact of goodwill impairment write-offs on stock prices // Journal of Economics and Finance. -2017. -Vol. 41. - P. 311-329. DOI </w:t>
      </w:r>
      <w:hyperlink r:id="rId128" w:tgtFrame="_blank">
        <w:r>
          <w:rPr>
            <w:rStyle w:val="Style3"/>
            <w:rFonts w:eastAsia="Times New Roman" w:cs="Times New Roman" w:ascii="Times New Roman" w:hAnsi="Times New Roman"/>
            <w:color w:val="000000"/>
            <w:sz w:val="24"/>
            <w:szCs w:val="24"/>
            <w:lang w:val="kk-KZ" w:eastAsia="ru-RU"/>
          </w:rPr>
          <w:t>10.1007/s12197-015-9349-z</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20. Ferramosca S., Allegrini M. Impairment or amortization of goodwill? An analysis of CFO perceptions of goodwill accounting // European Management Journal. -2021. -Vol. 39(6). -P. 816-828. DOI 10.1016/j.emj.2021.03.001.</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21. Johnson P. M., Lopez T. J., Sorensen T. L. Did SFAS 141/142 improve the market’s understanding of net assets, goodwill, or other intangible assets? // Review of Quantitative Finance and Accounting. -2021.-Vol. 56.-P 891-915. DOI </w:t>
      </w:r>
      <w:hyperlink r:id="rId129" w:tgtFrame="_blank">
        <w:r>
          <w:rPr>
            <w:rStyle w:val="Style3"/>
            <w:rFonts w:eastAsia="Times New Roman" w:cs="Times New Roman" w:ascii="Times New Roman" w:hAnsi="Times New Roman"/>
            <w:color w:val="000000"/>
            <w:sz w:val="24"/>
            <w:szCs w:val="24"/>
            <w:lang w:val="kk-KZ" w:eastAsia="ru-RU"/>
          </w:rPr>
          <w:t>10.1007/s11156-020-00912-x</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22. Kabir H., Su L., Rahman A. Firm life cycle and the disclosure of estimates and judgments in goodwill impairment tests: evidence from Australia // Journal of Contemporary Accounting and Economics. -2020. -Vol 16(3): 100207. DOI </w:t>
      </w:r>
      <w:hyperlink r:id="rId130" w:tgtFrame="_blank">
        <w:r>
          <w:rPr>
            <w:rStyle w:val="Style3"/>
            <w:rFonts w:eastAsia="Times New Roman" w:cs="Times New Roman" w:ascii="Times New Roman" w:hAnsi="Times New Roman"/>
            <w:color w:val="000000"/>
            <w:sz w:val="24"/>
            <w:szCs w:val="24"/>
            <w:lang w:val="kk-KZ" w:eastAsia="ru-RU"/>
          </w:rPr>
          <w:t>10.1016/j.jcae.2020.100207</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23. Kim S.,  Bay D. Cognitive dissonance as an explanation of goodwill write-offs // Journal of Behavioral Finance. -2017.- Vol. 18(1). -P 14-28. DOI </w:t>
      </w:r>
      <w:hyperlink r:id="rId131" w:tgtFrame="_blank">
        <w:r>
          <w:rPr>
            <w:rStyle w:val="Style3"/>
            <w:rFonts w:eastAsia="Times New Roman" w:cs="Times New Roman" w:ascii="Times New Roman" w:hAnsi="Times New Roman"/>
            <w:color w:val="000000"/>
            <w:sz w:val="24"/>
            <w:szCs w:val="24"/>
            <w:lang w:val="kk-KZ" w:eastAsia="ru-RU"/>
          </w:rPr>
          <w:t>10.1080/15427560.2017.1274755</w:t>
        </w:r>
      </w:hyperlink>
      <w:r>
        <w:rPr>
          <w:rFonts w:eastAsia="Times New Roman" w:cs="Times New Roman" w:ascii="Times New Roman" w:hAnsi="Times New Roman"/>
          <w:color w:val="000000"/>
          <w:sz w:val="24"/>
          <w:szCs w:val="24"/>
          <w:lang w:val="kk-KZ" w:eastAsia="ru-RU"/>
        </w:rPr>
        <w:t>.</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24. Schatt A., Doukakis L., Bessieux-Ollier C., Walliser E. Do goodwill impairment by European firms provide useful information to investors? // Accounting in Europe. -2016. -Vol. 13(3). -P. 307-327. DOI 10.1080/17449480.2016.1254348.</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25. Sun L. Managerial ability and goodwill impairment // Advances in Accounting. -2016. -Vol. 32. -P 42-51. DOI 10.1016/j.adiac.2016.02.002.</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26. 3-Halykaralyk karzhy eseptіlіgіnіn standarty «Biznes bіrlestіkterі». URL:</w:t>
      </w:r>
      <w:hyperlink r:id="rId132">
        <w:r>
          <w:rPr>
            <w:rStyle w:val="Style3"/>
            <w:rFonts w:eastAsia="Times New Roman" w:cs="Times New Roman" w:ascii="Times New Roman" w:hAnsi="Times New Roman"/>
            <w:color w:val="000000"/>
            <w:sz w:val="24"/>
            <w:szCs w:val="24"/>
            <w:lang w:val="kk-KZ" w:eastAsia="ru-RU"/>
          </w:rPr>
          <w:t>https://online.zakon.kz/Document/?doc_id=31248040</w:t>
        </w:r>
      </w:hyperlink>
      <w:r>
        <w:rPr>
          <w:rFonts w:eastAsia="Times New Roman" w:cs="Times New Roman" w:ascii="Times New Roman" w:hAnsi="Times New Roman"/>
          <w:color w:val="000000"/>
          <w:sz w:val="24"/>
          <w:szCs w:val="24"/>
          <w:lang w:val="kk-KZ" w:eastAsia="ru-RU"/>
        </w:rPr>
        <w:t>. -Date of access: 15.01.2025.</w:t>
      </w:r>
      <w:r>
        <w:rPr>
          <w:rFonts w:eastAsia="Times New Roman" w:cs="Times New Roman" w:ascii="Times New Roman" w:hAnsi="Times New Roman"/>
          <w:color w:val="000000"/>
          <w:sz w:val="24"/>
          <w:szCs w:val="24"/>
          <w:lang w:val="en-US" w:eastAsia="ru-RU"/>
        </w:rPr>
        <w:t>[in Kazakh]</w:t>
      </w:r>
    </w:p>
    <w:p>
      <w:pPr>
        <w:pStyle w:val="Normal"/>
        <w:tabs>
          <w:tab w:val="clear" w:pos="708"/>
          <w:tab w:val="left" w:pos="284" w:leader="none"/>
          <w:tab w:val="left" w:pos="426" w:leader="none"/>
          <w:tab w:val="left" w:pos="993" w:leader="none"/>
        </w:tabs>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t xml:space="preserve">27. 36-shy Halykaralyk Karzhylyk Eseptіlіk Standarty (IAS 36). Aktivterdіn kunsyzdanuy. URL: </w:t>
      </w:r>
      <w:hyperlink r:id="rId133">
        <w:r>
          <w:rPr>
            <w:rStyle w:val="Style3"/>
            <w:rFonts w:eastAsia="Times New Roman" w:cs="Times New Roman" w:ascii="Times New Roman" w:hAnsi="Times New Roman"/>
            <w:color w:val="000000"/>
            <w:sz w:val="24"/>
            <w:szCs w:val="24"/>
            <w:lang w:val="kk-KZ" w:eastAsia="ru-RU"/>
          </w:rPr>
          <w:t>https://online.zakon.kz/Document/?doc_id=31248040</w:t>
        </w:r>
      </w:hyperlink>
      <w:r>
        <w:rPr>
          <w:rFonts w:eastAsia="Times New Roman" w:cs="Times New Roman" w:ascii="Times New Roman" w:hAnsi="Times New Roman"/>
          <w:color w:val="000000"/>
          <w:sz w:val="24"/>
          <w:szCs w:val="24"/>
          <w:lang w:val="kk-KZ" w:eastAsia="ru-RU"/>
        </w:rPr>
        <w:t>. -Date of access: 15.01.2025. [in Kazakh]</w:t>
      </w:r>
    </w:p>
    <w:p>
      <w:pPr>
        <w:pStyle w:val="Normal"/>
        <w:suppressAutoHyphens w:val="true"/>
        <w:spacing w:lineRule="auto" w:line="240" w:before="0" w:after="0"/>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val="kk-KZ" w:eastAsia="ru-RU"/>
        </w:rPr>
      </w:r>
    </w:p>
    <w:p>
      <w:pPr>
        <w:pStyle w:val="Normal"/>
        <w:suppressAutoHyphens w:val="true"/>
        <w:spacing w:lineRule="auto" w:line="240" w:before="0" w:after="0"/>
        <w:ind w:firstLine="720"/>
        <w:jc w:val="both"/>
        <w:rPr>
          <w:rFonts w:ascii="Times New Roman" w:hAnsi="Times New Roman" w:eastAsia="Times New Roman" w:cs="Times New Roman"/>
          <w:b/>
          <w:i/>
          <w:i/>
          <w:sz w:val="20"/>
          <w:szCs w:val="20"/>
          <w:lang w:val="kk-KZ" w:eastAsia="ru-RU"/>
        </w:rPr>
      </w:pPr>
      <w:r>
        <w:rPr>
          <w:rFonts w:eastAsia="Times New Roman" w:cs="Times New Roman" w:ascii="Times New Roman" w:hAnsi="Times New Roman"/>
          <w:b/>
          <w:i/>
          <w:sz w:val="20"/>
          <w:szCs w:val="20"/>
          <w:lang w:val="kk-KZ" w:eastAsia="ru-RU"/>
        </w:rPr>
        <w:t>Авторлар туралы мәліметтер</w:t>
      </w:r>
    </w:p>
    <w:p>
      <w:pPr>
        <w:pStyle w:val="Normal"/>
        <w:suppressAutoHyphens w:val="true"/>
        <w:spacing w:lineRule="auto" w:line="240" w:before="0" w:after="0"/>
        <w:ind w:firstLine="720"/>
        <w:jc w:val="both"/>
        <w:rPr>
          <w:rFonts w:ascii="Times New Roman" w:hAnsi="Times New Roman" w:eastAsia="Times New Roman" w:cs="Times New Roman"/>
          <w:b/>
          <w:i/>
          <w:i/>
          <w:sz w:val="20"/>
          <w:szCs w:val="20"/>
          <w:lang w:val="kk-KZ" w:eastAsia="ru-RU"/>
        </w:rPr>
      </w:pPr>
      <w:r>
        <w:rPr>
          <w:rFonts w:eastAsia="Times New Roman" w:cs="Times New Roman" w:ascii="Times New Roman" w:hAnsi="Times New Roman"/>
          <w:b/>
          <w:i/>
          <w:sz w:val="20"/>
          <w:szCs w:val="20"/>
          <w:lang w:val="kk-KZ" w:eastAsia="ru-RU"/>
        </w:rPr>
      </w:r>
    </w:p>
    <w:p>
      <w:pPr>
        <w:pStyle w:val="Normal"/>
        <w:suppressAutoHyphens w:val="true"/>
        <w:spacing w:lineRule="auto" w:line="240" w:before="0" w:after="0"/>
        <w:jc w:val="both"/>
        <w:rPr>
          <w:rFonts w:ascii="Times New Roman" w:hAnsi="Times New Roman" w:eastAsia="Times New Roman" w:cs="Times New Roman"/>
          <w:color w:val="000000"/>
          <w:sz w:val="20"/>
          <w:szCs w:val="20"/>
          <w:lang w:val="kk-KZ" w:eastAsia="ru-RU"/>
        </w:rPr>
      </w:pPr>
      <w:r>
        <w:rPr>
          <w:rFonts w:eastAsia="Times New Roman" w:cs="Times New Roman" w:ascii="Times New Roman" w:hAnsi="Times New Roman"/>
          <w:sz w:val="20"/>
          <w:szCs w:val="20"/>
          <w:highlight w:val="white"/>
          <w:lang w:val="kk-KZ" w:eastAsia="ru-RU"/>
        </w:rPr>
        <w:t xml:space="preserve">Рейдолда С. </w:t>
      </w:r>
      <w:r>
        <w:rPr>
          <w:rFonts w:eastAsia="Times New Roman" w:cs="Times New Roman" w:ascii="Times New Roman" w:hAnsi="Times New Roman"/>
          <w:sz w:val="20"/>
          <w:szCs w:val="20"/>
          <w:lang w:val="kk-KZ" w:eastAsia="ru-RU"/>
        </w:rPr>
        <w:t xml:space="preserve">- </w:t>
      </w:r>
      <w:r>
        <w:rPr>
          <w:rFonts w:eastAsia="Times New Roman" w:cs="Times New Roman" w:ascii="Times New Roman" w:hAnsi="Times New Roman"/>
          <w:color w:val="000000"/>
          <w:sz w:val="20"/>
          <w:szCs w:val="20"/>
          <w:lang w:val="kk-KZ" w:eastAsia="ru-RU"/>
        </w:rPr>
        <w:t xml:space="preserve">аға оқытушы, магистр, Қ.Құлажанов атындағы Қазақ технология және бизнес университет, Астана, Казақстан, e-mail: </w:t>
      </w:r>
      <w:hyperlink r:id="rId134">
        <w:r>
          <w:rPr>
            <w:rStyle w:val="Style3"/>
            <w:rFonts w:eastAsia="Times New Roman" w:cs="Times New Roman" w:ascii="Times New Roman" w:hAnsi="Times New Roman"/>
            <w:color w:val="000000"/>
            <w:sz w:val="20"/>
            <w:szCs w:val="20"/>
            <w:lang w:val="kk-KZ" w:eastAsia="ru-RU"/>
          </w:rPr>
          <w:t>Saulegul0408@gmail.com</w:t>
        </w:r>
      </w:hyperlink>
      <w:r>
        <w:rPr>
          <w:rFonts w:eastAsia="Times New Roman" w:cs="Times New Roman" w:ascii="Times New Roman" w:hAnsi="Times New Roman"/>
          <w:color w:val="000000"/>
          <w:sz w:val="20"/>
          <w:szCs w:val="20"/>
          <w:lang w:val="kk-KZ" w:eastAsia="ru-RU"/>
        </w:rPr>
        <w:t>;</w:t>
      </w:r>
    </w:p>
    <w:p>
      <w:pPr>
        <w:pStyle w:val="Normal"/>
        <w:suppressAutoHyphens w:val="true"/>
        <w:spacing w:lineRule="auto" w:line="240" w:before="0" w:after="0"/>
        <w:jc w:val="both"/>
        <w:rPr>
          <w:rFonts w:ascii="Times New Roman" w:hAnsi="Times New Roman" w:eastAsia="Calibri" w:cs="Times New Roman"/>
          <w:sz w:val="20"/>
          <w:szCs w:val="20"/>
          <w:lang w:val="kk-KZ" w:eastAsia="ru-RU"/>
        </w:rPr>
      </w:pPr>
      <w:r>
        <w:rPr>
          <w:rFonts w:eastAsia="Times New Roman" w:cs="Times New Roman" w:ascii="Times New Roman" w:hAnsi="Times New Roman"/>
          <w:sz w:val="20"/>
          <w:szCs w:val="20"/>
          <w:lang w:val="kk-KZ" w:eastAsia="ru-RU"/>
        </w:rPr>
        <w:t xml:space="preserve">Ерниязов Р.А. - экономика ғылыми кандидаты, қауымдастырылған профессор (доцент), Қ.Құлажанов атындағы Казақ технология және бизнес университет, Астана, Казақстан, e-mail: </w:t>
      </w:r>
      <w:hyperlink r:id="rId135">
        <w:r>
          <w:rPr>
            <w:rStyle w:val="Style3"/>
            <w:rFonts w:eastAsia="Times New Roman" w:cs="Times New Roman" w:ascii="Times New Roman" w:hAnsi="Times New Roman"/>
            <w:color w:val="000000"/>
            <w:sz w:val="20"/>
            <w:szCs w:val="20"/>
            <w:lang w:val="kk-KZ" w:eastAsia="ru-RU"/>
          </w:rPr>
          <w:t>erniyazov_rust@mail.ru</w:t>
        </w:r>
      </w:hyperlink>
      <w:r>
        <w:rPr>
          <w:rFonts w:eastAsia="Times New Roman" w:cs="Times New Roman" w:ascii="Times New Roman" w:hAnsi="Times New Roman"/>
          <w:color w:val="000000"/>
          <w:sz w:val="20"/>
          <w:szCs w:val="20"/>
          <w:lang w:val="kk-KZ" w:eastAsia="ru-RU"/>
        </w:rPr>
        <w:t>;</w:t>
      </w:r>
      <w:r>
        <w:rPr>
          <w:rFonts w:eastAsia="Calibri" w:cs="Times New Roman" w:ascii="Times New Roman" w:hAnsi="Times New Roman"/>
          <w:sz w:val="20"/>
          <w:szCs w:val="20"/>
          <w:lang w:val="kk-KZ" w:eastAsia="ru-RU"/>
        </w:rPr>
        <w:t xml:space="preserve"> </w:t>
      </w:r>
    </w:p>
    <w:p>
      <w:pPr>
        <w:pStyle w:val="Normal"/>
        <w:shd w:val="clear" w:color="auto" w:fill="FFFFFF"/>
        <w:tabs>
          <w:tab w:val="clear" w:pos="708"/>
          <w:tab w:val="left" w:pos="4307" w:leader="none"/>
        </w:tabs>
        <w:suppressAutoHyphens w:val="true"/>
        <w:spacing w:lineRule="auto" w:line="240" w:before="0" w:after="0"/>
        <w:jc w:val="both"/>
        <w:rPr>
          <w:rFonts w:ascii="Times New Roman" w:hAnsi="Times New Roman" w:eastAsia="Times New Roman" w:cs="Times New Roman"/>
          <w:color w:val="000000"/>
          <w:sz w:val="20"/>
          <w:szCs w:val="20"/>
          <w:lang w:val="kk-KZ" w:eastAsia="ru-RU"/>
        </w:rPr>
      </w:pPr>
      <w:r>
        <w:rPr>
          <w:rFonts w:eastAsia="Times New Roman" w:cs="Times New Roman" w:ascii="Times New Roman" w:hAnsi="Times New Roman"/>
          <w:color w:val="000000"/>
          <w:sz w:val="20"/>
          <w:szCs w:val="20"/>
          <w:lang w:val="kk-KZ" w:eastAsia="ru-RU"/>
        </w:rPr>
        <w:t xml:space="preserve">Алпысбаева А.К. - экономика ғылыми кандидаты, қауымдастырылған профессор (доцент), Қ. Құлажанов атындағы Казақ технология және бизнес университет, Астана, Казақстан, e-mail: </w:t>
      </w:r>
      <w:hyperlink r:id="rId136">
        <w:r>
          <w:rPr>
            <w:rStyle w:val="Style3"/>
            <w:rFonts w:eastAsia="Times New Roman" w:cs="Times New Roman" w:ascii="Times New Roman" w:hAnsi="Times New Roman"/>
            <w:color w:val="000000"/>
            <w:sz w:val="20"/>
            <w:szCs w:val="20"/>
            <w:lang w:val="kk-KZ" w:eastAsia="ru-RU"/>
          </w:rPr>
          <w:t>alpysbayeva.ainur77@mail.ru</w:t>
        </w:r>
      </w:hyperlink>
      <w:r>
        <w:rPr>
          <w:rFonts w:eastAsia="Times New Roman" w:cs="Times New Roman" w:ascii="Times New Roman" w:hAnsi="Times New Roman"/>
          <w:color w:val="000000"/>
          <w:sz w:val="20"/>
          <w:szCs w:val="20"/>
          <w:lang w:val="kk-KZ" w:eastAsia="ru-RU"/>
        </w:rPr>
        <w:t>;</w:t>
      </w:r>
    </w:p>
    <w:p>
      <w:pPr>
        <w:pStyle w:val="Normal"/>
        <w:suppressAutoHyphens w:val="true"/>
        <w:spacing w:lineRule="auto" w:line="240" w:before="0" w:after="0"/>
        <w:jc w:val="both"/>
        <w:rPr>
          <w:rFonts w:ascii="Times New Roman" w:hAnsi="Times New Roman" w:eastAsia="Calibri" w:cs="Times New Roman"/>
          <w:sz w:val="20"/>
          <w:szCs w:val="20"/>
          <w:vertAlign w:val="superscript"/>
          <w:lang w:val="kk-KZ" w:eastAsia="ru-RU"/>
        </w:rPr>
      </w:pPr>
      <w:r>
        <w:rPr>
          <w:rFonts w:eastAsia="Times New Roman" w:cs="Times New Roman" w:ascii="Times New Roman" w:hAnsi="Times New Roman"/>
          <w:sz w:val="20"/>
          <w:szCs w:val="20"/>
          <w:lang w:val="kk-KZ" w:eastAsia="ru-RU"/>
        </w:rPr>
        <w:t xml:space="preserve">Жуматаева Б.А. - PhD, қауымдастырылған профессор (доцент), Қ.Құлажанов атындағы Казақ технология және бизнес университет, Астана, Казақстан, e-mail: </w:t>
      </w:r>
      <w:hyperlink r:id="rId137">
        <w:r>
          <w:rPr>
            <w:rStyle w:val="Style3"/>
            <w:rFonts w:eastAsia="Times New Roman" w:cs="Times New Roman" w:ascii="Times New Roman" w:hAnsi="Times New Roman"/>
            <w:color w:val="000000"/>
            <w:sz w:val="20"/>
            <w:szCs w:val="20"/>
            <w:lang w:val="kk-KZ" w:eastAsia="ru-RU"/>
          </w:rPr>
          <w:t>bahyt_jumataeva@mail.ru</w:t>
        </w:r>
      </w:hyperlink>
      <w:r>
        <w:rPr>
          <w:rFonts w:eastAsia="Times New Roman" w:cs="Times New Roman" w:ascii="Times New Roman" w:hAnsi="Times New Roman"/>
          <w:color w:val="000000"/>
          <w:sz w:val="20"/>
          <w:szCs w:val="20"/>
          <w:lang w:val="kk-KZ" w:eastAsia="ru-RU"/>
        </w:rPr>
        <w:t>;</w:t>
      </w:r>
      <w:r>
        <w:rPr>
          <w:rFonts w:eastAsia="Calibri" w:cs="Times New Roman" w:ascii="Times New Roman" w:hAnsi="Times New Roman"/>
          <w:sz w:val="20"/>
          <w:szCs w:val="20"/>
          <w:vertAlign w:val="superscript"/>
          <w:lang w:val="kk-KZ" w:eastAsia="ru-RU"/>
        </w:rPr>
        <w:t xml:space="preserve"> </w:t>
      </w:r>
    </w:p>
    <w:p>
      <w:pPr>
        <w:pStyle w:val="Normal"/>
        <w:suppressAutoHyphens w:val="true"/>
        <w:spacing w:lineRule="auto" w:line="240" w:before="0" w:after="0"/>
        <w:jc w:val="both"/>
        <w:rPr>
          <w:rFonts w:ascii="Times New Roman" w:hAnsi="Times New Roman" w:eastAsia="Calibri" w:cs="Times New Roman"/>
          <w:sz w:val="20"/>
          <w:szCs w:val="20"/>
          <w:lang w:val="kk-KZ" w:eastAsia="ru-RU"/>
        </w:rPr>
      </w:pPr>
      <w:r>
        <w:rPr>
          <w:rFonts w:eastAsia="Times New Roman" w:cs="Times New Roman" w:ascii="Times New Roman" w:hAnsi="Times New Roman"/>
          <w:sz w:val="20"/>
          <w:szCs w:val="20"/>
          <w:lang w:val="kk-KZ" w:eastAsia="ru-RU"/>
        </w:rPr>
        <w:t xml:space="preserve">Юсупов У.Б. - PhD, қауымдастырылған профессор (доцент), Қ.Құлажанов атындағы Казақ технология және бизнес университет, Астана, Казақстан, e-mail: </w:t>
      </w:r>
      <w:hyperlink r:id="rId138">
        <w:r>
          <w:rPr>
            <w:rStyle w:val="Style3"/>
            <w:rFonts w:eastAsia="Times New Roman" w:cs="Times New Roman" w:ascii="Times New Roman" w:hAnsi="Times New Roman"/>
            <w:color w:val="000000"/>
            <w:sz w:val="20"/>
            <w:szCs w:val="20"/>
            <w:lang w:val="kk-KZ" w:eastAsia="ru-RU"/>
          </w:rPr>
          <w:t>Nusup86@mail.ru</w:t>
        </w:r>
      </w:hyperlink>
      <w:r>
        <w:rPr>
          <w:rFonts w:eastAsia="Times New Roman" w:cs="Times New Roman" w:ascii="Times New Roman" w:hAnsi="Times New Roman"/>
          <w:color w:val="000000"/>
          <w:sz w:val="20"/>
          <w:szCs w:val="20"/>
          <w:lang w:val="kk-KZ" w:eastAsia="ru-RU"/>
        </w:rPr>
        <w:t>;</w:t>
      </w:r>
      <w:r>
        <w:rPr>
          <w:rFonts w:eastAsia="Calibri" w:cs="Times New Roman" w:ascii="Times New Roman" w:hAnsi="Times New Roman"/>
          <w:sz w:val="20"/>
          <w:szCs w:val="20"/>
          <w:lang w:val="kk-KZ" w:eastAsia="ru-RU"/>
        </w:rPr>
        <w:t xml:space="preserve"> </w:t>
      </w:r>
    </w:p>
    <w:p>
      <w:pPr>
        <w:pStyle w:val="Normal"/>
        <w:suppressAutoHyphens w:val="true"/>
        <w:spacing w:lineRule="auto" w:line="240" w:before="0" w:after="0"/>
        <w:jc w:val="both"/>
        <w:rPr>
          <w:rFonts w:ascii="Times New Roman" w:hAnsi="Times New Roman" w:eastAsia="Calibri" w:cs="Times New Roman"/>
          <w:sz w:val="20"/>
          <w:szCs w:val="20"/>
          <w:vertAlign w:val="superscript"/>
          <w:lang w:val="kk-KZ" w:eastAsia="ru-RU"/>
        </w:rPr>
      </w:pPr>
      <w:r>
        <w:rPr>
          <w:rFonts w:eastAsia="Times New Roman" w:cs="Times New Roman" w:ascii="Times New Roman" w:hAnsi="Times New Roman"/>
          <w:sz w:val="20"/>
          <w:szCs w:val="20"/>
          <w:lang w:val="kk-KZ" w:eastAsia="ru-RU"/>
        </w:rPr>
        <w:t xml:space="preserve">Кабиева А.Т. - PhD, қауымдастырылған профессор (доцент),  Қ.Құлажанов атындағы Казақ технология және бизнес университет, Астана, Казақстан, e-mail: </w:t>
      </w:r>
      <w:hyperlink r:id="rId139">
        <w:r>
          <w:rPr>
            <w:rStyle w:val="Style3"/>
            <w:rFonts w:eastAsia="Times New Roman" w:cs="Times New Roman" w:ascii="Times New Roman" w:hAnsi="Times New Roman"/>
            <w:color w:val="000000"/>
            <w:sz w:val="20"/>
            <w:szCs w:val="20"/>
            <w:lang w:val="kk-KZ" w:eastAsia="ru-RU"/>
          </w:rPr>
          <w:t>Asem_kt_1985@mail.ru</w:t>
        </w:r>
      </w:hyperlink>
      <w:r>
        <w:rPr>
          <w:rFonts w:eastAsia="Times New Roman" w:cs="Times New Roman" w:ascii="Times New Roman" w:hAnsi="Times New Roman"/>
          <w:color w:val="000000"/>
          <w:sz w:val="20"/>
          <w:szCs w:val="20"/>
          <w:lang w:val="kk-KZ" w:eastAsia="ru-RU"/>
        </w:rPr>
        <w:t>.</w:t>
      </w:r>
      <w:r>
        <w:rPr>
          <w:rFonts w:eastAsia="Calibri" w:cs="Times New Roman" w:ascii="Times New Roman" w:hAnsi="Times New Roman"/>
          <w:sz w:val="20"/>
          <w:szCs w:val="20"/>
          <w:vertAlign w:val="superscript"/>
          <w:lang w:val="kk-KZ" w:eastAsia="ru-RU"/>
        </w:rPr>
        <w:t xml:space="preserve"> </w:t>
      </w:r>
    </w:p>
    <w:p>
      <w:pPr>
        <w:pStyle w:val="Normal"/>
        <w:suppressAutoHyphens w:val="true"/>
        <w:spacing w:lineRule="auto" w:line="240" w:before="0" w:after="0"/>
        <w:jc w:val="both"/>
        <w:rPr>
          <w:rFonts w:ascii="Times New Roman" w:hAnsi="Times New Roman" w:eastAsia="Times New Roman" w:cs="Times New Roman"/>
          <w:sz w:val="20"/>
          <w:szCs w:val="20"/>
          <w:highlight w:val="white"/>
          <w:lang w:val="kk-KZ" w:eastAsia="ru-RU"/>
        </w:rPr>
      </w:pPr>
      <w:r>
        <w:rPr>
          <w:rFonts w:eastAsia="Times New Roman" w:cs="Times New Roman" w:ascii="Times New Roman" w:hAnsi="Times New Roman"/>
          <w:sz w:val="20"/>
          <w:szCs w:val="20"/>
          <w:highlight w:val="white"/>
          <w:lang w:val="kk-KZ" w:eastAsia="ru-RU"/>
        </w:rPr>
      </w:r>
    </w:p>
    <w:p>
      <w:pPr>
        <w:pStyle w:val="Normal"/>
        <w:suppressAutoHyphens w:val="true"/>
        <w:spacing w:lineRule="auto" w:line="240" w:before="0" w:after="0"/>
        <w:ind w:firstLine="720"/>
        <w:jc w:val="both"/>
        <w:rPr>
          <w:rFonts w:ascii="Times New Roman" w:hAnsi="Times New Roman" w:eastAsia="Times New Roman" w:cs="Times New Roman"/>
          <w:b/>
          <w:i/>
          <w:i/>
          <w:sz w:val="20"/>
          <w:szCs w:val="20"/>
          <w:highlight w:val="white"/>
          <w:lang w:val="kk-KZ" w:eastAsia="ru-RU"/>
        </w:rPr>
      </w:pPr>
      <w:r>
        <w:rPr>
          <w:rFonts w:eastAsia="Times New Roman" w:cs="Times New Roman" w:ascii="Times New Roman" w:hAnsi="Times New Roman"/>
          <w:b/>
          <w:i/>
          <w:sz w:val="20"/>
          <w:szCs w:val="20"/>
          <w:highlight w:val="white"/>
          <w:lang w:val="kk-KZ" w:eastAsia="ru-RU"/>
        </w:rPr>
        <w:t>Information about the author</w:t>
      </w:r>
    </w:p>
    <w:p>
      <w:pPr>
        <w:pStyle w:val="Normal"/>
        <w:suppressAutoHyphens w:val="true"/>
        <w:spacing w:lineRule="auto" w:line="240" w:before="0" w:after="0"/>
        <w:ind w:firstLine="720"/>
        <w:jc w:val="both"/>
        <w:rPr>
          <w:rFonts w:ascii="Times New Roman" w:hAnsi="Times New Roman" w:eastAsia="Times New Roman" w:cs="Times New Roman"/>
          <w:b/>
          <w:i/>
          <w:i/>
          <w:sz w:val="20"/>
          <w:szCs w:val="20"/>
          <w:highlight w:val="white"/>
          <w:lang w:val="kk-KZ" w:eastAsia="ru-RU"/>
        </w:rPr>
      </w:pPr>
      <w:r>
        <w:rPr>
          <w:rFonts w:eastAsia="Times New Roman" w:cs="Times New Roman" w:ascii="Times New Roman" w:hAnsi="Times New Roman"/>
          <w:b/>
          <w:i/>
          <w:sz w:val="20"/>
          <w:szCs w:val="20"/>
          <w:highlight w:val="white"/>
          <w:lang w:val="kk-KZ" w:eastAsia="ru-RU"/>
        </w:rPr>
      </w:r>
    </w:p>
    <w:p>
      <w:pPr>
        <w:pStyle w:val="Normal"/>
        <w:suppressAutoHyphens w:val="true"/>
        <w:spacing w:lineRule="auto" w:line="240" w:before="0" w:after="0"/>
        <w:jc w:val="both"/>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sz w:val="20"/>
          <w:szCs w:val="20"/>
          <w:highlight w:val="white"/>
          <w:lang w:val="kk-KZ" w:eastAsia="ru-RU"/>
        </w:rPr>
        <w:t xml:space="preserve">Reidolda S - </w:t>
      </w:r>
      <w:r>
        <w:rPr>
          <w:rFonts w:eastAsia="Times New Roman" w:cs="Times New Roman" w:ascii="Times New Roman" w:hAnsi="Times New Roman"/>
          <w:color w:val="000000"/>
          <w:sz w:val="20"/>
          <w:szCs w:val="20"/>
          <w:lang w:val="kk-KZ" w:eastAsia="ru-RU"/>
        </w:rPr>
        <w:t>Senior teacher</w:t>
      </w:r>
      <w:r>
        <w:rPr>
          <w:rFonts w:eastAsia="Times New Roman" w:cs="Times New Roman" w:ascii="Times New Roman" w:hAnsi="Times New Roman"/>
          <w:color w:val="000000"/>
          <w:sz w:val="20"/>
          <w:szCs w:val="20"/>
          <w:highlight w:val="white"/>
          <w:lang w:val="kk-KZ" w:eastAsia="ru-RU"/>
        </w:rPr>
        <w:t>,</w:t>
      </w:r>
      <w:r>
        <w:rPr>
          <w:rFonts w:eastAsia="Times New Roman" w:cs="Times New Roman" w:ascii="Times New Roman" w:hAnsi="Times New Roman"/>
          <w:color w:val="000000"/>
          <w:sz w:val="20"/>
          <w:szCs w:val="20"/>
          <w:lang w:val="kk-KZ" w:eastAsia="ru-RU"/>
        </w:rPr>
        <w:t xml:space="preserve"> K.Kulazhanov Kazakh University of Technology and Business, Astana, Kazakhstan, e-mail: </w:t>
      </w:r>
      <w:hyperlink r:id="rId140">
        <w:r>
          <w:rPr>
            <w:rStyle w:val="Style3"/>
            <w:rFonts w:eastAsia="Times New Roman" w:cs="Times New Roman" w:ascii="Times New Roman" w:hAnsi="Times New Roman"/>
            <w:color w:val="000000"/>
            <w:sz w:val="20"/>
            <w:szCs w:val="20"/>
            <w:lang w:val="kk-KZ" w:eastAsia="ru-RU"/>
          </w:rPr>
          <w:t>Saulegul0408@gmail.com</w:t>
        </w:r>
      </w:hyperlink>
      <w:r>
        <w:rPr>
          <w:rFonts w:eastAsia="Times New Roman" w:cs="Times New Roman" w:ascii="Times New Roman" w:hAnsi="Times New Roman"/>
          <w:color w:val="000000"/>
          <w:sz w:val="20"/>
          <w:szCs w:val="20"/>
          <w:lang w:val="en-US" w:eastAsia="ru-RU"/>
        </w:rPr>
        <w:t>;</w:t>
      </w:r>
    </w:p>
    <w:p>
      <w:pPr>
        <w:pStyle w:val="Normal"/>
        <w:suppressAutoHyphens w:val="true"/>
        <w:spacing w:lineRule="auto" w:line="240" w:before="0" w:after="0"/>
        <w:jc w:val="both"/>
        <w:rPr>
          <w:rFonts w:ascii="Times New Roman" w:hAnsi="Times New Roman" w:eastAsia="Times New Roman" w:cs="Times New Roman"/>
          <w:color w:val="000000"/>
          <w:sz w:val="20"/>
          <w:szCs w:val="20"/>
          <w:lang w:val="en-US" w:eastAsia="ru-RU"/>
        </w:rPr>
      </w:pPr>
      <w:bookmarkStart w:id="6" w:name="_heading=h.gjdgxs"/>
      <w:bookmarkEnd w:id="6"/>
      <w:r>
        <w:rPr>
          <w:rFonts w:eastAsia="Times New Roman" w:cs="Times New Roman" w:ascii="Times New Roman" w:hAnsi="Times New Roman"/>
          <w:sz w:val="20"/>
          <w:szCs w:val="20"/>
          <w:highlight w:val="white"/>
          <w:lang w:val="kk-KZ" w:eastAsia="ru-RU"/>
        </w:rPr>
        <w:t>Yerniyazov R.</w:t>
      </w:r>
      <w:r>
        <w:rPr>
          <w:rFonts w:eastAsia="Times New Roman" w:cs="Times New Roman" w:ascii="Times New Roman" w:hAnsi="Times New Roman"/>
          <w:sz w:val="20"/>
          <w:szCs w:val="20"/>
          <w:lang w:val="kk-KZ" w:eastAsia="ru-RU"/>
        </w:rPr>
        <w:t xml:space="preserve">A. - candidate of economic sciences, associate professor, </w:t>
      </w:r>
      <w:r>
        <w:rPr>
          <w:rFonts w:eastAsia="Times New Roman" w:cs="Times New Roman" w:ascii="Times New Roman" w:hAnsi="Times New Roman"/>
          <w:color w:val="000000"/>
          <w:sz w:val="20"/>
          <w:szCs w:val="20"/>
          <w:highlight w:val="white"/>
          <w:lang w:val="kk-KZ" w:eastAsia="ru-RU"/>
        </w:rPr>
        <w:t xml:space="preserve">K.Kulazhanov </w:t>
      </w:r>
      <w:r>
        <w:rPr>
          <w:rFonts w:eastAsia="Times New Roman" w:cs="Times New Roman" w:ascii="Times New Roman" w:hAnsi="Times New Roman"/>
          <w:sz w:val="20"/>
          <w:szCs w:val="20"/>
          <w:lang w:val="kk-KZ" w:eastAsia="ru-RU"/>
        </w:rPr>
        <w:t xml:space="preserve">Kazakh University of Technology and Business, Astana, Kazakhstan, e-mail: </w:t>
      </w:r>
      <w:hyperlink r:id="rId141">
        <w:r>
          <w:rPr>
            <w:rStyle w:val="Style3"/>
            <w:rFonts w:eastAsia="Times New Roman" w:cs="Times New Roman" w:ascii="Times New Roman" w:hAnsi="Times New Roman"/>
            <w:color w:val="000000"/>
            <w:sz w:val="20"/>
            <w:szCs w:val="20"/>
            <w:lang w:val="kk-KZ" w:eastAsia="ru-RU"/>
          </w:rPr>
          <w:t>erniyazov_rust@mail.ru</w:t>
        </w:r>
      </w:hyperlink>
      <w:r>
        <w:rPr>
          <w:rFonts w:eastAsia="Times New Roman" w:cs="Times New Roman" w:ascii="Times New Roman" w:hAnsi="Times New Roman"/>
          <w:color w:val="000000"/>
          <w:sz w:val="20"/>
          <w:szCs w:val="20"/>
          <w:lang w:val="en-US" w:eastAsia="ru-RU"/>
        </w:rPr>
        <w:t>;</w:t>
      </w:r>
      <w:r>
        <w:rPr>
          <w:rFonts w:eastAsia="Calibri" w:cs="Times New Roman" w:ascii="Times New Roman" w:hAnsi="Times New Roman"/>
          <w:sz w:val="20"/>
          <w:szCs w:val="20"/>
          <w:lang w:val="kk-KZ" w:eastAsia="ru-RU"/>
        </w:rPr>
        <w:t xml:space="preserve"> </w:t>
      </w:r>
    </w:p>
    <w:p>
      <w:pPr>
        <w:pStyle w:val="Normal"/>
        <w:suppressAutoHyphens w:val="true"/>
        <w:spacing w:lineRule="auto" w:line="240" w:before="0" w:after="0"/>
        <w:jc w:val="both"/>
        <w:rPr>
          <w:rFonts w:ascii="Times New Roman" w:hAnsi="Times New Roman" w:eastAsia="Times New Roman" w:cs="Times New Roman"/>
          <w:color w:val="000000"/>
          <w:sz w:val="20"/>
          <w:szCs w:val="20"/>
          <w:u w:val="single"/>
          <w:lang w:val="en-US" w:eastAsia="ru-RU"/>
        </w:rPr>
      </w:pPr>
      <w:r>
        <w:rPr>
          <w:rFonts w:eastAsia="Times New Roman" w:cs="Times New Roman" w:ascii="Times New Roman" w:hAnsi="Times New Roman"/>
          <w:color w:val="000000"/>
          <w:sz w:val="20"/>
          <w:szCs w:val="20"/>
          <w:lang w:val="kk-KZ" w:eastAsia="ru-RU"/>
        </w:rPr>
        <w:t>Alpysbayeva A. - candidate of Economic Sciences, Аssociate professor</w:t>
      </w:r>
      <w:r>
        <w:rPr>
          <w:rFonts w:eastAsia="Times New Roman" w:cs="Times New Roman" w:ascii="Times New Roman" w:hAnsi="Times New Roman"/>
          <w:color w:val="000000"/>
          <w:sz w:val="20"/>
          <w:szCs w:val="20"/>
          <w:highlight w:val="white"/>
          <w:lang w:val="kk-KZ" w:eastAsia="ru-RU"/>
        </w:rPr>
        <w:t>,</w:t>
      </w:r>
      <w:r>
        <w:rPr>
          <w:rFonts w:eastAsia="Times New Roman" w:cs="Times New Roman" w:ascii="Times New Roman" w:hAnsi="Times New Roman"/>
          <w:color w:val="000000"/>
          <w:sz w:val="20"/>
          <w:szCs w:val="20"/>
          <w:lang w:val="kk-KZ" w:eastAsia="ru-RU"/>
        </w:rPr>
        <w:t xml:space="preserve"> K.Kulazhanov Kazakh University of Technology and Business, Astana, Kazakhstan, </w:t>
      </w:r>
      <w:r>
        <w:rPr>
          <w:rFonts w:eastAsia="Times New Roman" w:cs="Times New Roman" w:ascii="Times New Roman" w:hAnsi="Times New Roman"/>
          <w:sz w:val="20"/>
          <w:szCs w:val="20"/>
          <w:lang w:val="kk-KZ" w:eastAsia="ru-RU"/>
        </w:rPr>
        <w:t xml:space="preserve">e-mail: </w:t>
      </w:r>
      <w:hyperlink r:id="rId142">
        <w:r>
          <w:rPr>
            <w:rStyle w:val="Style3"/>
            <w:rFonts w:eastAsia="Times New Roman" w:cs="Times New Roman" w:ascii="Times New Roman" w:hAnsi="Times New Roman"/>
            <w:color w:val="000000"/>
            <w:sz w:val="20"/>
            <w:szCs w:val="20"/>
            <w:lang w:val="kk-KZ" w:eastAsia="ru-RU"/>
          </w:rPr>
          <w:t>alpysbayeva.ainur77@mail.ru</w:t>
        </w:r>
      </w:hyperlink>
      <w:r>
        <w:rPr>
          <w:rFonts w:eastAsia="Times New Roman" w:cs="Times New Roman" w:ascii="Times New Roman" w:hAnsi="Times New Roman"/>
          <w:color w:val="000000"/>
          <w:sz w:val="20"/>
          <w:szCs w:val="20"/>
          <w:lang w:val="en-US" w:eastAsia="ru-RU"/>
        </w:rPr>
        <w:t>;</w:t>
      </w:r>
      <w:r>
        <w:rPr>
          <w:rFonts w:eastAsia="Calibri" w:cs="Times New Roman" w:ascii="Times New Roman" w:hAnsi="Times New Roman"/>
          <w:sz w:val="20"/>
          <w:szCs w:val="20"/>
          <w:vertAlign w:val="superscript"/>
          <w:lang w:val="kk-KZ" w:eastAsia="ru-RU"/>
        </w:rPr>
        <w:t xml:space="preserve"> </w:t>
      </w:r>
    </w:p>
    <w:p>
      <w:pPr>
        <w:pStyle w:val="Normal"/>
        <w:suppressAutoHyphens w:val="true"/>
        <w:spacing w:lineRule="auto" w:line="240" w:before="0" w:after="0"/>
        <w:jc w:val="both"/>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sz w:val="20"/>
          <w:szCs w:val="20"/>
          <w:lang w:val="kk-KZ" w:eastAsia="ru-RU"/>
        </w:rPr>
        <w:t>Zhumataeva</w:t>
      </w:r>
      <w:r>
        <w:rPr>
          <w:rFonts w:eastAsia="Times New Roman" w:cs="Times New Roman" w:ascii="Times New Roman" w:hAnsi="Times New Roman"/>
          <w:sz w:val="20"/>
          <w:szCs w:val="20"/>
          <w:vertAlign w:val="superscript"/>
          <w:lang w:val="kk-KZ" w:eastAsia="ru-RU"/>
        </w:rPr>
        <w:t xml:space="preserve"> </w:t>
      </w:r>
      <w:r>
        <w:rPr>
          <w:rFonts w:eastAsia="Times New Roman" w:cs="Times New Roman" w:ascii="Times New Roman" w:hAnsi="Times New Roman"/>
          <w:sz w:val="20"/>
          <w:szCs w:val="20"/>
          <w:lang w:val="kk-KZ" w:eastAsia="ru-RU"/>
        </w:rPr>
        <w:t>B. -</w:t>
      </w:r>
      <w:r>
        <w:rPr>
          <w:rFonts w:eastAsia="Times New Roman" w:cs="Times New Roman" w:ascii="Times New Roman" w:hAnsi="Times New Roman"/>
          <w:sz w:val="20"/>
          <w:szCs w:val="20"/>
          <w:highlight w:val="white"/>
          <w:lang w:val="kk-KZ" w:eastAsia="ru-RU"/>
        </w:rPr>
        <w:t xml:space="preserve"> PhD</w:t>
      </w:r>
      <w:r>
        <w:rPr>
          <w:rFonts w:eastAsia="Times New Roman" w:cs="Times New Roman" w:ascii="Times New Roman" w:hAnsi="Times New Roman"/>
          <w:sz w:val="20"/>
          <w:szCs w:val="20"/>
          <w:lang w:val="kk-KZ" w:eastAsia="ru-RU"/>
        </w:rPr>
        <w:t xml:space="preserve"> of Economic Sciences, K.Kulazhanov Kazakh University of Technology and Business, Astana, Kazakhstan, e-mail: </w:t>
      </w:r>
      <w:hyperlink r:id="rId143">
        <w:r>
          <w:rPr>
            <w:rStyle w:val="Style3"/>
            <w:rFonts w:eastAsia="Times New Roman" w:cs="Times New Roman" w:ascii="Times New Roman" w:hAnsi="Times New Roman"/>
            <w:color w:val="000000"/>
            <w:sz w:val="20"/>
            <w:szCs w:val="20"/>
            <w:lang w:val="kk-KZ" w:eastAsia="ru-RU"/>
          </w:rPr>
          <w:t>bahyt_jumataeva@mail.ru</w:t>
        </w:r>
      </w:hyperlink>
      <w:r>
        <w:rPr>
          <w:rFonts w:eastAsia="Times New Roman" w:cs="Times New Roman" w:ascii="Times New Roman" w:hAnsi="Times New Roman"/>
          <w:color w:val="000000"/>
          <w:sz w:val="20"/>
          <w:szCs w:val="20"/>
          <w:lang w:val="en-US" w:eastAsia="ru-RU"/>
        </w:rPr>
        <w:t>;</w:t>
      </w:r>
    </w:p>
    <w:p>
      <w:pPr>
        <w:pStyle w:val="Normal"/>
        <w:suppressAutoHyphens w:val="true"/>
        <w:spacing w:lineRule="auto" w:line="240" w:before="0" w:after="0"/>
        <w:jc w:val="both"/>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sz w:val="20"/>
          <w:szCs w:val="20"/>
          <w:lang w:val="kk-KZ" w:eastAsia="ru-RU"/>
        </w:rPr>
        <w:t xml:space="preserve">Yusupov Y.B. - </w:t>
      </w:r>
      <w:r>
        <w:rPr>
          <w:rFonts w:eastAsia="Times New Roman" w:cs="Times New Roman" w:ascii="Times New Roman" w:hAnsi="Times New Roman"/>
          <w:sz w:val="20"/>
          <w:szCs w:val="20"/>
          <w:highlight w:val="white"/>
          <w:lang w:val="kk-KZ" w:eastAsia="ru-RU"/>
        </w:rPr>
        <w:t>PhD</w:t>
      </w:r>
      <w:r>
        <w:rPr>
          <w:rFonts w:eastAsia="Times New Roman" w:cs="Times New Roman" w:ascii="Times New Roman" w:hAnsi="Times New Roman"/>
          <w:sz w:val="20"/>
          <w:szCs w:val="20"/>
          <w:lang w:val="kk-KZ" w:eastAsia="ru-RU"/>
        </w:rPr>
        <w:t xml:space="preserve"> of Economic Sciences, Professor, K.Kulazhanov Kazakh University of Technology and Business, Astana, Kazakhstan,</w:t>
      </w:r>
      <w:r>
        <w:rPr>
          <w:rFonts w:eastAsia="Times New Roman" w:cs="Times New Roman" w:ascii="Times New Roman" w:hAnsi="Times New Roman"/>
          <w:sz w:val="20"/>
          <w:szCs w:val="20"/>
          <w:lang w:val="en-US" w:eastAsia="ru-RU"/>
        </w:rPr>
        <w:t xml:space="preserve"> </w:t>
      </w:r>
      <w:r>
        <w:rPr>
          <w:rFonts w:eastAsia="Times New Roman" w:cs="Times New Roman" w:ascii="Times New Roman" w:hAnsi="Times New Roman"/>
          <w:sz w:val="20"/>
          <w:szCs w:val="20"/>
          <w:lang w:val="kk-KZ" w:eastAsia="ru-RU"/>
        </w:rPr>
        <w:t xml:space="preserve">e-mail: </w:t>
      </w:r>
      <w:hyperlink r:id="rId144">
        <w:r>
          <w:rPr>
            <w:rStyle w:val="Style3"/>
            <w:rFonts w:eastAsia="Times New Roman" w:cs="Times New Roman" w:ascii="Times New Roman" w:hAnsi="Times New Roman"/>
            <w:color w:val="000000"/>
            <w:sz w:val="20"/>
            <w:szCs w:val="20"/>
            <w:lang w:val="kk-KZ" w:eastAsia="ru-RU"/>
          </w:rPr>
          <w:t>Nusup86@mail.ru</w:t>
        </w:r>
      </w:hyperlink>
      <w:r>
        <w:rPr>
          <w:rFonts w:eastAsia="Times New Roman" w:cs="Times New Roman" w:ascii="Times New Roman" w:hAnsi="Times New Roman"/>
          <w:color w:val="000000"/>
          <w:sz w:val="20"/>
          <w:szCs w:val="20"/>
          <w:lang w:val="en-US" w:eastAsia="ru-RU"/>
        </w:rPr>
        <w:t>;</w:t>
      </w:r>
    </w:p>
    <w:p>
      <w:pPr>
        <w:pStyle w:val="Normal"/>
        <w:suppressAutoHyphens w:val="true"/>
        <w:spacing w:lineRule="auto" w:line="240" w:before="0" w:after="0"/>
        <w:jc w:val="both"/>
        <w:rPr>
          <w:rFonts w:ascii="Times New Roman" w:hAnsi="Times New Roman" w:eastAsia="Times New Roman" w:cs="Times New Roman"/>
          <w:sz w:val="20"/>
          <w:szCs w:val="20"/>
          <w:lang w:val="en-US" w:eastAsia="ru-RU"/>
        </w:rPr>
      </w:pPr>
      <w:bookmarkStart w:id="7" w:name="_heading=h.30j0zll"/>
      <w:bookmarkEnd w:id="7"/>
      <w:r>
        <w:rPr>
          <w:rFonts w:eastAsia="Times New Roman" w:cs="Times New Roman" w:ascii="Times New Roman" w:hAnsi="Times New Roman"/>
          <w:sz w:val="20"/>
          <w:szCs w:val="20"/>
          <w:highlight w:val="white"/>
          <w:lang w:val="kk-KZ" w:eastAsia="ru-RU"/>
        </w:rPr>
        <w:t xml:space="preserve">Kabiyeva A.T. - </w:t>
      </w:r>
      <w:r>
        <w:rPr>
          <w:rFonts w:eastAsia="Times New Roman" w:cs="Times New Roman" w:ascii="Times New Roman" w:hAnsi="Times New Roman"/>
          <w:color w:val="000000"/>
          <w:sz w:val="20"/>
          <w:szCs w:val="20"/>
          <w:highlight w:val="white"/>
          <w:lang w:val="kk-KZ" w:eastAsia="ru-RU"/>
        </w:rPr>
        <w:t>PhD</w:t>
      </w:r>
      <w:r>
        <w:rPr>
          <w:rFonts w:eastAsia="Times New Roman" w:cs="Times New Roman" w:ascii="Times New Roman" w:hAnsi="Times New Roman"/>
          <w:color w:val="000000"/>
          <w:sz w:val="20"/>
          <w:szCs w:val="20"/>
          <w:lang w:val="kk-KZ" w:eastAsia="ru-RU"/>
        </w:rPr>
        <w:t xml:space="preserve"> of Economic Sciences, Аssociate professor</w:t>
      </w:r>
      <w:r>
        <w:rPr>
          <w:rFonts w:eastAsia="Times New Roman" w:cs="Times New Roman" w:ascii="Times New Roman" w:hAnsi="Times New Roman"/>
          <w:color w:val="000000"/>
          <w:sz w:val="20"/>
          <w:szCs w:val="20"/>
          <w:lang w:val="en-US" w:eastAsia="ru-RU"/>
        </w:rPr>
        <w:t>,</w:t>
      </w:r>
      <w:r>
        <w:rPr>
          <w:rFonts w:eastAsia="Times New Roman" w:cs="Times New Roman" w:ascii="Times New Roman" w:hAnsi="Times New Roman"/>
          <w:color w:val="000000"/>
          <w:sz w:val="20"/>
          <w:szCs w:val="20"/>
          <w:lang w:val="kk-KZ" w:eastAsia="ru-RU"/>
        </w:rPr>
        <w:t xml:space="preserve"> K.Kulazhanov Kazakh University of Technology and Business, Astana, Kazakhstan, </w:t>
      </w:r>
      <w:r>
        <w:rPr>
          <w:rFonts w:eastAsia="Times New Roman" w:cs="Times New Roman" w:ascii="Times New Roman" w:hAnsi="Times New Roman"/>
          <w:sz w:val="20"/>
          <w:szCs w:val="20"/>
          <w:lang w:val="kk-KZ" w:eastAsia="ru-RU"/>
        </w:rPr>
        <w:t xml:space="preserve">e-mail: </w:t>
      </w:r>
      <w:hyperlink r:id="rId145">
        <w:r>
          <w:rPr>
            <w:rStyle w:val="Style3"/>
            <w:rFonts w:eastAsia="Times New Roman" w:cs="Times New Roman" w:ascii="Times New Roman" w:hAnsi="Times New Roman"/>
            <w:color w:val="000000"/>
            <w:sz w:val="20"/>
            <w:szCs w:val="20"/>
            <w:lang w:val="kk-KZ" w:eastAsia="ru-RU"/>
          </w:rPr>
          <w:t>Asem_kt_1985@mail.ru</w:t>
        </w:r>
      </w:hyperlink>
      <w:r>
        <w:rPr>
          <w:rFonts w:eastAsia="Times New Roman" w:cs="Times New Roman" w:ascii="Times New Roman" w:hAnsi="Times New Roman"/>
          <w:color w:val="000000"/>
          <w:sz w:val="20"/>
          <w:szCs w:val="20"/>
          <w:lang w:val="en-US" w:eastAsia="ru-RU"/>
        </w:rPr>
        <w:t>.</w:t>
      </w:r>
      <w:r>
        <w:rPr>
          <w:rFonts w:eastAsia="Calibri" w:cs="Times New Roman" w:ascii="Times New Roman" w:hAnsi="Times New Roman"/>
          <w:sz w:val="20"/>
          <w:szCs w:val="20"/>
          <w:vertAlign w:val="superscript"/>
          <w:lang w:val="kk-KZ" w:eastAsia="ru-RU"/>
        </w:rPr>
        <w:t xml:space="preserve"> </w:t>
      </w:r>
    </w:p>
    <w:p>
      <w:pPr>
        <w:pStyle w:val="Normal"/>
        <w:suppressAutoHyphens w:val="true"/>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uppressAutoHyphens w:val="true"/>
        <w:spacing w:lineRule="auto" w:line="240" w:before="0" w:after="0"/>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МРНТИ</w:t>
      </w:r>
      <w:r>
        <w:rPr>
          <w:rFonts w:eastAsia="Aptos" w:cs="Times New Roman" w:ascii="Times New Roman" w:hAnsi="Times New Roman"/>
          <w:kern w:val="2"/>
          <w:sz w:val="24"/>
          <w:szCs w:val="24"/>
          <w:lang w:val="en-US"/>
          <w14:ligatures w14:val="standardContextual"/>
        </w:rPr>
        <w:t xml:space="preserve"> 06.52.13</w:t>
      </w:r>
    </w:p>
    <w:p>
      <w:pPr>
        <w:pStyle w:val="Normal"/>
        <w:suppressAutoHyphens w:val="true"/>
        <w:spacing w:lineRule="auto" w:line="240" w:before="0" w:after="0"/>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jc w:val="center"/>
        <w:rPr>
          <w:rFonts w:ascii="Times New Roman" w:hAnsi="Times New Roman" w:eastAsia="Aptos" w:cs="Times New Roman"/>
          <w:b/>
          <w:bCs/>
          <w:kern w:val="2"/>
          <w:lang w:val="en-US"/>
          <w14:ligatures w14:val="standardContextual"/>
        </w:rPr>
      </w:pPr>
      <w:r>
        <w:rPr>
          <w:rFonts w:eastAsia="Aptos" w:cs="Times New Roman" w:ascii="Times New Roman" w:hAnsi="Times New Roman"/>
          <w:b/>
          <w:bCs/>
          <w:kern w:val="2"/>
          <w:lang w:val="en-US"/>
          <w14:ligatures w14:val="standardContextual"/>
        </w:rPr>
        <w:t>ECONOMIC EFFICIENCY OF IMPLEMENTING INNOVATIVE TECHNOLOGIES IN AGRICULTURAL ENTERPRISES: INTERNATIONAL EXPERIENCE AND A MODEL FOR KAZAKHSTAN</w:t>
      </w:r>
    </w:p>
    <w:p>
      <w:pPr>
        <w:pStyle w:val="Normal"/>
        <w:suppressAutoHyphens w:val="true"/>
        <w:spacing w:lineRule="auto" w:line="240" w:before="0" w:after="0"/>
        <w:jc w:val="center"/>
        <w:rPr>
          <w:rFonts w:ascii="Times New Roman" w:hAnsi="Times New Roman" w:eastAsia="Aptos" w:cs="Times New Roman"/>
          <w:b/>
          <w:bCs/>
          <w:kern w:val="2"/>
          <w:lang w:val="en-US"/>
          <w14:ligatures w14:val="standardContextual"/>
        </w:rPr>
      </w:pPr>
      <w:r>
        <w:rPr>
          <w:rFonts w:eastAsia="Aptos" w:cs="Times New Roman" w:ascii="Times New Roman" w:hAnsi="Times New Roman"/>
          <w:b/>
          <w:bCs/>
          <w:kern w:val="2"/>
          <w:lang w:val="en-US"/>
          <w14:ligatures w14:val="standardContextual"/>
        </w:rPr>
      </w:r>
    </w:p>
    <w:p>
      <w:pPr>
        <w:pStyle w:val="NormalWeb"/>
        <w:spacing w:lineRule="auto" w:line="240" w:before="0" w:after="0"/>
        <w:jc w:val="center"/>
        <w:rPr>
          <w:b/>
          <w:bCs/>
          <w:kern w:val="2"/>
          <w:sz w:val="22"/>
          <w:szCs w:val="22"/>
          <w:lang w:val="en-US"/>
          <w14:ligatures w14:val="standardContextual"/>
        </w:rPr>
      </w:pPr>
      <w:r>
        <w:rPr>
          <w:b/>
          <w:bCs/>
          <w:kern w:val="2"/>
          <w:sz w:val="22"/>
          <w:szCs w:val="22"/>
          <w:vertAlign w:val="superscript"/>
          <w:lang w:val="en-US"/>
          <w14:ligatures w14:val="standardContextual"/>
        </w:rPr>
        <w:t>1</w:t>
      </w:r>
      <w:r>
        <w:rPr>
          <w:rFonts w:eastAsia="Aptos"/>
          <w:b/>
          <w:bCs/>
          <w:kern w:val="2"/>
          <w:sz w:val="22"/>
          <w:szCs w:val="22"/>
          <w:lang w:val="en-US"/>
          <w14:ligatures w14:val="standardContextual"/>
        </w:rPr>
        <w:t>A.Bektaev</w:t>
      </w:r>
      <w:r>
        <w:rPr/>
        <w:drawing>
          <wp:inline distT="0" distB="0" distL="0" distR="0">
            <wp:extent cx="137160" cy="137160"/>
            <wp:effectExtent l="0" t="0" r="0" b="0"/>
            <wp:docPr id="23" name="Рисунок 36" descr="D:\Desktop\иконка.pn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36" descr="D:\Desktop\иконка.png">
                      <a:hlinkClick r:id="rId147"/>
                    </pic:cNvPr>
                    <pic:cNvPicPr>
                      <a:picLocks noChangeAspect="1" noChangeArrowheads="1"/>
                    </pic:cNvPicPr>
                  </pic:nvPicPr>
                  <pic:blipFill>
                    <a:blip r:embed="rId146"/>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kern w:val="2"/>
          <w:sz w:val="22"/>
          <w:szCs w:val="22"/>
          <w:vertAlign w:val="superscript"/>
          <w14:ligatures w14:val="standardContextual"/>
        </w:rPr>
        <w:sym w:font="Wingdings" w:char="f02a"/>
      </w:r>
      <w:r>
        <w:rPr>
          <w:b/>
          <w:bCs/>
          <w:kern w:val="2"/>
          <w:sz w:val="22"/>
          <w:szCs w:val="22"/>
          <w:lang w:val="en-US"/>
          <w14:ligatures w14:val="standardContextual"/>
        </w:rPr>
        <w:t>,</w:t>
      </w:r>
      <w:r>
        <w:rPr>
          <w:b/>
          <w:bCs/>
          <w:kern w:val="2"/>
          <w:sz w:val="22"/>
          <w:szCs w:val="22"/>
          <w:vertAlign w:val="superscript"/>
          <w:lang w:val="en-US"/>
          <w14:ligatures w14:val="standardContextual"/>
        </w:rPr>
        <w:t xml:space="preserve"> 1</w:t>
      </w:r>
      <w:r>
        <w:rPr>
          <w:rFonts w:eastAsia="Aptos"/>
          <w:b/>
          <w:bCs/>
          <w:kern w:val="2"/>
          <w:sz w:val="22"/>
          <w:szCs w:val="22"/>
          <w:lang w:val="en-US"/>
          <w14:ligatures w14:val="standardContextual"/>
        </w:rPr>
        <w:t>G.Saparova</w:t>
      </w:r>
      <w:r>
        <w:rPr/>
        <w:drawing>
          <wp:inline distT="0" distB="0" distL="0" distR="0">
            <wp:extent cx="137160" cy="137160"/>
            <wp:effectExtent l="0" t="0" r="0" b="0"/>
            <wp:docPr id="24" name="Рисунок 37" descr="D:\Desktop\иконка.png">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37" descr="D:\Desktop\иконка.png">
                      <a:hlinkClick r:id="rId149"/>
                    </pic:cNvPr>
                    <pic:cNvPicPr>
                      <a:picLocks noChangeAspect="1" noChangeArrowheads="1"/>
                    </pic:cNvPicPr>
                  </pic:nvPicPr>
                  <pic:blipFill>
                    <a:blip r:embed="rId148"/>
                    <a:stretch>
                      <a:fillRect/>
                    </a:stretch>
                  </pic:blipFill>
                  <pic:spPr bwMode="auto">
                    <a:xfrm>
                      <a:off x="0" y="0"/>
                      <a:ext cx="137160" cy="137160"/>
                    </a:xfrm>
                    <a:prstGeom prst="rect">
                      <a:avLst/>
                    </a:prstGeom>
                    <a:noFill/>
                  </pic:spPr>
                </pic:pic>
              </a:graphicData>
            </a:graphic>
          </wp:inline>
        </w:drawing>
      </w:r>
      <w:r>
        <w:rPr>
          <w:b/>
          <w:bCs/>
          <w:kern w:val="2"/>
          <w:sz w:val="22"/>
          <w:szCs w:val="22"/>
          <w:lang w:val="en-US"/>
          <w14:ligatures w14:val="standardContextual"/>
        </w:rPr>
        <w:t>,</w:t>
      </w:r>
      <w:r>
        <w:rPr>
          <w:b/>
          <w:bCs/>
          <w:kern w:val="2"/>
          <w:sz w:val="22"/>
          <w:szCs w:val="22"/>
          <w:vertAlign w:val="superscript"/>
          <w:lang w:val="en-US"/>
          <w14:ligatures w14:val="standardContextual"/>
        </w:rPr>
        <w:t xml:space="preserve"> 2</w:t>
      </w:r>
      <w:r>
        <w:rPr>
          <w:rFonts w:eastAsia="Aptos"/>
          <w:b/>
          <w:bCs/>
          <w:kern w:val="2"/>
          <w:sz w:val="22"/>
          <w:szCs w:val="22"/>
          <w:lang w:val="en-US"/>
          <w14:ligatures w14:val="standardContextual"/>
        </w:rPr>
        <w:t>M.Raikhan</w:t>
      </w:r>
      <w:r>
        <w:rPr/>
        <w:drawing>
          <wp:inline distT="0" distB="0" distL="0" distR="0">
            <wp:extent cx="137160" cy="137160"/>
            <wp:effectExtent l="0" t="0" r="0" b="0"/>
            <wp:docPr id="25" name="Рисунок 38" descr="D:\Desktop\иконка.png">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38" descr="D:\Desktop\иконка.png">
                      <a:hlinkClick r:id="rId151"/>
                    </pic:cNvPr>
                    <pic:cNvPicPr>
                      <a:picLocks noChangeAspect="1" noChangeArrowheads="1"/>
                    </pic:cNvPicPr>
                  </pic:nvPicPr>
                  <pic:blipFill>
                    <a:blip r:embed="rId150"/>
                    <a:stretch>
                      <a:fillRect/>
                    </a:stretch>
                  </pic:blipFill>
                  <pic:spPr bwMode="auto">
                    <a:xfrm>
                      <a:off x="0" y="0"/>
                      <a:ext cx="137160" cy="137160"/>
                    </a:xfrm>
                    <a:prstGeom prst="rect">
                      <a:avLst/>
                    </a:prstGeom>
                    <a:noFill/>
                  </pic:spPr>
                </pic:pic>
              </a:graphicData>
            </a:graphic>
          </wp:inline>
        </w:drawing>
      </w:r>
      <w:r>
        <w:rPr>
          <w:b/>
          <w:bCs/>
          <w:kern w:val="2"/>
          <w:sz w:val="22"/>
          <w:szCs w:val="22"/>
          <w:lang w:val="en-US"/>
          <w14:ligatures w14:val="standardContextual"/>
        </w:rPr>
        <w:t>,</w:t>
      </w:r>
      <w:r>
        <w:rPr>
          <w:b/>
          <w:bCs/>
          <w:kern w:val="2"/>
          <w:sz w:val="22"/>
          <w:szCs w:val="22"/>
          <w:vertAlign w:val="superscript"/>
          <w:lang w:val="en-US"/>
          <w14:ligatures w14:val="standardContextual"/>
        </w:rPr>
        <w:t xml:space="preserve"> 1</w:t>
      </w:r>
      <w:r>
        <w:rPr>
          <w:rFonts w:eastAsia="Aptos"/>
          <w:b/>
          <w:bCs/>
          <w:kern w:val="2"/>
          <w:sz w:val="22"/>
          <w:szCs w:val="22"/>
          <w:lang w:val="en-US"/>
          <w14:ligatures w14:val="standardContextual"/>
        </w:rPr>
        <w:t>A. Atyzova</w:t>
      </w:r>
      <w:r>
        <w:rPr/>
        <w:drawing>
          <wp:inline distT="0" distB="0" distL="0" distR="0">
            <wp:extent cx="137160" cy="137160"/>
            <wp:effectExtent l="0" t="0" r="0" b="0"/>
            <wp:docPr id="26" name="Рисунок 39" descr="D:\Desktop\иконка.png">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39" descr="D:\Desktop\иконка.png">
                      <a:hlinkClick r:id="rId153"/>
                    </pic:cNvPr>
                    <pic:cNvPicPr>
                      <a:picLocks noChangeAspect="1" noChangeArrowheads="1"/>
                    </pic:cNvPicPr>
                  </pic:nvPicPr>
                  <pic:blipFill>
                    <a:blip r:embed="rId152"/>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kern w:val="2"/>
          <w:sz w:val="22"/>
          <w:szCs w:val="22"/>
          <w:vertAlign w:val="superscript"/>
          <w14:ligatures w14:val="standardContextual"/>
        </w:rPr>
        <w:sym w:font="Wingdings" w:char="f02a"/>
      </w:r>
      <w:r>
        <w:rPr>
          <w:b/>
          <w:bCs/>
          <w:kern w:val="2"/>
          <w:sz w:val="22"/>
          <w:szCs w:val="22"/>
          <w:lang w:val="en-US"/>
          <w14:ligatures w14:val="standardContextual"/>
        </w:rPr>
        <w:t>,</w:t>
      </w:r>
      <w:r>
        <w:rPr>
          <w:b/>
          <w:bCs/>
          <w:kern w:val="2"/>
          <w:sz w:val="22"/>
          <w:szCs w:val="22"/>
          <w:vertAlign w:val="superscript"/>
          <w:lang w:val="en-US"/>
          <w14:ligatures w14:val="standardContextual"/>
        </w:rPr>
        <w:t xml:space="preserve"> 3</w:t>
      </w:r>
      <w:r>
        <w:rPr>
          <w:rFonts w:eastAsia="Aptos"/>
          <w:b/>
          <w:bCs/>
          <w:kern w:val="2"/>
          <w:sz w:val="22"/>
          <w:szCs w:val="22"/>
          <w:lang w:val="en-US"/>
          <w14:ligatures w14:val="standardContextual"/>
        </w:rPr>
        <w:t>S.Bespalyy</w:t>
      </w:r>
      <w:r>
        <w:rPr/>
        <w:drawing>
          <wp:inline distT="0" distB="0" distL="0" distR="0">
            <wp:extent cx="137160" cy="137160"/>
            <wp:effectExtent l="0" t="0" r="0" b="0"/>
            <wp:docPr id="27" name="Рисунок 40" descr="D:\Desktop\иконка.png">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40" descr="D:\Desktop\иконка.png">
                      <a:hlinkClick r:id="rId155"/>
                    </pic:cNvPr>
                    <pic:cNvPicPr>
                      <a:picLocks noChangeAspect="1" noChangeArrowheads="1"/>
                    </pic:cNvPicPr>
                  </pic:nvPicPr>
                  <pic:blipFill>
                    <a:blip r:embed="rId154"/>
                    <a:stretch>
                      <a:fillRect/>
                    </a:stretch>
                  </pic:blipFill>
                  <pic:spPr bwMode="auto">
                    <a:xfrm>
                      <a:off x="0" y="0"/>
                      <a:ext cx="137160" cy="137160"/>
                    </a:xfrm>
                    <a:prstGeom prst="rect">
                      <a:avLst/>
                    </a:prstGeom>
                    <a:noFill/>
                  </pic:spPr>
                </pic:pic>
              </a:graphicData>
            </a:graphic>
          </wp:inline>
        </w:drawing>
      </w:r>
      <w:r>
        <w:rPr>
          <w:b/>
          <w:bCs/>
          <w:kern w:val="2"/>
          <w:sz w:val="22"/>
          <w:szCs w:val="22"/>
          <w:lang w:val="en-US"/>
          <w14:ligatures w14:val="standardContextual"/>
        </w:rPr>
        <w:t>,</w:t>
      </w:r>
    </w:p>
    <w:p>
      <w:pPr>
        <w:pStyle w:val="NormalWeb"/>
        <w:spacing w:lineRule="auto" w:line="240" w:before="0" w:after="0"/>
        <w:jc w:val="center"/>
        <w:rPr>
          <w:rFonts w:eastAsia="Aptos"/>
          <w:i/>
          <w:i/>
          <w:iCs/>
          <w:kern w:val="2"/>
          <w:sz w:val="20"/>
          <w:szCs w:val="20"/>
          <w:lang w:val="en-US"/>
          <w14:ligatures w14:val="standardContextual"/>
        </w:rPr>
      </w:pPr>
      <w:r>
        <w:rPr>
          <w:b/>
          <w:bCs/>
          <w:kern w:val="2"/>
          <w:sz w:val="22"/>
          <w:szCs w:val="22"/>
          <w:vertAlign w:val="superscript"/>
          <w:lang w:val="kk-KZ"/>
          <w14:ligatures w14:val="standardContextual"/>
        </w:rPr>
        <w:t>1</w:t>
      </w:r>
      <w:r>
        <w:rPr>
          <w:rFonts w:eastAsia="Aptos"/>
          <w:b/>
          <w:kern w:val="2"/>
          <w:sz w:val="22"/>
          <w:szCs w:val="22"/>
          <w:lang w:val="en-US"/>
          <w14:ligatures w14:val="standardContextual"/>
        </w:rPr>
        <w:t>B.Serikbayeva</w:t>
      </w:r>
      <w:r>
        <w:rPr/>
        <w:drawing>
          <wp:inline distT="0" distB="0" distL="0" distR="0">
            <wp:extent cx="137160" cy="137160"/>
            <wp:effectExtent l="0" t="0" r="0" b="0"/>
            <wp:docPr id="28" name="Рисунок 41" descr="D:\Desktop\иконка.png">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41" descr="D:\Desktop\иконка.png">
                      <a:hlinkClick r:id="rId157"/>
                    </pic:cNvPr>
                    <pic:cNvPicPr>
                      <a:picLocks noChangeAspect="1" noChangeArrowheads="1"/>
                    </pic:cNvPicPr>
                  </pic:nvPicPr>
                  <pic:blipFill>
                    <a:blip r:embed="rId156"/>
                    <a:stretch>
                      <a:fillRect/>
                    </a:stretch>
                  </pic:blipFill>
                  <pic:spPr bwMode="auto">
                    <a:xfrm>
                      <a:off x="0" y="0"/>
                      <a:ext cx="137160" cy="137160"/>
                    </a:xfrm>
                    <a:prstGeom prst="rect">
                      <a:avLst/>
                    </a:prstGeom>
                    <a:noFill/>
                  </pic:spPr>
                </pic:pic>
              </a:graphicData>
            </a:graphic>
          </wp:inline>
        </w:drawing>
      </w:r>
      <w:r>
        <w:rPr>
          <w:rFonts w:eastAsia="Aptos"/>
          <w:kern w:val="2"/>
          <w:lang w:val="en-US"/>
          <w14:ligatures w14:val="standardContextual"/>
        </w:rPr>
        <w:br/>
      </w:r>
      <w:r>
        <w:rPr>
          <w:b/>
          <w:bCs/>
          <w:i/>
          <w:iCs/>
          <w:kern w:val="2"/>
          <w:sz w:val="20"/>
          <w:szCs w:val="20"/>
          <w:vertAlign w:val="superscript"/>
          <w:lang w:val="en-US"/>
          <w14:ligatures w14:val="standardContextual"/>
        </w:rPr>
        <w:t>1</w:t>
      </w:r>
      <w:r>
        <w:rPr>
          <w:rFonts w:eastAsia="Aptos"/>
          <w:i/>
          <w:iCs/>
          <w:kern w:val="2"/>
          <w:sz w:val="20"/>
          <w:szCs w:val="20"/>
          <w:lang w:val="en-US"/>
          <w14:ligatures w14:val="standardContextual"/>
        </w:rPr>
        <w:t>Turan-Astana University, Astana, Kazakhstan?</w:t>
        <w:br/>
      </w:r>
      <w:r>
        <w:rPr>
          <w:b/>
          <w:bCs/>
          <w:i/>
          <w:iCs/>
          <w:kern w:val="2"/>
          <w:sz w:val="20"/>
          <w:szCs w:val="20"/>
          <w:vertAlign w:val="superscript"/>
          <w:lang w:val="en-US"/>
          <w14:ligatures w14:val="standardContextual"/>
        </w:rPr>
        <w:t>2</w:t>
      </w:r>
      <w:r>
        <w:rPr>
          <w:rFonts w:eastAsia="Aptos"/>
          <w:i/>
          <w:iCs/>
          <w:kern w:val="2"/>
          <w:sz w:val="20"/>
          <w:szCs w:val="20"/>
          <w:lang w:val="en-US"/>
          <w14:ligatures w14:val="standardContextual"/>
        </w:rPr>
        <w:t>Republican Research Institute for Occupational Safety, Ministry of Labor and Social Protection of the Population of the Republic of Kazakhstan, Astana, Kazakhstan,</w:t>
        <w:br/>
      </w:r>
      <w:r>
        <w:rPr>
          <w:b/>
          <w:bCs/>
          <w:i/>
          <w:iCs/>
          <w:kern w:val="2"/>
          <w:sz w:val="20"/>
          <w:szCs w:val="20"/>
          <w:vertAlign w:val="superscript"/>
          <w:lang w:val="en-US"/>
          <w14:ligatures w14:val="standardContextual"/>
        </w:rPr>
        <w:t>3</w:t>
      </w:r>
      <w:r>
        <w:rPr>
          <w:rFonts w:eastAsia="Aptos"/>
          <w:i/>
          <w:iCs/>
          <w:kern w:val="2"/>
          <w:sz w:val="20"/>
          <w:szCs w:val="20"/>
          <w:lang w:val="en-US"/>
          <w14:ligatures w14:val="standardContextual"/>
        </w:rPr>
        <w:t>Toraygyrov University, Pavlodar, Kazakhstan</w:t>
      </w:r>
    </w:p>
    <w:p>
      <w:pPr>
        <w:pStyle w:val="NormalWeb"/>
        <w:spacing w:lineRule="auto" w:line="240" w:before="0" w:after="0"/>
        <w:jc w:val="center"/>
        <w:rPr>
          <w:rFonts w:eastAsia="Times New Roman"/>
          <w:sz w:val="22"/>
          <w:szCs w:val="22"/>
          <w:lang w:val="en-US" w:eastAsia="ru-RU"/>
        </w:rPr>
      </w:pPr>
      <w:r>
        <w:rPr>
          <w:rFonts w:eastAsia="Times New Roman"/>
          <w:sz w:val="22"/>
          <w:szCs w:val="22"/>
          <w:lang w:val="en-US" w:eastAsia="ru-RU"/>
        </w:rPr>
      </w:r>
    </w:p>
    <w:p>
      <w:pPr>
        <w:pStyle w:val="Normal"/>
        <w:suppressAutoHyphens w:val="true"/>
        <w:spacing w:lineRule="auto" w:line="240" w:before="0" w:after="0"/>
        <w:rPr>
          <w:rFonts w:ascii="Times New Roman" w:hAnsi="Times New Roman" w:eastAsia="Aptos" w:cs="Times New Roman"/>
          <w:kern w:val="2"/>
          <w:sz w:val="18"/>
          <w:szCs w:val="18"/>
          <w:lang w:val="en-US"/>
          <w14:ligatures w14:val="standardContextual"/>
        </w:rPr>
      </w:pPr>
      <w:r>
        <w:rPr>
          <w:rFonts w:eastAsia="Wingdings" w:cs="Wingdings" w:ascii="Wingdings" w:hAnsi="Wingdings"/>
          <w:b/>
          <w:bCs/>
          <w:color w:val="1F497D"/>
          <w:kern w:val="2"/>
          <w:sz w:val="20"/>
          <w:szCs w:val="20"/>
          <w:vertAlign w:val="superscript"/>
          <w14:ligatures w14:val="standardContextual"/>
        </w:rPr>
        <w:sym w:font="Wingdings" w:char="f02a"/>
      </w:r>
      <w:r>
        <w:rPr>
          <w:rFonts w:eastAsia="Aptos" w:cs="Times New Roman" w:ascii="Times New Roman" w:hAnsi="Times New Roman"/>
          <w:kern w:val="2"/>
          <w:sz w:val="20"/>
          <w:szCs w:val="20"/>
          <w:lang w:val="en-US"/>
          <w14:ligatures w14:val="standardContextual"/>
        </w:rPr>
        <w:t xml:space="preserve">Corresponding author: </w:t>
      </w:r>
      <w:hyperlink r:id="rId158">
        <w:bookmarkStart w:id="8" w:name="_Hlk201583074"/>
        <w:r>
          <w:rPr>
            <w:rStyle w:val="Style3"/>
            <w:rFonts w:eastAsia="Aptos" w:cs="Times New Roman" w:ascii="Times New Roman" w:hAnsi="Times New Roman"/>
            <w:kern w:val="2"/>
            <w:sz w:val="20"/>
            <w:szCs w:val="20"/>
            <w:lang w:val="en-US"/>
            <w14:ligatures w14:val="standardContextual"/>
          </w:rPr>
          <w:t>bektaev_alibek@mail.ru</w:t>
        </w:r>
      </w:hyperlink>
      <w:bookmarkEnd w:id="8"/>
      <w:r>
        <w:rPr>
          <w:rFonts w:eastAsia="Aptos" w:cs="Times New Roman" w:ascii="Times New Roman" w:hAnsi="Times New Roman"/>
          <w:kern w:val="2"/>
          <w:sz w:val="20"/>
          <w:szCs w:val="20"/>
          <w:lang w:val="en-US"/>
          <w14:ligatures w14:val="standardContextual"/>
        </w:rPr>
        <w:t xml:space="preserve">, </w:t>
      </w:r>
      <w:r>
        <w:rPr>
          <w:rFonts w:eastAsia="Aptos" w:cs="Times New Roman" w:ascii="Times New Roman" w:hAnsi="Times New Roman"/>
          <w:kern w:val="2"/>
          <w:sz w:val="20"/>
          <w:szCs w:val="20"/>
          <w:lang w:val="kk-KZ"/>
          <w14:ligatures w14:val="standardContextual"/>
        </w:rPr>
        <w:t>asel_ramazanova@bk.ru</w:t>
      </w:r>
      <w:r>
        <w:rPr>
          <w:rFonts w:eastAsia="Aptos" w:cs="Times New Roman" w:ascii="Times New Roman" w:hAnsi="Times New Roman"/>
          <w:kern w:val="2"/>
          <w:sz w:val="18"/>
          <w:szCs w:val="18"/>
          <w:lang w:val="en-US"/>
          <w14:ligatures w14:val="standardContextual"/>
        </w:rPr>
        <w:br/>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This article presents a comprehensive assessment of the economic efficiency of implementing innovative technologies in the agricultural sector, based on a systematic analysis of international practices and the development of an adaptive model for the Republic of Kazakhstan.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study focuses on agricultural enterprises in seven countries with varying levels of innovation-namely, the United States, the Netherlands, Israel, Germany, China, India, and Brazil-during the period from 2018 to 2024. A comparative analysis revealed substantial disparities in innovation adoption rates: 75-85% in developed countries, 30-50% in developing economies, and less than 5% in Kazakhstan.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 strong positive correlation was established between the level of innovation activity and key economic performance indicators, including labor productivity, return on investment (ROI), and export competitiveness. For instance, ROI in the Netherlands reaches 300%, whereas in Kazakhstan it remains at only 80%.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study identifies essential institutional, technological, and organizational determinants for successful innovation adoption, such as the effective integration of science, business, and government; the presence of innovation infrastructure; availability of qualified human capital; access to financing mechanisms; and export-oriented strategies.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 diagnostic analysis of Kazakhstan’s agricultural sector reveals significant institutional and infrastructural constraints, including inefficient allocation of state support (with a predominance of direct subsidies), weak science-industry cooperation, and limited access to advanced agro-technologies.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In response to these challenges, a five-component innovation development model is proposed, comprising institutional, technological, financial, educational, and infrastructural modules. The model outlines a phased implementation mechanism with measurable indicators of progress and emphasizes the importance of fostering public-private partnerships.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Forecasts for the model’s implementation by 2033 indicate the potential to increase the share of innovation-active enterprises to 40%, boost labor productivity by 150-200%, reduce production costs by 20-30%, and double or triple agricultural exports.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study contributes to the literature on agricultural economics by offering a systematic framework for innovation-driven development in emerging agricultural economies.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kk-KZ"/>
          <w14:ligatures w14:val="standardContextual"/>
        </w:rPr>
      </w:pPr>
      <w:r>
        <w:rPr>
          <w:rFonts w:eastAsia="Aptos" w:cs="Times New Roman" w:ascii="Times New Roman" w:hAnsi="Times New Roman"/>
          <w:b/>
          <w:bCs/>
          <w:kern w:val="2"/>
          <w:sz w:val="24"/>
          <w:szCs w:val="24"/>
          <w:lang w:val="en-US"/>
          <w14:ligatures w14:val="standardContextual"/>
        </w:rPr>
        <w:t>Keywords:</w:t>
      </w:r>
      <w:r>
        <w:rPr>
          <w:rFonts w:eastAsia="Aptos" w:cs="Times New Roman" w:ascii="Times New Roman" w:hAnsi="Times New Roman"/>
          <w:kern w:val="2"/>
          <w:sz w:val="24"/>
          <w:szCs w:val="24"/>
          <w:lang w:val="en-US"/>
          <w14:ligatures w14:val="standardContextual"/>
        </w:rPr>
        <w:t xml:space="preserve"> agricultural innovation, economic efficiency, technology adoption, productivity growth, Kazakhstan agriculture, international experience, innovation model, agricultural modernization, sustainable development, agribusiness transformation.</w:t>
      </w:r>
    </w:p>
    <w:p>
      <w:pPr>
        <w:pStyle w:val="Normal"/>
        <w:suppressAutoHyphens w:val="true"/>
        <w:spacing w:lineRule="auto" w:line="240" w:before="0" w:after="0"/>
        <w:ind w:firstLine="567"/>
        <w:jc w:val="both"/>
        <w:rPr>
          <w:rFonts w:ascii="Times New Roman" w:hAnsi="Times New Roman" w:eastAsia="Aptos" w:cs="Times New Roman"/>
          <w:kern w:val="2"/>
          <w:lang w:val="kk-KZ"/>
          <w14:ligatures w14:val="standardContextual"/>
        </w:rPr>
      </w:pPr>
      <w:r>
        <w:rPr>
          <w:rFonts w:eastAsia="Aptos" w:cs="Times New Roman" w:ascii="Times New Roman" w:hAnsi="Times New Roman"/>
          <w:kern w:val="2"/>
          <w:lang w:val="kk-KZ"/>
          <w14:ligatures w14:val="standardContextual"/>
        </w:rPr>
      </w:r>
    </w:p>
    <w:p>
      <w:pPr>
        <w:pStyle w:val="Normal"/>
        <w:suppressAutoHyphens w:val="true"/>
        <w:spacing w:lineRule="auto" w:line="240" w:before="0" w:after="0"/>
        <w:ind w:firstLine="567"/>
        <w:jc w:val="center"/>
        <w:rPr>
          <w:rFonts w:ascii="Times New Roman" w:hAnsi="Times New Roman" w:eastAsia="Aptos" w:cs="Times New Roman"/>
          <w:b/>
          <w:bCs/>
          <w:kern w:val="2"/>
          <w14:ligatures w14:val="standardContextual"/>
        </w:rPr>
      </w:pPr>
      <w:r>
        <w:rPr>
          <w:rFonts w:eastAsia="Aptos" w:cs="Times New Roman" w:ascii="Times New Roman" w:hAnsi="Times New Roman"/>
          <w:b/>
          <w:bCs/>
          <w:kern w:val="2"/>
          <w14:ligatures w14:val="standardContextual"/>
        </w:rPr>
        <w:t>ЭКОНОМИЧЕСКАЯ ЭФФЕКТИВНОСТЬ ВНЕДРЕНИЯ ИННОВАЦИОННЫХ ТЕХНОЛОГИЙ В АГРАРНЫЕ ПРЕДПРИЯТИЯ: МЕЖДУНАРОДНЫЙ ОПЫТ И МОДЕЛЬ ДЛЯ КАЗАХСТАНА</w:t>
      </w:r>
    </w:p>
    <w:p>
      <w:pPr>
        <w:pStyle w:val="Normal"/>
        <w:suppressAutoHyphens w:val="true"/>
        <w:spacing w:lineRule="auto" w:line="240" w:before="0" w:after="0"/>
        <w:ind w:firstLine="567"/>
        <w:jc w:val="center"/>
        <w:rPr>
          <w:rFonts w:ascii="Times New Roman" w:hAnsi="Times New Roman" w:eastAsia="Aptos" w:cs="Times New Roman"/>
          <w:b/>
          <w:bCs/>
          <w:kern w:val="2"/>
          <w14:ligatures w14:val="standardContextual"/>
        </w:rPr>
      </w:pPr>
      <w:r>
        <w:rPr>
          <w:rFonts w:eastAsia="Aptos" w:cs="Times New Roman" w:ascii="Times New Roman" w:hAnsi="Times New Roman"/>
          <w:b/>
          <w:bCs/>
          <w:kern w:val="2"/>
          <w14:ligatures w14:val="standardContextual"/>
        </w:rPr>
      </w:r>
    </w:p>
    <w:p>
      <w:pPr>
        <w:pStyle w:val="Normal"/>
        <w:suppressAutoHyphens w:val="true"/>
        <w:spacing w:lineRule="auto" w:line="240" w:before="0" w:after="0"/>
        <w:jc w:val="center"/>
        <w:rPr>
          <w:rFonts w:ascii="Times New Roman" w:hAnsi="Times New Roman" w:eastAsia="Calibri" w:cs="Times New Roman"/>
          <w:b/>
          <w:bCs/>
          <w:kern w:val="2"/>
          <w:vertAlign w:val="superscript"/>
          <w:lang w:val="kk-KZ"/>
          <w14:ligatures w14:val="standardContextual"/>
        </w:rPr>
      </w:pPr>
      <w:r>
        <w:rPr>
          <w:rFonts w:eastAsia="Calibri" w:cs="Times New Roman" w:ascii="Times New Roman" w:hAnsi="Times New Roman"/>
          <w:b/>
          <w:bCs/>
          <w:kern w:val="2"/>
          <w:vertAlign w:val="superscript"/>
          <w14:ligatures w14:val="standardContextual"/>
        </w:rPr>
        <w:t>1</w:t>
      </w:r>
      <w:r>
        <w:rPr>
          <w:rFonts w:eastAsia="Aptos" w:cs="Times New Roman" w:ascii="Times New Roman" w:hAnsi="Times New Roman"/>
          <w:b/>
          <w:kern w:val="2"/>
          <w14:ligatures w14:val="standardContextual"/>
        </w:rPr>
        <w:t>А.</w:t>
      </w:r>
      <w:r>
        <w:rPr>
          <w:rFonts w:eastAsia="Aptos" w:cs="Times New Roman" w:ascii="Times New Roman" w:hAnsi="Times New Roman"/>
          <w:b/>
          <w:kern w:val="2"/>
          <w:lang w:val="kk-KZ"/>
          <w14:ligatures w14:val="standardContextual"/>
        </w:rPr>
        <w:t xml:space="preserve">К. </w:t>
      </w:r>
      <w:r>
        <w:rPr>
          <w:rFonts w:eastAsia="Aptos" w:cs="Times New Roman" w:ascii="Times New Roman" w:hAnsi="Times New Roman"/>
          <w:b/>
          <w:kern w:val="2"/>
          <w14:ligatures w14:val="standardContextual"/>
        </w:rPr>
        <w:t>Бектаев</w:t>
      </w:r>
      <w:r>
        <w:rPr>
          <w:rFonts w:eastAsia="Wingdings" w:cs="Wingdings" w:ascii="Wingdings" w:hAnsi="Wingdings"/>
          <w:b/>
          <w:bCs/>
          <w:color w:val="1F497D"/>
          <w:kern w:val="2"/>
          <w:vertAlign w:val="superscript"/>
          <w14:ligatures w14:val="standardContextual"/>
        </w:rPr>
        <w:sym w:font="Wingdings" w:char="f02a"/>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1</w:t>
      </w:r>
      <w:r>
        <w:rPr>
          <w:rFonts w:eastAsia="Aptos" w:cs="Times New Roman" w:ascii="Times New Roman" w:hAnsi="Times New Roman"/>
          <w:b/>
          <w:kern w:val="2"/>
          <w14:ligatures w14:val="standardContextual"/>
        </w:rPr>
        <w:t xml:space="preserve"> Г.</w:t>
      </w:r>
      <w:r>
        <w:rPr>
          <w:rFonts w:eastAsia="Aptos" w:cs="Times New Roman" w:ascii="Times New Roman" w:hAnsi="Times New Roman"/>
          <w:b/>
          <w:kern w:val="2"/>
          <w:lang w:val="kk-KZ"/>
          <w14:ligatures w14:val="standardContextual"/>
        </w:rPr>
        <w:t xml:space="preserve">К. </w:t>
      </w:r>
      <w:r>
        <w:rPr>
          <w:rFonts w:eastAsia="Aptos" w:cs="Times New Roman" w:ascii="Times New Roman" w:hAnsi="Times New Roman"/>
          <w:b/>
          <w:kern w:val="2"/>
          <w14:ligatures w14:val="standardContextual"/>
        </w:rPr>
        <w:t>Сапарова</w:t>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2</w:t>
      </w:r>
      <w:r>
        <w:rPr>
          <w:rFonts w:eastAsia="Aptos" w:cs="Times New Roman" w:ascii="Times New Roman" w:hAnsi="Times New Roman"/>
          <w:b/>
          <w:bCs/>
          <w:kern w:val="2"/>
          <w14:ligatures w14:val="standardContextual"/>
        </w:rPr>
        <w:t xml:space="preserve"> </w:t>
      </w:r>
      <w:r>
        <w:rPr>
          <w:rFonts w:eastAsia="Aptos" w:cs="Times New Roman" w:ascii="Times New Roman" w:hAnsi="Times New Roman"/>
          <w:b/>
          <w:kern w:val="2"/>
          <w14:ligatures w14:val="standardContextual"/>
        </w:rPr>
        <w:t>М.</w:t>
      </w:r>
      <w:r>
        <w:rPr>
          <w:rFonts w:eastAsia="Aptos" w:cs="Times New Roman" w:ascii="Times New Roman" w:hAnsi="Times New Roman"/>
          <w:b/>
          <w:kern w:val="2"/>
          <w:lang w:val="kk-KZ"/>
          <w14:ligatures w14:val="standardContextual"/>
        </w:rPr>
        <w:t xml:space="preserve">С. </w:t>
      </w:r>
      <w:r>
        <w:rPr>
          <w:rFonts w:eastAsia="Aptos" w:cs="Times New Roman" w:ascii="Times New Roman" w:hAnsi="Times New Roman"/>
          <w:b/>
          <w:kern w:val="2"/>
          <w14:ligatures w14:val="standardContextual"/>
        </w:rPr>
        <w:t>Райхан</w:t>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1</w:t>
      </w:r>
      <w:r>
        <w:rPr>
          <w:rFonts w:eastAsia="Aptos" w:cs="Times New Roman" w:ascii="Times New Roman" w:hAnsi="Times New Roman"/>
          <w:b/>
          <w:kern w:val="2"/>
          <w14:ligatures w14:val="standardContextual"/>
        </w:rPr>
        <w:t xml:space="preserve"> А.</w:t>
      </w:r>
      <w:r>
        <w:rPr>
          <w:rFonts w:eastAsia="Aptos" w:cs="Times New Roman" w:ascii="Times New Roman" w:hAnsi="Times New Roman"/>
          <w:b/>
          <w:kern w:val="2"/>
          <w:lang w:val="kk-KZ"/>
          <w14:ligatures w14:val="standardContextual"/>
        </w:rPr>
        <w:t xml:space="preserve">Ж. </w:t>
      </w:r>
      <w:r>
        <w:rPr>
          <w:rFonts w:eastAsia="Aptos" w:cs="Times New Roman" w:ascii="Times New Roman" w:hAnsi="Times New Roman"/>
          <w:b/>
          <w:kern w:val="2"/>
          <w14:ligatures w14:val="standardContextual"/>
        </w:rPr>
        <w:t xml:space="preserve">Атызова  </w:t>
      </w:r>
      <w:r>
        <w:rPr>
          <w:rFonts w:eastAsia="Wingdings" w:cs="Wingdings" w:ascii="Wingdings" w:hAnsi="Wingdings"/>
          <w:b/>
          <w:bCs/>
          <w:color w:val="1F497D"/>
          <w:kern w:val="2"/>
          <w:vertAlign w:val="superscript"/>
          <w14:ligatures w14:val="standardContextual"/>
        </w:rPr>
        <w:sym w:font="Wingdings" w:char="f02a"/>
      </w:r>
      <w:r>
        <w:rPr>
          <w:rFonts w:eastAsia="Aptos" w:cs="Times New Roman" w:ascii="Times New Roman" w:hAnsi="Times New Roman"/>
          <w:b/>
          <w:kern w:val="2"/>
          <w14:ligatures w14:val="standardContextual"/>
        </w:rPr>
        <w:t>,</w:t>
      </w:r>
      <w:r>
        <w:rPr>
          <w:rFonts w:eastAsia="Calibri" w:cs="Times New Roman" w:ascii="Times New Roman" w:hAnsi="Times New Roman"/>
          <w:b/>
          <w:bCs/>
          <w:kern w:val="2"/>
          <w:vertAlign w:val="superscript"/>
          <w14:ligatures w14:val="standardContextual"/>
        </w:rPr>
        <w:t xml:space="preserve"> 3</w:t>
      </w:r>
      <w:r>
        <w:rPr>
          <w:rFonts w:eastAsia="Aptos" w:cs="Times New Roman" w:ascii="Times New Roman" w:hAnsi="Times New Roman"/>
          <w:b/>
          <w:kern w:val="2"/>
          <w14:ligatures w14:val="standardContextual"/>
        </w:rPr>
        <w:t>С.</w:t>
      </w:r>
      <w:r>
        <w:rPr>
          <w:rFonts w:eastAsia="Aptos" w:cs="Times New Roman" w:ascii="Times New Roman" w:hAnsi="Times New Roman"/>
          <w:b/>
          <w:kern w:val="2"/>
          <w:lang w:val="kk-KZ"/>
          <w14:ligatures w14:val="standardContextual"/>
        </w:rPr>
        <w:t xml:space="preserve">В. </w:t>
      </w:r>
      <w:r>
        <w:rPr>
          <w:rFonts w:eastAsia="Aptos" w:cs="Times New Roman" w:ascii="Times New Roman" w:hAnsi="Times New Roman"/>
          <w:b/>
          <w:kern w:val="2"/>
          <w14:ligatures w14:val="standardContextual"/>
        </w:rPr>
        <w:t>Беспалый</w:t>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w:t>
      </w:r>
    </w:p>
    <w:p>
      <w:pPr>
        <w:pStyle w:val="Normal"/>
        <w:suppressAutoHyphens w:val="true"/>
        <w:spacing w:lineRule="auto" w:line="240" w:before="0" w:after="0"/>
        <w:jc w:val="center"/>
        <w:rPr>
          <w:rFonts w:ascii="Times New Roman" w:hAnsi="Times New Roman" w:eastAsia="Aptos" w:cs="Times New Roman"/>
          <w:i/>
          <w:i/>
          <w:iCs/>
          <w:kern w:val="2"/>
          <w:sz w:val="20"/>
          <w:szCs w:val="20"/>
          <w:vertAlign w:val="superscript"/>
          <w14:ligatures w14:val="standardContextual"/>
        </w:rPr>
      </w:pPr>
      <w:r>
        <w:rPr>
          <w:rFonts w:eastAsia="Calibri" w:cs="Times New Roman" w:ascii="Times New Roman" w:hAnsi="Times New Roman"/>
          <w:b/>
          <w:bCs/>
          <w:kern w:val="2"/>
          <w:vertAlign w:val="superscript"/>
          <w:lang w:val="kk-KZ"/>
          <w14:ligatures w14:val="standardContextual"/>
        </w:rPr>
        <w:t>1</w:t>
      </w:r>
      <w:r>
        <w:rPr>
          <w:rFonts w:eastAsia="Aptos" w:cs="Times New Roman" w:ascii="Times New Roman" w:hAnsi="Times New Roman"/>
          <w:b/>
          <w:kern w:val="2"/>
          <w14:ligatures w14:val="standardContextual"/>
        </w:rPr>
        <w:t>Б.М.Серикбаева</w:t>
      </w:r>
      <w:r>
        <w:rPr>
          <w:rFonts w:eastAsia="Aptos" w:cs="Times New Roman" w:ascii="Times New Roman" w:hAnsi="Times New Roman"/>
          <w:i/>
          <w:iCs/>
          <w:kern w:val="2"/>
          <w:sz w:val="20"/>
          <w:szCs w:val="20"/>
          <w:vertAlign w:val="superscript"/>
          <w14:ligatures w14:val="standardContextual"/>
        </w:rPr>
        <w:t xml:space="preserve"> </w:t>
      </w:r>
    </w:p>
    <w:p>
      <w:pPr>
        <w:pStyle w:val="Normal"/>
        <w:suppressAutoHyphens w:val="true"/>
        <w:spacing w:lineRule="auto" w:line="240" w:before="0" w:after="0"/>
        <w:ind w:firstLine="567"/>
        <w:jc w:val="center"/>
        <w:rPr>
          <w:rFonts w:ascii="Times New Roman" w:hAnsi="Times New Roman" w:eastAsia="Aptos" w:cs="Times New Roman"/>
          <w:i/>
          <w:i/>
          <w:iCs/>
          <w:kern w:val="2"/>
          <w:sz w:val="20"/>
          <w:szCs w:val="20"/>
          <w:lang w:val="kk-KZ"/>
          <w14:ligatures w14:val="standardContextual"/>
        </w:rPr>
      </w:pPr>
      <w:r>
        <w:rPr>
          <w:rFonts w:eastAsia="Aptos" w:cs="Times New Roman" w:ascii="Times New Roman" w:hAnsi="Times New Roman"/>
          <w:i/>
          <w:iCs/>
          <w:kern w:val="2"/>
          <w:sz w:val="20"/>
          <w:szCs w:val="20"/>
          <w:vertAlign w:val="superscript"/>
          <w14:ligatures w14:val="standardContextual"/>
        </w:rPr>
        <w:t>1</w:t>
      </w:r>
      <w:r>
        <w:rPr>
          <w:rFonts w:eastAsia="Aptos" w:cs="Times New Roman" w:ascii="Times New Roman" w:hAnsi="Times New Roman"/>
          <w:i/>
          <w:iCs/>
          <w:kern w:val="2"/>
          <w:sz w:val="20"/>
          <w:szCs w:val="20"/>
          <w14:ligatures w14:val="standardContextual"/>
        </w:rPr>
        <w:t xml:space="preserve">Университет </w:t>
      </w:r>
      <w:r>
        <w:rPr>
          <w:rFonts w:eastAsia="Aptos" w:cs="Times New Roman" w:ascii="Times New Roman" w:hAnsi="Times New Roman"/>
          <w:i/>
          <w:iCs/>
          <w:kern w:val="2"/>
          <w:sz w:val="20"/>
          <w:szCs w:val="20"/>
          <w:lang w:val="en-US"/>
          <w14:ligatures w14:val="standardContextual"/>
        </w:rPr>
        <w:t>Turan</w:t>
      </w:r>
      <w:r>
        <w:rPr>
          <w:rFonts w:eastAsia="Aptos" w:cs="Times New Roman" w:ascii="Times New Roman" w:hAnsi="Times New Roman"/>
          <w:i/>
          <w:iCs/>
          <w:kern w:val="2"/>
          <w:sz w:val="20"/>
          <w:szCs w:val="20"/>
          <w14:ligatures w14:val="standardContextual"/>
        </w:rPr>
        <w:t>-</w:t>
      </w:r>
      <w:r>
        <w:rPr>
          <w:rFonts w:eastAsia="Aptos" w:cs="Times New Roman" w:ascii="Times New Roman" w:hAnsi="Times New Roman"/>
          <w:i/>
          <w:iCs/>
          <w:kern w:val="2"/>
          <w:sz w:val="20"/>
          <w:szCs w:val="20"/>
          <w:lang w:val="en-US"/>
          <w14:ligatures w14:val="standardContextual"/>
        </w:rPr>
        <w:t>Astana</w:t>
      </w:r>
      <w:r>
        <w:rPr>
          <w:rFonts w:eastAsia="Aptos" w:cs="Times New Roman" w:ascii="Times New Roman" w:hAnsi="Times New Roman"/>
          <w:i/>
          <w:iCs/>
          <w:kern w:val="2"/>
          <w:sz w:val="20"/>
          <w:szCs w:val="20"/>
          <w14:ligatures w14:val="standardContextual"/>
        </w:rPr>
        <w:t>, Астана, Казахстан,</w:t>
        <w:br/>
      </w:r>
      <w:r>
        <w:rPr>
          <w:rFonts w:eastAsia="Aptos" w:cs="Times New Roman" w:ascii="Times New Roman" w:hAnsi="Times New Roman"/>
          <w:i/>
          <w:iCs/>
          <w:kern w:val="2"/>
          <w:sz w:val="20"/>
          <w:szCs w:val="20"/>
          <w:vertAlign w:val="superscript"/>
          <w14:ligatures w14:val="standardContextual"/>
        </w:rPr>
        <w:t>2</w:t>
      </w:r>
      <w:r>
        <w:rPr>
          <w:rFonts w:eastAsia="Aptos" w:cs="Times New Roman" w:ascii="Times New Roman" w:hAnsi="Times New Roman"/>
          <w:i/>
          <w:iCs/>
          <w:kern w:val="2"/>
          <w:sz w:val="20"/>
          <w:szCs w:val="20"/>
          <w14:ligatures w14:val="standardContextual"/>
        </w:rPr>
        <w:t>Республиканский научно-исследовательский институт охраны труда Министерства труда и социальной защиты населения Республики Казахстан, Астана, Казахстан,</w:t>
        <w:br/>
      </w:r>
      <w:r>
        <w:rPr>
          <w:rFonts w:eastAsia="Aptos" w:cs="Times New Roman" w:ascii="Times New Roman" w:hAnsi="Times New Roman"/>
          <w:i/>
          <w:iCs/>
          <w:kern w:val="2"/>
          <w:sz w:val="20"/>
          <w:szCs w:val="20"/>
          <w:vertAlign w:val="superscript"/>
          <w14:ligatures w14:val="standardContextual"/>
        </w:rPr>
        <w:t>3</w:t>
      </w:r>
      <w:r>
        <w:rPr>
          <w:rFonts w:eastAsia="Aptos" w:cs="Times New Roman" w:ascii="Times New Roman" w:hAnsi="Times New Roman"/>
          <w:i/>
          <w:iCs/>
          <w:kern w:val="2"/>
          <w:sz w:val="20"/>
          <w:szCs w:val="20"/>
          <w14:ligatures w14:val="standardContextual"/>
        </w:rPr>
        <w:t>Университет им. Торайгырова, Павлодар, Казахстан,</w:t>
      </w:r>
    </w:p>
    <w:p>
      <w:pPr>
        <w:pStyle w:val="Normal"/>
        <w:suppressAutoHyphens w:val="true"/>
        <w:spacing w:lineRule="auto" w:line="240" w:before="0" w:after="0"/>
        <w:ind w:firstLine="567"/>
        <w:jc w:val="center"/>
        <w:rPr>
          <w:rFonts w:ascii="Times New Roman" w:hAnsi="Times New Roman" w:eastAsia="Aptos" w:cs="Times New Roman"/>
          <w:bCs/>
          <w:kern w:val="2"/>
          <w:sz w:val="24"/>
          <w:szCs w:val="24"/>
          <w14:ligatures w14:val="standardContextual"/>
        </w:rPr>
      </w:pP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xml:space="preserve">: </w:t>
      </w:r>
      <w:hyperlink r:id="rId159">
        <w:r>
          <w:rPr>
            <w:rStyle w:val="Style3"/>
            <w:rFonts w:eastAsia="Aptos" w:cs="Times New Roman" w:ascii="Times New Roman" w:hAnsi="Times New Roman"/>
            <w:kern w:val="2"/>
            <w:sz w:val="20"/>
            <w:szCs w:val="20"/>
            <w:lang w:val="en-US"/>
            <w14:ligatures w14:val="standardContextual"/>
          </w:rPr>
          <w:t>bektaev</w:t>
        </w:r>
        <w:r>
          <w:rPr>
            <w:rStyle w:val="Style3"/>
            <w:rFonts w:eastAsia="Aptos" w:cs="Times New Roman" w:ascii="Times New Roman" w:hAnsi="Times New Roman"/>
            <w:kern w:val="2"/>
            <w:sz w:val="20"/>
            <w:szCs w:val="20"/>
            <w14:ligatures w14:val="standardContextual"/>
          </w:rPr>
          <w:t>_</w:t>
        </w:r>
        <w:r>
          <w:rPr>
            <w:rStyle w:val="Style3"/>
            <w:rFonts w:eastAsia="Aptos" w:cs="Times New Roman" w:ascii="Times New Roman" w:hAnsi="Times New Roman"/>
            <w:kern w:val="2"/>
            <w:sz w:val="20"/>
            <w:szCs w:val="20"/>
            <w:lang w:val="en-US"/>
            <w14:ligatures w14:val="standardContextual"/>
          </w:rPr>
          <w:t>alibek</w:t>
        </w:r>
        <w:r>
          <w:rPr>
            <w:rStyle w:val="Style3"/>
            <w:rFonts w:eastAsia="Aptos" w:cs="Times New Roman" w:ascii="Times New Roman" w:hAnsi="Times New Roman"/>
            <w:kern w:val="2"/>
            <w:sz w:val="20"/>
            <w:szCs w:val="20"/>
            <w14:ligatures w14:val="standardContextual"/>
          </w:rPr>
          <w:t>@</w:t>
        </w:r>
        <w:r>
          <w:rPr>
            <w:rStyle w:val="Style3"/>
            <w:rFonts w:eastAsia="Aptos" w:cs="Times New Roman" w:ascii="Times New Roman" w:hAnsi="Times New Roman"/>
            <w:kern w:val="2"/>
            <w:sz w:val="20"/>
            <w:szCs w:val="20"/>
            <w:lang w:val="en-US"/>
            <w14:ligatures w14:val="standardContextual"/>
          </w:rPr>
          <w:t>mail</w:t>
        </w:r>
        <w:r>
          <w:rPr>
            <w:rStyle w:val="Style3"/>
            <w:rFonts w:eastAsia="Aptos" w:cs="Times New Roman" w:ascii="Times New Roman" w:hAnsi="Times New Roman"/>
            <w:kern w:val="2"/>
            <w:sz w:val="20"/>
            <w:szCs w:val="20"/>
            <w14:ligatures w14:val="standardContextual"/>
          </w:rPr>
          <w:t>.</w:t>
        </w:r>
        <w:r>
          <w:rPr>
            <w:rStyle w:val="Style3"/>
            <w:rFonts w:eastAsia="Aptos" w:cs="Times New Roman" w:ascii="Times New Roman" w:hAnsi="Times New Roman"/>
            <w:kern w:val="2"/>
            <w:sz w:val="20"/>
            <w:szCs w:val="20"/>
            <w:lang w:val="en-US"/>
            <w14:ligatures w14:val="standardContextual"/>
          </w:rPr>
          <w:t>ru</w:t>
        </w:r>
      </w:hyperlink>
      <w:r>
        <w:rPr>
          <w:rFonts w:eastAsia="Aptos" w:cs="Times New Roman" w:ascii="Times New Roman" w:hAnsi="Times New Roman"/>
          <w:kern w:val="2"/>
          <w:sz w:val="20"/>
          <w:szCs w:val="20"/>
          <w14:ligatures w14:val="standardContextual"/>
        </w:rPr>
        <w:t xml:space="preserve">, </w:t>
      </w:r>
      <w:r>
        <w:rPr>
          <w:rFonts w:eastAsia="Aptos" w:cs="Times New Roman" w:ascii="Times New Roman" w:hAnsi="Times New Roman"/>
          <w:kern w:val="2"/>
          <w:sz w:val="20"/>
          <w:szCs w:val="20"/>
          <w:lang w:val="kk-KZ"/>
          <w14:ligatures w14:val="standardContextual"/>
        </w:rPr>
        <w:t>asel_ramazanova@bk.ru</w:t>
      </w:r>
    </w:p>
    <w:p>
      <w:pPr>
        <w:pStyle w:val="Normal"/>
        <w:suppressAutoHyphens w:val="true"/>
        <w:spacing w:lineRule="auto" w:line="240" w:before="0" w:after="0"/>
        <w:ind w:firstLine="567"/>
        <w:jc w:val="center"/>
        <w:rPr>
          <w:rFonts w:ascii="Times New Roman" w:hAnsi="Times New Roman" w:eastAsia="Aptos" w:cs="Times New Roman"/>
          <w:i/>
          <w:i/>
          <w:iCs/>
          <w:kern w:val="2"/>
          <w:sz w:val="18"/>
          <w:szCs w:val="18"/>
          <w14:ligatures w14:val="standardContextual"/>
        </w:rPr>
      </w:pPr>
      <w:r>
        <w:rPr>
          <w:rFonts w:eastAsia="Aptos" w:cs="Times New Roman" w:ascii="Times New Roman" w:hAnsi="Times New Roman"/>
          <w:i/>
          <w:iCs/>
          <w:kern w:val="2"/>
          <w:sz w:val="18"/>
          <w:szCs w:val="18"/>
          <w14:ligatures w14:val="standardContextual"/>
        </w:rPr>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В данной статье представлен комплексный анализ экономической эффективности внедрения инновационных технологий в аграрном секторе, основанный на систематическом анализе международной практики и разработке адаптивной модели для Республики Казахстан.</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Исследование охватывает сельскохозяйственные предприятия семи стран с различным уровнем инновационного развития - а именно, США, Нидерландов, Израиля, Германии, Китая, Индии и Бразилии в период с 2018 по 2024 годы.</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Сравнительный анализ выявил существенные различия в уровнях внедрения инноваций: 75-85% в развитых странах, 30-50% - в развивающихся экономиках, и менее 5% - в Казахстане. Установлена прочная положительная корреляция между уровнем инновационной активности и ключевыми показателями экономической результативности, включая производительность труда, рентабельность инвестиций (ROI) и экспортную конкурентоспособность. Так, ROI в Нидерландах достигает 300%, тогда как в Казахстане он составляет лишь 80%.</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В исследовании выявлены ключевые институциональные, технологические и организационные детерминанты успешного внедрения инноваций, такие как эффективная интеграция науки, бизнеса и государства; наличие инновационной инфраструктуры; доступ к квалифицированным человеческим ресурсам; наличие механизмов финансирования; а также экспортно-ориентированные стратегии.</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Диагностический анализ аграрного сектора Казахстана выявил серьёзные институциональные и инфраструктурные ограничения, включая неэффективное распределение государственной поддержки (с преобладанием прямого субсидирования), слабое взаимодействие науки и промышленности, а также ограниченный доступ к передовым агротехнологиям.</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В ответ на данные вызовы предложена пятикомпонентная модель инновационного развития, включающая институциональный, технологический, финансовый, образовательный и инфраструктурный модули. Модель предусматривает поэтапный механизм реализации с измеримыми индикаторами прогресса и подчёркивает важность формирования государственно-частного партнёрства.</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Прогнозы по реализации модели к 2033 году указывают на возможность увеличения доли инновационно-активных предприятий до 40%, роста производительности труда на 150-200%, снижения издержек производства на 20-30%, а также удвоения или утроения объёмов аграрного экспорта.</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t>Настоящее исследование вносит вклад в научную литературу по экономике сельского хозяйства, предлагая системный подход к инновационно-ориентированному развитию аграрных отраслей в странах с формирующейся экономикой.</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b/>
          <w:bCs/>
          <w:kern w:val="2"/>
          <w:sz w:val="24"/>
          <w:szCs w:val="24"/>
          <w14:ligatures w14:val="standardContextual"/>
        </w:rPr>
        <w:t>Ключевые слова:</w:t>
      </w:r>
      <w:r>
        <w:rPr>
          <w:rFonts w:eastAsia="Aptos" w:cs="Times New Roman" w:ascii="Times New Roman" w:hAnsi="Times New Roman"/>
          <w:kern w:val="2"/>
          <w:sz w:val="24"/>
          <w:szCs w:val="24"/>
          <w14:ligatures w14:val="standardContextual"/>
        </w:rPr>
        <w:t xml:space="preserve"> аграрные инновации, экономическая эффективность, внедрение технологий, рост производительности, сельское хозяйство Казахстана, международный опыт, модель инновационного развития, модернизация сельского хозяйства, устойчивое развитие, трансформация агробизнеса.</w:t>
      </w:r>
    </w:p>
    <w:p>
      <w:pPr>
        <w:pStyle w:val="Normal"/>
        <w:suppressAutoHyphens w:val="true"/>
        <w:spacing w:lineRule="auto" w:line="240" w:before="0" w:after="0"/>
        <w:ind w:firstLine="567"/>
        <w:jc w:val="both"/>
        <w:rPr>
          <w:rFonts w:ascii="Times New Roman" w:hAnsi="Times New Roman" w:eastAsia="Aptos" w:cs="Times New Roman"/>
          <w:kern w:val="2"/>
          <w:sz w:val="24"/>
          <w:szCs w:val="24"/>
          <w14:ligatures w14:val="standardContextual"/>
        </w:rPr>
      </w:pPr>
      <w:r>
        <w:rPr>
          <w:rFonts w:eastAsia="Aptos" w:cs="Times New Roman" w:ascii="Times New Roman" w:hAnsi="Times New Roman"/>
          <w:kern w:val="2"/>
          <w:sz w:val="24"/>
          <w:szCs w:val="24"/>
          <w14:ligatures w14:val="standardContextual"/>
        </w:rPr>
      </w:r>
    </w:p>
    <w:p>
      <w:pPr>
        <w:pStyle w:val="Normal"/>
        <w:suppressAutoHyphens w:val="true"/>
        <w:spacing w:lineRule="auto" w:line="240" w:before="0" w:after="0"/>
        <w:ind w:firstLine="567"/>
        <w:jc w:val="center"/>
        <w:rPr>
          <w:rFonts w:ascii="Times New Roman" w:hAnsi="Times New Roman" w:eastAsia="Aptos" w:cs="Times New Roman"/>
          <w:b/>
          <w:bCs/>
          <w:kern w:val="2"/>
          <w14:ligatures w14:val="standardContextual"/>
        </w:rPr>
      </w:pPr>
      <w:r>
        <w:rPr>
          <w:rFonts w:eastAsia="Aptos" w:cs="Times New Roman" w:ascii="Times New Roman" w:hAnsi="Times New Roman"/>
          <w:b/>
          <w:bCs/>
          <w:kern w:val="2"/>
          <w14:ligatures w14:val="standardContextual"/>
        </w:rPr>
        <w:t>ЭКОНОМИКАЛЫҚ ТИІМДІЛІК АУЫЛ ШАРУАШЫЛЫҒЫ КӘСІПОРЫНДАРЫНА ИННОВАЦИЯЛЫҚ ТЕХНОЛОГИЯЛАРДЫ ЕНГІЗУ: ХАЛЫҚАРАЛЫҚ ТӘЖІРИБЕ ЖӘНЕ ҚАЗАҚСТАНҒА АРНАЛҒАН МОДЕЛЬ</w:t>
      </w:r>
    </w:p>
    <w:p>
      <w:pPr>
        <w:pStyle w:val="Normal"/>
        <w:suppressAutoHyphens w:val="true"/>
        <w:spacing w:lineRule="auto" w:line="240" w:before="0" w:after="0"/>
        <w:jc w:val="both"/>
        <w:rPr>
          <w:rFonts w:ascii="Times New Roman" w:hAnsi="Times New Roman" w:eastAsia="Aptos" w:cs="Times New Roman"/>
          <w:i/>
          <w:i/>
          <w:iCs/>
          <w:kern w:val="2"/>
          <w14:ligatures w14:val="standardContextual"/>
        </w:rPr>
      </w:pPr>
      <w:r>
        <w:rPr>
          <w:rFonts w:eastAsia="Aptos" w:cs="Times New Roman" w:ascii="Times New Roman" w:hAnsi="Times New Roman"/>
          <w:i/>
          <w:iCs/>
          <w:kern w:val="2"/>
          <w14:ligatures w14:val="standardContextual"/>
        </w:rPr>
      </w:r>
    </w:p>
    <w:p>
      <w:pPr>
        <w:pStyle w:val="Normal"/>
        <w:suppressAutoHyphens w:val="true"/>
        <w:spacing w:lineRule="auto" w:line="240" w:before="0" w:after="0"/>
        <w:jc w:val="center"/>
        <w:rPr>
          <w:rFonts w:ascii="Times New Roman" w:hAnsi="Times New Roman" w:eastAsia="Calibri" w:cs="Times New Roman"/>
          <w:b/>
          <w:bCs/>
          <w:kern w:val="2"/>
          <w:vertAlign w:val="superscript"/>
          <w14:ligatures w14:val="standardContextual"/>
        </w:rPr>
      </w:pPr>
      <w:r>
        <w:rPr>
          <w:rFonts w:eastAsia="Calibri" w:cs="Times New Roman" w:ascii="Times New Roman" w:hAnsi="Times New Roman"/>
          <w:b/>
          <w:bCs/>
          <w:kern w:val="2"/>
          <w:vertAlign w:val="superscript"/>
          <w14:ligatures w14:val="standardContextual"/>
        </w:rPr>
        <w:t>1</w:t>
      </w:r>
      <w:r>
        <w:rPr>
          <w:rFonts w:eastAsia="Aptos" w:cs="Times New Roman" w:ascii="Times New Roman" w:hAnsi="Times New Roman"/>
          <w:b/>
          <w:kern w:val="2"/>
          <w14:ligatures w14:val="standardContextual"/>
        </w:rPr>
        <w:t xml:space="preserve"> А.К.Бектаев</w:t>
      </w:r>
      <w:r>
        <w:rPr>
          <w:rFonts w:eastAsia="Wingdings" w:cs="Wingdings" w:ascii="Wingdings" w:hAnsi="Wingdings"/>
          <w:b/>
          <w:bCs/>
          <w:color w:val="1F497D"/>
          <w:kern w:val="2"/>
          <w:vertAlign w:val="superscript"/>
          <w14:ligatures w14:val="standardContextual"/>
        </w:rPr>
        <w:sym w:font="Wingdings" w:char="f02a"/>
      </w:r>
      <w:r>
        <w:rPr>
          <w:rFonts w:eastAsia="Aptos" w:cs="Times New Roman" w:ascii="Times New Roman" w:hAnsi="Times New Roman"/>
          <w:b/>
          <w:kern w:val="2"/>
          <w14:ligatures w14:val="standardContextual"/>
        </w:rPr>
        <w:t xml:space="preserve">, </w:t>
      </w:r>
      <w:r>
        <w:rPr>
          <w:rFonts w:eastAsia="Calibri" w:cs="Times New Roman" w:ascii="Times New Roman" w:hAnsi="Times New Roman"/>
          <w:b/>
          <w:bCs/>
          <w:kern w:val="2"/>
          <w:vertAlign w:val="superscript"/>
          <w14:ligatures w14:val="standardContextual"/>
        </w:rPr>
        <w:t>1</w:t>
      </w:r>
      <w:r>
        <w:rPr>
          <w:rFonts w:eastAsia="Aptos" w:cs="Times New Roman" w:ascii="Times New Roman" w:hAnsi="Times New Roman"/>
          <w:b/>
          <w:kern w:val="2"/>
          <w14:ligatures w14:val="standardContextual"/>
        </w:rPr>
        <w:t>Г.К.</w:t>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w:t>
      </w:r>
      <w:r>
        <w:rPr>
          <w:rFonts w:eastAsia="Aptos" w:cs="Times New Roman" w:ascii="Times New Roman" w:hAnsi="Times New Roman"/>
          <w:b/>
          <w:kern w:val="2"/>
          <w14:ligatures w14:val="standardContextual"/>
        </w:rPr>
        <w:t>Сапарова</w:t>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2  </w:t>
      </w:r>
      <w:r>
        <w:rPr>
          <w:rFonts w:eastAsia="Aptos" w:cs="Times New Roman" w:ascii="Times New Roman" w:hAnsi="Times New Roman"/>
          <w:b/>
          <w:kern w:val="2"/>
          <w14:ligatures w14:val="standardContextual"/>
        </w:rPr>
        <w:t>М.С.Райхан</w:t>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 xml:space="preserve"> 1</w:t>
      </w:r>
      <w:r>
        <w:rPr>
          <w:rFonts w:eastAsia="Aptos" w:cs="Times New Roman" w:ascii="Times New Roman" w:hAnsi="Times New Roman"/>
          <w:b/>
          <w:kern w:val="2"/>
          <w14:ligatures w14:val="standardContextual"/>
        </w:rPr>
        <w:t>А.Ж.</w:t>
      </w:r>
      <w:r>
        <w:rPr>
          <w:rFonts w:eastAsia="Calibri" w:cs="Times New Roman" w:ascii="Times New Roman" w:hAnsi="Times New Roman"/>
          <w:b/>
          <w:bCs/>
          <w:color w:val="1F497D"/>
          <w:kern w:val="2"/>
          <w:vertAlign w:val="superscript"/>
          <w14:ligatures w14:val="standardContextual"/>
        </w:rPr>
        <w:t xml:space="preserve"> </w:t>
      </w:r>
      <w:r>
        <w:rPr>
          <w:rFonts w:eastAsia="Aptos" w:cs="Times New Roman" w:ascii="Times New Roman" w:hAnsi="Times New Roman"/>
          <w:b/>
          <w:kern w:val="2"/>
          <w14:ligatures w14:val="standardContextual"/>
        </w:rPr>
        <w:t>Атызова</w:t>
      </w:r>
      <w:r>
        <w:rPr>
          <w:rFonts w:eastAsia="Wingdings" w:cs="Wingdings" w:ascii="Wingdings" w:hAnsi="Wingdings"/>
          <w:b/>
          <w:bCs/>
          <w:color w:val="1F497D"/>
          <w:kern w:val="2"/>
          <w:vertAlign w:val="superscript"/>
          <w14:ligatures w14:val="standardContextual"/>
        </w:rPr>
        <w:sym w:font="Wingdings" w:char="f02a"/>
      </w:r>
      <w:r>
        <w:rPr>
          <w:rFonts w:eastAsia="Calibri" w:cs="Times New Roman" w:ascii="Times New Roman" w:hAnsi="Times New Roman"/>
          <w:b/>
          <w:bCs/>
          <w:kern w:val="2"/>
          <w14:ligatures w14:val="standardContextual"/>
        </w:rPr>
        <w:t>,</w:t>
      </w:r>
      <w:r>
        <w:rPr>
          <w:rFonts w:eastAsia="Calibri" w:cs="Times New Roman" w:ascii="Times New Roman" w:hAnsi="Times New Roman"/>
          <w:b/>
          <w:bCs/>
          <w:kern w:val="2"/>
          <w:vertAlign w:val="superscript"/>
          <w14:ligatures w14:val="standardContextual"/>
        </w:rPr>
        <w:t>3</w:t>
      </w:r>
      <w:r>
        <w:rPr>
          <w:rFonts w:eastAsia="Aptos" w:cs="Times New Roman" w:ascii="Times New Roman" w:hAnsi="Times New Roman"/>
          <w:b/>
          <w:kern w:val="2"/>
          <w14:ligatures w14:val="standardContextual"/>
        </w:rPr>
        <w:t>С.В</w:t>
      </w:r>
      <w:r>
        <w:rPr>
          <w:rFonts w:eastAsia="Calibri" w:cs="Times New Roman" w:ascii="Times New Roman" w:hAnsi="Times New Roman"/>
          <w:b/>
          <w:bCs/>
          <w:kern w:val="2"/>
          <w:vertAlign w:val="superscript"/>
          <w14:ligatures w14:val="standardContextual"/>
        </w:rPr>
        <w:t xml:space="preserve"> </w:t>
      </w:r>
      <w:r>
        <w:rPr>
          <w:rFonts w:eastAsia="Aptos" w:cs="Times New Roman" w:ascii="Times New Roman" w:hAnsi="Times New Roman"/>
          <w:b/>
          <w:kern w:val="2"/>
          <w14:ligatures w14:val="standardContextual"/>
        </w:rPr>
        <w:t>Беспалый</w:t>
      </w:r>
      <w:r>
        <w:rPr>
          <w:rFonts w:eastAsia="Calibri" w:cs="Times New Roman" w:ascii="Times New Roman" w:hAnsi="Times New Roman"/>
          <w:b/>
          <w:bCs/>
          <w:kern w:val="2"/>
          <w14:ligatures w14:val="standardContextual"/>
        </w:rPr>
        <w:t>,</w:t>
      </w:r>
    </w:p>
    <w:p>
      <w:pPr>
        <w:pStyle w:val="Normal"/>
        <w:suppressAutoHyphens w:val="true"/>
        <w:spacing w:lineRule="auto" w:line="240" w:before="0" w:after="0"/>
        <w:jc w:val="center"/>
        <w:rPr>
          <w:rFonts w:ascii="Times New Roman" w:hAnsi="Times New Roman" w:eastAsia="Aptos" w:cs="Times New Roman"/>
          <w:b/>
          <w:kern w:val="2"/>
          <w14:ligatures w14:val="standardContextual"/>
        </w:rPr>
      </w:pPr>
      <w:r>
        <w:rPr>
          <w:rFonts w:eastAsia="Calibri" w:cs="Times New Roman" w:ascii="Times New Roman" w:hAnsi="Times New Roman"/>
          <w:b/>
          <w:bCs/>
          <w:kern w:val="2"/>
          <w:vertAlign w:val="superscript"/>
          <w14:ligatures w14:val="standardContextual"/>
        </w:rPr>
        <w:t>1</w:t>
      </w:r>
      <w:r>
        <w:rPr>
          <w:rFonts w:eastAsia="Aptos" w:cs="Times New Roman" w:ascii="Times New Roman" w:hAnsi="Times New Roman"/>
          <w:b/>
          <w:kern w:val="2"/>
          <w14:ligatures w14:val="standardContextual"/>
        </w:rPr>
        <w:t xml:space="preserve">Б.М.Серикбаева </w:t>
      </w:r>
    </w:p>
    <w:p>
      <w:pPr>
        <w:pStyle w:val="Normal"/>
        <w:suppressAutoHyphens w:val="true"/>
        <w:spacing w:lineRule="auto" w:line="240" w:before="0" w:after="0"/>
        <w:jc w:val="center"/>
        <w:rPr>
          <w:rFonts w:ascii="Times New Roman" w:hAnsi="Times New Roman" w:eastAsia="Aptos" w:cs="Times New Roman"/>
          <w:i/>
          <w:i/>
          <w:iCs/>
          <w:kern w:val="2"/>
          <w:sz w:val="20"/>
          <w:szCs w:val="20"/>
          <w14:ligatures w14:val="standardContextual"/>
        </w:rPr>
      </w:pPr>
      <w:r>
        <w:rPr>
          <w:rFonts w:eastAsia="Aptos" w:cs="Times New Roman" w:ascii="Times New Roman" w:hAnsi="Times New Roman"/>
          <w:kern w:val="2"/>
          <w:sz w:val="24"/>
          <w:szCs w:val="24"/>
          <w14:ligatures w14:val="standardContextual"/>
        </w:rPr>
        <w:br/>
      </w:r>
      <w:r>
        <w:rPr>
          <w:rFonts w:eastAsia="Calibri" w:cs="Times New Roman" w:ascii="Times New Roman" w:hAnsi="Times New Roman"/>
          <w:b/>
          <w:bCs/>
          <w:i/>
          <w:iCs/>
          <w:kern w:val="2"/>
          <w:sz w:val="20"/>
          <w:szCs w:val="20"/>
          <w:vertAlign w:val="superscript"/>
          <w14:ligatures w14:val="standardContextual"/>
        </w:rPr>
        <w:t>1</w:t>
      </w:r>
      <w:r>
        <w:rPr>
          <w:rFonts w:eastAsia="Aptos" w:cs="Times New Roman" w:ascii="Times New Roman" w:hAnsi="Times New Roman"/>
          <w:i/>
          <w:iCs/>
          <w:kern w:val="2"/>
          <w:sz w:val="20"/>
          <w:szCs w:val="20"/>
          <w14:ligatures w14:val="standardContextual"/>
        </w:rPr>
        <w:t>Turan-Astana университеті, Астана, Қазақстан,</w:t>
        <w:br/>
      </w:r>
      <w:r>
        <w:rPr>
          <w:rFonts w:eastAsia="Calibri" w:cs="Times New Roman" w:ascii="Times New Roman" w:hAnsi="Times New Roman"/>
          <w:b/>
          <w:bCs/>
          <w:i/>
          <w:iCs/>
          <w:kern w:val="2"/>
          <w:sz w:val="20"/>
          <w:szCs w:val="20"/>
          <w:vertAlign w:val="superscript"/>
          <w14:ligatures w14:val="standardContextual"/>
        </w:rPr>
        <w:t>2</w:t>
      </w:r>
      <w:r>
        <w:rPr>
          <w:rFonts w:eastAsia="Aptos" w:cs="Times New Roman" w:ascii="Times New Roman" w:hAnsi="Times New Roman"/>
          <w:i/>
          <w:iCs/>
          <w:kern w:val="2"/>
          <w:sz w:val="20"/>
          <w:szCs w:val="20"/>
          <w14:ligatures w14:val="standardContextual"/>
        </w:rPr>
        <w:t>Қазақстан Республикасы Еңбек және халықты әлеуметтік қорғау министрлігінің Еңбек қауіпсіздігі жөніндегі республикалық ғылыми-зерттеу институты, Астана, Қазақстан,</w:t>
        <w:br/>
      </w:r>
      <w:r>
        <w:rPr>
          <w:rFonts w:eastAsia="Calibri" w:cs="Times New Roman" w:ascii="Times New Roman" w:hAnsi="Times New Roman"/>
          <w:b/>
          <w:bCs/>
          <w:i/>
          <w:iCs/>
          <w:kern w:val="2"/>
          <w:sz w:val="20"/>
          <w:szCs w:val="20"/>
          <w:vertAlign w:val="superscript"/>
          <w14:ligatures w14:val="standardContextual"/>
        </w:rPr>
        <w:t>3</w:t>
      </w:r>
      <w:r>
        <w:rPr>
          <w:rFonts w:eastAsia="Aptos" w:cs="Times New Roman" w:ascii="Times New Roman" w:hAnsi="Times New Roman"/>
          <w:i/>
          <w:iCs/>
          <w:kern w:val="2"/>
          <w:sz w:val="20"/>
          <w:szCs w:val="20"/>
          <w14:ligatures w14:val="standardContextual"/>
        </w:rPr>
        <w:t>Торайғыров университеті, Павлодар, Қазақстан,</w:t>
      </w:r>
    </w:p>
    <w:p>
      <w:pPr>
        <w:pStyle w:val="Normal"/>
        <w:suppressAutoHyphens w:val="true"/>
        <w:spacing w:lineRule="auto" w:line="240" w:before="0" w:after="0"/>
        <w:ind w:firstLine="567"/>
        <w:jc w:val="center"/>
        <w:rPr>
          <w:rFonts w:ascii="Times New Roman" w:hAnsi="Times New Roman" w:eastAsia="Aptos" w:cs="Times New Roman"/>
          <w:bCs/>
          <w:kern w:val="2"/>
          <w:sz w:val="24"/>
          <w:szCs w:val="24"/>
          <w:lang w:val="en-US"/>
          <w14:ligatures w14:val="standardContextual"/>
        </w:rPr>
      </w:pPr>
      <w:r>
        <w:rPr>
          <w:rFonts w:eastAsia="Aptos" w:cs="Times New Roman" w:ascii="Times New Roman" w:hAnsi="Times New Roman"/>
          <w:kern w:val="2"/>
          <w:sz w:val="20"/>
          <w:szCs w:val="20"/>
          <w:lang w:val="en-US"/>
          <w14:ligatures w14:val="standardContextual"/>
        </w:rPr>
        <w:t xml:space="preserve">e-mail: </w:t>
      </w:r>
      <w:hyperlink r:id="rId160">
        <w:r>
          <w:rPr>
            <w:rStyle w:val="Style3"/>
            <w:rFonts w:eastAsia="Aptos" w:cs="Times New Roman" w:ascii="Times New Roman" w:hAnsi="Times New Roman"/>
            <w:kern w:val="2"/>
            <w:sz w:val="20"/>
            <w:szCs w:val="20"/>
            <w:lang w:val="en-US"/>
            <w14:ligatures w14:val="standardContextual"/>
          </w:rPr>
          <w:t>bektaev_alibek@mail.ru</w:t>
        </w:r>
      </w:hyperlink>
      <w:r>
        <w:rPr>
          <w:rFonts w:eastAsia="Aptos" w:cs="Times New Roman" w:ascii="Times New Roman" w:hAnsi="Times New Roman"/>
          <w:kern w:val="2"/>
          <w:sz w:val="20"/>
          <w:szCs w:val="20"/>
          <w:lang w:val="en-US"/>
          <w14:ligatures w14:val="standardContextual"/>
        </w:rPr>
        <w:t xml:space="preserve">, </w:t>
      </w:r>
      <w:r>
        <w:rPr>
          <w:rFonts w:eastAsia="Aptos" w:cs="Times New Roman" w:ascii="Times New Roman" w:hAnsi="Times New Roman"/>
          <w:kern w:val="2"/>
          <w:sz w:val="20"/>
          <w:szCs w:val="20"/>
          <w:lang w:val="kk-KZ"/>
          <w14:ligatures w14:val="standardContextual"/>
        </w:rPr>
        <w:t>asel_ramazanova@bk.ru</w:t>
      </w:r>
    </w:p>
    <w:p>
      <w:pPr>
        <w:pStyle w:val="Normal"/>
        <w:suppressAutoHyphens w:val="true"/>
        <w:spacing w:lineRule="auto" w:line="240" w:before="0" w:after="0"/>
        <w:jc w:val="center"/>
        <w:rPr>
          <w:rFonts w:ascii="Times New Roman" w:hAnsi="Times New Roman" w:eastAsia="Aptos" w:cs="Times New Roman"/>
          <w:i/>
          <w:i/>
          <w:iCs/>
          <w:kern w:val="2"/>
          <w:sz w:val="18"/>
          <w:szCs w:val="18"/>
          <w:lang w:val="en-US"/>
          <w14:ligatures w14:val="standardContextual"/>
        </w:rPr>
      </w:pPr>
      <w:r>
        <w:rPr>
          <w:rFonts w:eastAsia="Aptos" w:cs="Times New Roman" w:ascii="Times New Roman" w:hAnsi="Times New Roman"/>
          <w:i/>
          <w:iCs/>
          <w:kern w:val="2"/>
          <w:sz w:val="18"/>
          <w:szCs w:val="18"/>
          <w:lang w:val="en-US"/>
          <w14:ligatures w14:val="standardContextual"/>
        </w:rPr>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Бұл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мақалада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аграрлық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секторға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технологияларды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енгізудің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экономикалық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тиімділігіне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кешенді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талдау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ұсынылған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Зерттеу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халықаралық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тәжірибені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жүйелі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талдау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мен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Қазақстан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Республикасына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бейімделген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үлгі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әзірлеуге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негізделген</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Зерттеу</w:t>
      </w:r>
      <w:r>
        <w:rPr>
          <w:rFonts w:eastAsia="Aptos" w:cs="Times New Roman" w:ascii="Times New Roman" w:hAnsi="Times New Roman"/>
          <w:kern w:val="2"/>
          <w:sz w:val="24"/>
          <w:szCs w:val="24"/>
          <w:lang w:val="en-US"/>
          <w14:ligatures w14:val="standardContextual"/>
        </w:rPr>
        <w:t xml:space="preserve"> 2018-2024 </w:t>
      </w:r>
      <w:r>
        <w:rPr>
          <w:rFonts w:eastAsia="Aptos" w:cs="Times New Roman" w:ascii="Times New Roman" w:hAnsi="Times New Roman"/>
          <w:kern w:val="2"/>
          <w:sz w:val="24"/>
          <w:szCs w:val="24"/>
          <w14:ligatures w14:val="standardContextual"/>
        </w:rPr>
        <w:t>жылдар</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аралығында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даму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деңгейі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әртүрлі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жеті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елдің</w:t>
      </w:r>
      <w:r>
        <w:rPr>
          <w:rFonts w:eastAsia="Aptos" w:cs="Times New Roman" w:ascii="Times New Roman" w:hAnsi="Times New Roman"/>
          <w:kern w:val="2"/>
          <w:sz w:val="24"/>
          <w:szCs w:val="24"/>
          <w:lang w:val="en-US"/>
          <w14:ligatures w14:val="standardContextual"/>
        </w:rPr>
        <w:t xml:space="preserve"> - </w:t>
      </w:r>
      <w:r>
        <w:rPr>
          <w:rFonts w:eastAsia="Aptos" w:cs="Times New Roman" w:ascii="Times New Roman" w:hAnsi="Times New Roman"/>
          <w:kern w:val="2"/>
          <w:sz w:val="24"/>
          <w:szCs w:val="24"/>
          <w14:ligatures w14:val="standardContextual"/>
        </w:rPr>
        <w:t>АҚШ</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Нидерланд</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Израиль</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Германия</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Қытай</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Үндістан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Бразилияның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ауыл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шаруашылығы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кәсіпорындарын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қамтиды</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Салыстырмалы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талдау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нәтижесінде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инновацияларды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енгізу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деңгейлерінде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елеулі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айырмашылықтар</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анықталды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дамыған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елдерде</w:t>
      </w:r>
      <w:r>
        <w:rPr>
          <w:rFonts w:eastAsia="Aptos" w:cs="Times New Roman" w:ascii="Times New Roman" w:hAnsi="Times New Roman"/>
          <w:kern w:val="2"/>
          <w:sz w:val="24"/>
          <w:szCs w:val="24"/>
          <w:lang w:val="en-US"/>
          <w14:ligatures w14:val="standardContextual"/>
        </w:rPr>
        <w:t xml:space="preserve"> - 75-85%, </w:t>
      </w:r>
      <w:r>
        <w:rPr>
          <w:rFonts w:eastAsia="Aptos" w:cs="Times New Roman" w:ascii="Times New Roman" w:hAnsi="Times New Roman"/>
          <w:kern w:val="2"/>
          <w:sz w:val="24"/>
          <w:szCs w:val="24"/>
          <w14:ligatures w14:val="standardContextual"/>
        </w:rPr>
        <w:t>дамушы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экономикада</w:t>
      </w:r>
      <w:r>
        <w:rPr>
          <w:rFonts w:eastAsia="Aptos" w:cs="Times New Roman" w:ascii="Times New Roman" w:hAnsi="Times New Roman"/>
          <w:kern w:val="2"/>
          <w:sz w:val="24"/>
          <w:szCs w:val="24"/>
          <w:lang w:val="en-US"/>
          <w14:ligatures w14:val="standardContextual"/>
        </w:rPr>
        <w:t xml:space="preserve"> - 30-50%, </w:t>
      </w:r>
      <w:r>
        <w:rPr>
          <w:rFonts w:eastAsia="Aptos" w:cs="Times New Roman" w:ascii="Times New Roman" w:hAnsi="Times New Roman"/>
          <w:kern w:val="2"/>
          <w:sz w:val="24"/>
          <w:szCs w:val="24"/>
          <w14:ligatures w14:val="standardContextual"/>
        </w:rPr>
        <w:t>ал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Қазақстанда</w:t>
      </w:r>
      <w:r>
        <w:rPr>
          <w:rFonts w:eastAsia="Aptos" w:cs="Times New Roman" w:ascii="Times New Roman" w:hAnsi="Times New Roman"/>
          <w:kern w:val="2"/>
          <w:sz w:val="24"/>
          <w:szCs w:val="24"/>
          <w:lang w:val="en-US"/>
          <w14:ligatures w14:val="standardContextual"/>
        </w:rPr>
        <w:t xml:space="preserve"> - 5%-</w:t>
      </w:r>
      <w:r>
        <w:rPr>
          <w:rFonts w:eastAsia="Aptos" w:cs="Times New Roman" w:ascii="Times New Roman" w:hAnsi="Times New Roman"/>
          <w:kern w:val="2"/>
          <w:sz w:val="24"/>
          <w:szCs w:val="24"/>
          <w14:ligatures w14:val="standardContextual"/>
        </w:rPr>
        <w:t>дан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төмен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белсенділік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деңгейі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мен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экономикалық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нәтижеліліктің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негізгі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көрсеткіштері</w:t>
      </w:r>
      <w:r>
        <w:rPr>
          <w:rFonts w:eastAsia="Aptos" w:cs="Times New Roman" w:ascii="Times New Roman" w:hAnsi="Times New Roman"/>
          <w:kern w:val="2"/>
          <w:sz w:val="24"/>
          <w:szCs w:val="24"/>
          <w:lang w:val="en-US"/>
          <w14:ligatures w14:val="standardContextual"/>
        </w:rPr>
        <w:t xml:space="preserve"> - </w:t>
      </w:r>
      <w:r>
        <w:rPr>
          <w:rFonts w:eastAsia="Aptos" w:cs="Times New Roman" w:ascii="Times New Roman" w:hAnsi="Times New Roman"/>
          <w:kern w:val="2"/>
          <w:sz w:val="24"/>
          <w:szCs w:val="24"/>
          <w14:ligatures w14:val="standardContextual"/>
        </w:rPr>
        <w:t>еңбек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өнімділігі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инвестициялардың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рентабельдігі</w:t>
      </w:r>
      <w:r>
        <w:rPr>
          <w:rFonts w:eastAsia="Aptos" w:cs="Times New Roman" w:ascii="Times New Roman" w:hAnsi="Times New Roman"/>
          <w:kern w:val="2"/>
          <w:sz w:val="24"/>
          <w:szCs w:val="24"/>
          <w:lang w:val="en-US"/>
          <w14:ligatures w14:val="standardContextual"/>
        </w:rPr>
        <w:t xml:space="preserve"> (ROI)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экспорттық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бәсекеге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қабілеттілік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арасында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берік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оң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корреляция</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орнатылды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Мысалы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Нидерландта</w:t>
      </w:r>
      <w:r>
        <w:rPr>
          <w:rFonts w:eastAsia="Aptos" w:cs="Times New Roman" w:ascii="Times New Roman" w:hAnsi="Times New Roman"/>
          <w:kern w:val="2"/>
          <w:sz w:val="24"/>
          <w:szCs w:val="24"/>
          <w:lang w:val="en-US"/>
          <w14:ligatures w14:val="standardContextual"/>
        </w:rPr>
        <w:t xml:space="preserve"> ROI 300%-</w:t>
      </w:r>
      <w:r>
        <w:rPr>
          <w:rFonts w:eastAsia="Aptos" w:cs="Times New Roman" w:ascii="Times New Roman" w:hAnsi="Times New Roman"/>
          <w:kern w:val="2"/>
          <w:sz w:val="24"/>
          <w:szCs w:val="24"/>
          <w14:ligatures w14:val="standardContextual"/>
        </w:rPr>
        <w:t>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жетсе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Қазақстанда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ол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небәрі</w:t>
      </w:r>
      <w:r>
        <w:rPr>
          <w:rFonts w:eastAsia="Aptos" w:cs="Times New Roman" w:ascii="Times New Roman" w:hAnsi="Times New Roman"/>
          <w:kern w:val="2"/>
          <w:sz w:val="24"/>
          <w:szCs w:val="24"/>
          <w:lang w:val="en-US"/>
          <w14:ligatures w14:val="standardContextual"/>
        </w:rPr>
        <w:t xml:space="preserve"> 80%-</w:t>
      </w:r>
      <w:r>
        <w:rPr>
          <w:rFonts w:eastAsia="Aptos" w:cs="Times New Roman" w:ascii="Times New Roman" w:hAnsi="Times New Roman"/>
          <w:kern w:val="2"/>
          <w:sz w:val="24"/>
          <w:szCs w:val="24"/>
          <w14:ligatures w14:val="standardContextual"/>
        </w:rPr>
        <w:t>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құрайды</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Зерттеу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барысында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инновацияларды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табысты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енгізудің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негізгі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институционалдық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технологиялық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ұйымдастырушылық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детерминанттары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анықталды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Оларға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ғылым</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бизнес</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мемлекеттің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тиімді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интеграциясы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инфрақұрылымның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болуы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білікті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адами</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ресурстарға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қол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жеткізу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қаржыландыру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тетіктерінің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болуы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сондай</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ақ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экспортқа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бағытталған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стратегиялар</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жатады</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Қазақстанның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аграрлық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секторының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диагностикалық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талдауы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институционалдық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инфрақұрылымдық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шектеулерді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көрсетті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атап</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айтқанда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мемлекеттік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қолдаудың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тиімсіз</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бөлінуі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тікелей</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субсидиялаудың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басым</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болуы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ғылым</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мен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өндіріс</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арасындағы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өзара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іс</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қимылдың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әлсіздігі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сондай</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ақ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озық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агротехнологияларға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қол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жеткізудің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шектеулілігі</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Аталған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сын</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қатерлерге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жауап</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ретінде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институционалдық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технологиялық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қаржылық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білім</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беру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инфрақұрылымдық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модульдерді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қамтитын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бес</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компонентті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даму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үлгісі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ұсынылды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Үлгі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кезең</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кезеңімен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іске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асыру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тетіктерін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прогресті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өлшейтін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индикаторларды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қарастырады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сондай</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ақ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мемлекеттік</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жекеменшік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әріптестіктің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маңыздылығын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айқындайды</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Модельді</w:t>
      </w:r>
      <w:r>
        <w:rPr>
          <w:rFonts w:eastAsia="Aptos" w:cs="Times New Roman" w:ascii="Times New Roman" w:hAnsi="Times New Roman"/>
          <w:kern w:val="2"/>
          <w:sz w:val="24"/>
          <w:szCs w:val="24"/>
          <w:lang w:val="en-US"/>
          <w14:ligatures w14:val="standardContextual"/>
        </w:rPr>
        <w:t xml:space="preserve"> 2033 </w:t>
      </w:r>
      <w:r>
        <w:rPr>
          <w:rFonts w:eastAsia="Aptos" w:cs="Times New Roman" w:ascii="Times New Roman" w:hAnsi="Times New Roman"/>
          <w:kern w:val="2"/>
          <w:sz w:val="24"/>
          <w:szCs w:val="24"/>
          <w14:ligatures w14:val="standardContextual"/>
        </w:rPr>
        <w:t>жылға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дейін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іске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асыру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болжамдары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белсенді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кәсіпорындар</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үлесін</w:t>
      </w:r>
      <w:r>
        <w:rPr>
          <w:rFonts w:eastAsia="Aptos" w:cs="Times New Roman" w:ascii="Times New Roman" w:hAnsi="Times New Roman"/>
          <w:kern w:val="2"/>
          <w:sz w:val="24"/>
          <w:szCs w:val="24"/>
          <w:lang w:val="en-US"/>
          <w14:ligatures w14:val="standardContextual"/>
        </w:rPr>
        <w:t xml:space="preserve"> 40%-</w:t>
      </w:r>
      <w:r>
        <w:rPr>
          <w:rFonts w:eastAsia="Aptos" w:cs="Times New Roman" w:ascii="Times New Roman" w:hAnsi="Times New Roman"/>
          <w:kern w:val="2"/>
          <w:sz w:val="24"/>
          <w:szCs w:val="24"/>
          <w14:ligatures w14:val="standardContextual"/>
        </w:rPr>
        <w:t>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дейін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арттыруға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еңбек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өнімділігін</w:t>
      </w:r>
      <w:r>
        <w:rPr>
          <w:rFonts w:eastAsia="Aptos" w:cs="Times New Roman" w:ascii="Times New Roman" w:hAnsi="Times New Roman"/>
          <w:kern w:val="2"/>
          <w:sz w:val="24"/>
          <w:szCs w:val="24"/>
          <w:lang w:val="en-US"/>
          <w14:ligatures w14:val="standardContextual"/>
        </w:rPr>
        <w:t xml:space="preserve"> 150-200%-</w:t>
      </w:r>
      <w:r>
        <w:rPr>
          <w:rFonts w:eastAsia="Aptos" w:cs="Times New Roman" w:ascii="Times New Roman" w:hAnsi="Times New Roman"/>
          <w:kern w:val="2"/>
          <w:sz w:val="24"/>
          <w:szCs w:val="24"/>
          <w14:ligatures w14:val="standardContextual"/>
        </w:rPr>
        <w:t>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өсіруге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өндіріс</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шығындарын</w:t>
      </w:r>
      <w:r>
        <w:rPr>
          <w:rFonts w:eastAsia="Aptos" w:cs="Times New Roman" w:ascii="Times New Roman" w:hAnsi="Times New Roman"/>
          <w:kern w:val="2"/>
          <w:sz w:val="24"/>
          <w:szCs w:val="24"/>
          <w:lang w:val="en-US"/>
          <w14:ligatures w14:val="standardContextual"/>
        </w:rPr>
        <w:t xml:space="preserve"> 20-30%-</w:t>
      </w:r>
      <w:r>
        <w:rPr>
          <w:rFonts w:eastAsia="Aptos" w:cs="Times New Roman" w:ascii="Times New Roman" w:hAnsi="Times New Roman"/>
          <w:kern w:val="2"/>
          <w:sz w:val="24"/>
          <w:szCs w:val="24"/>
          <w14:ligatures w14:val="standardContextual"/>
        </w:rPr>
        <w:t>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қысқартуға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және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аграрлық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экспорт</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көлемін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екі</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үш</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есеге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ұлғайтуға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мүмкіндік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бар</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екенін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көрсетеді</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14:ligatures w14:val="standardContextual"/>
        </w:rPr>
        <w:t>Бұл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зерттеу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ауыл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шаруашылығы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экономикасы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бойынша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ғылыми</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әдебиетке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үлес</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қосып</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қалыптасып</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келе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жатқан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экономикалардағы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аграрлық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салаларды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бағытта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дамытуға</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жүйелі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көзқарасты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ұсынады</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b/>
          <w:bCs/>
          <w:kern w:val="2"/>
          <w:sz w:val="24"/>
          <w:szCs w:val="24"/>
          <w14:ligatures w14:val="standardContextual"/>
        </w:rPr>
        <w:t>Түйін</w:t>
      </w:r>
      <w:r>
        <w:rPr>
          <w:rFonts w:eastAsia="Aptos" w:cs="Times New Roman" w:ascii="Times New Roman" w:hAnsi="Times New Roman"/>
          <w:b/>
          <w:bCs/>
          <w:kern w:val="2"/>
          <w:sz w:val="24"/>
          <w:szCs w:val="24"/>
          <w:lang w:val="en-US"/>
          <w14:ligatures w14:val="standardContextual"/>
        </w:rPr>
        <w:t xml:space="preserve"> </w:t>
      </w:r>
      <w:r>
        <w:rPr>
          <w:rFonts w:eastAsia="Aptos" w:cs="Times New Roman" w:ascii="Times New Roman" w:hAnsi="Times New Roman"/>
          <w:b/>
          <w:bCs/>
          <w:kern w:val="2"/>
          <w:sz w:val="24"/>
          <w:szCs w:val="24"/>
          <w14:ligatures w14:val="standardContextual"/>
        </w:rPr>
        <w:t>сөздер</w:t>
      </w:r>
      <w:r>
        <w:rPr>
          <w:rFonts w:eastAsia="Aptos" w:cs="Times New Roman" w:ascii="Times New Roman" w:hAnsi="Times New Roman"/>
          <w:b/>
          <w:bCs/>
          <w:kern w:val="2"/>
          <w:sz w:val="24"/>
          <w:szCs w:val="24"/>
          <w:lang w:val="en-US"/>
          <w14:ligatures w14:val="standardContextual"/>
        </w:rPr>
        <w:t>:</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аграрлық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инновациялар</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экономикалық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тиімділік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технологияларды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енгізу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еңбек</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өнімділігінің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өсуі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Қазақстан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ауыл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шаруашылығы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халықаралық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тәжірибе</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инновациялық</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даму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үлгісі</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ауыл</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шаруашылығын</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жаңғырту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орнықты</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даму</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агробизнестің</w:t>
      </w:r>
      <w:r>
        <w:rPr>
          <w:rFonts w:eastAsia="Aptos" w:cs="Times New Roman" w:ascii="Times New Roman" w:hAnsi="Times New Roman"/>
          <w:kern w:val="2"/>
          <w:sz w:val="24"/>
          <w:szCs w:val="24"/>
          <w:lang w:val="en-US"/>
          <w14:ligatures w14:val="standardContextual"/>
        </w:rPr>
        <w:t xml:space="preserve"> </w:t>
      </w:r>
      <w:r>
        <w:rPr>
          <w:rFonts w:eastAsia="Aptos" w:cs="Times New Roman" w:ascii="Times New Roman" w:hAnsi="Times New Roman"/>
          <w:kern w:val="2"/>
          <w:sz w:val="24"/>
          <w:szCs w:val="24"/>
          <w14:ligatures w14:val="standardContextual"/>
        </w:rPr>
        <w:t>трансформациясы</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b/>
          <w:bCs/>
          <w:kern w:val="2"/>
          <w:sz w:val="24"/>
          <w:szCs w:val="24"/>
          <w:lang w:val="en-US"/>
          <w14:ligatures w14:val="standardContextual"/>
        </w:rPr>
        <w:t xml:space="preserve">Introduction. </w:t>
      </w:r>
      <w:r>
        <w:rPr>
          <w:rFonts w:eastAsia="Aptos" w:cs="Times New Roman" w:ascii="Times New Roman" w:hAnsi="Times New Roman"/>
          <w:kern w:val="2"/>
          <w:sz w:val="24"/>
          <w:szCs w:val="24"/>
          <w:lang w:val="en-US"/>
          <w14:ligatures w14:val="standardContextual"/>
        </w:rPr>
        <w:t>The contemporary stage of agro-industrial complex (AIC) development is marked by the growing role of innovative technologies that drive productivity, sustainability, and competitiveness in agriculture. In the context of global challenges including climate change, population growth, and geopolitical instability-the transition to innovation-based models of crop and livestock production becomes a key factor in ensuring food security and economic growth. This issue is especially relevant for the Republic of Kazakhstan, where agriculture remains a strategically important sector of the economy, providing rural employment, export potential, and regional sustainability.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In recent years, Kazakhstan has shown an active commitment to modernizing its AIC through the adoption of advanced technologies. In crop production, this is reflected in the use of precision farming, satellite monitoring, automated irrigation systems, and digital platforms for enterprise management. In livestock production, key innovation areas include genomic selection technologies, automated feeding and health monitoring systems, and the development of smart farms. Government support is provided through programs such as «Digital Kazakhstan», «Agrobusiness-2025» and the «National Agro-Industrial Development Project», which include subsidies for technological upgrades, concessional lending, and the development of agricultural science.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Nevertheless, despite ongoing efforts, the level of innovation adoption within Kazakhstan’s AIC remains uneven. Large agroholdings are actively investing in modern technologies and demonstrating high economic efficiency, while small and medium-sized farms face significant barriers such as high implementation costs, a shortage of qualified personnel, and insufficient infrastructural support. Moreover, a dependency on imported technologies and equipment persists, limiting the sector’s sustainable development potential. In this context, a comprehensive analysis of the economic effectiveness of innovative technologies in Kazakhstan’s crop and livestock sectors holds both academic and practical importance.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Amid growing challenges related to food security and climate change, the innovative development of the agro-industrial sector becomes a strategic priority for national policy and research agendas. This is especially critical for Kazakhstan, where agriculture plays a pivotal role in domestic market provision and export development but struggles with low productivity, limited access to modern technologies, and stark regional disparities.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Numerous national and international scholars have addressed various aspects of innovation in agriculture. Contributions to the methodology for analyzing AIC economic development are found in the works of Daribayeva A.K., Shulenbayeva F., and Bauer M. [1]. Recent scientific discourse, especially against the backdrop of global technological advancement, increasingly underscores the urgency of innovation-led transformation in agriculture. While modern agricultural enterprises are becoming active agents in innovation, Clancy M.S., Moschini G., and Heisey P. note that the sector largely depends on external sources of technology and knowledge due to its relatively low internal innovative capacity [2].</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Similarly, Bjerke L. and Johansson S. emphasize that the geographic isolation of agricultural enterprises from urban and scientific hubs limits their access to innovation infrastructure and resources [3]. Andrade D., Pasini F., and Scarano F.R. argue that in countries prioritizing high-tech sectors (e.g., IT, biomedicine, aerospace), agriculture often falls outside the scope of national innovation policies [4].</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Contemporary research emphasises the importance of socio-technical innovation packages for the transformation of agri-food systems. Barrett C.B., Benton T., Fanzo J. and colleagues argue that successful agricultural modernisation requires a comprehensive approach that combines technological, institutional and social innovations [</w:t>
      </w:r>
      <w:r>
        <w:rPr>
          <w:rFonts w:eastAsia="Aptos" w:cs="Times New Roman" w:ascii="Times New Roman" w:hAnsi="Times New Roman"/>
          <w:kern w:val="2"/>
          <w:sz w:val="24"/>
          <w:szCs w:val="24"/>
          <w:lang w:val="kk-KZ"/>
          <w14:ligatures w14:val="standardContextual"/>
        </w:rPr>
        <w:t>5</w:t>
      </w:r>
      <w:r>
        <w:rPr>
          <w:rFonts w:eastAsia="Aptos" w:cs="Times New Roman" w:ascii="Times New Roman" w:hAnsi="Times New Roman"/>
          <w:kern w:val="2"/>
          <w:sz w:val="24"/>
          <w:szCs w:val="24"/>
          <w:lang w:val="en-US"/>
          <w14:ligatures w14:val="standardContextual"/>
        </w:rPr>
        <w:t>]. This approach is particularly relevant for developing economies, where, as Swinnen J. and Kuijpers R. note, inclusive value chains can significantly accelerate poverty reduction and increase agricultural productivity [</w:t>
      </w:r>
      <w:r>
        <w:rPr>
          <w:rFonts w:eastAsia="Aptos" w:cs="Times New Roman" w:ascii="Times New Roman" w:hAnsi="Times New Roman"/>
          <w:kern w:val="2"/>
          <w:sz w:val="24"/>
          <w:szCs w:val="24"/>
          <w:lang w:val="kk-KZ"/>
          <w14:ligatures w14:val="standardContextual"/>
        </w:rPr>
        <w:t>6</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This observation is particularly relevant for Kazakhstan: despite isolated cases of innovation in crop and livestock production, the agricultural sector as a whole remains under-attractive for investors (Talymova L.A., Zhukenov B.M., Akenov S.Sh., et al.) [</w:t>
      </w:r>
      <w:r>
        <w:rPr>
          <w:rFonts w:eastAsia="Aptos" w:cs="Times New Roman" w:ascii="Times New Roman" w:hAnsi="Times New Roman"/>
          <w:kern w:val="2"/>
          <w:sz w:val="24"/>
          <w:szCs w:val="24"/>
          <w:lang w:val="kk-KZ"/>
          <w14:ligatures w14:val="standardContextual"/>
        </w:rPr>
        <w:t>7</w:t>
      </w:r>
      <w:r>
        <w:rPr>
          <w:rFonts w:eastAsia="Aptos" w:cs="Times New Roman" w:ascii="Times New Roman" w:hAnsi="Times New Roman"/>
          <w:kern w:val="2"/>
          <w:sz w:val="24"/>
          <w:szCs w:val="24"/>
          <w:lang w:val="en-US"/>
          <w14:ligatures w14:val="standardContextual"/>
        </w:rPr>
        <w:t>]. Baudron F. and Liégeois F. warn that neglecting the innovation vector may lead to deteriorating food security, increased environmental stress, and declining international competitiveness [</w:t>
      </w:r>
      <w:r>
        <w:rPr>
          <w:rFonts w:eastAsia="Aptos" w:cs="Times New Roman" w:ascii="Times New Roman" w:hAnsi="Times New Roman"/>
          <w:kern w:val="2"/>
          <w:sz w:val="24"/>
          <w:szCs w:val="24"/>
          <w:lang w:val="kk-KZ"/>
          <w14:ligatures w14:val="standardContextual"/>
        </w:rPr>
        <w:t>8</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According to Campos H. and Żak A., the need for agricultural innovation today is driven not only by the imperative to increase productivity but also by shrinking land and labor resources, especially amid rapid urbanization [</w:t>
      </w:r>
      <w:r>
        <w:rPr>
          <w:rFonts w:eastAsia="Aptos" w:cs="Times New Roman" w:ascii="Times New Roman" w:hAnsi="Times New Roman"/>
          <w:kern w:val="2"/>
          <w:sz w:val="24"/>
          <w:szCs w:val="24"/>
          <w:lang w:val="kk-KZ"/>
          <w14:ligatures w14:val="standardContextual"/>
        </w:rPr>
        <w:t>9</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lang w:val="kk-KZ"/>
          <w14:ligatures w14:val="standardContextual"/>
        </w:rPr>
        <w:t>10</w:t>
      </w:r>
      <w:r>
        <w:rPr>
          <w:rFonts w:eastAsia="Aptos" w:cs="Times New Roman" w:ascii="Times New Roman" w:hAnsi="Times New Roman"/>
          <w:kern w:val="2"/>
          <w:sz w:val="24"/>
          <w:szCs w:val="24"/>
          <w:lang w:val="en-US"/>
          <w14:ligatures w14:val="standardContextual"/>
        </w:rPr>
        <w:t>]. Innovations represent the only viable mechanism for compensating these losses.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Significant attention in contemporary literature is devoted to digitalization as the primary vector of agricultural innovation. It is viewed as a strategic enabler of production transformation, management efficiency, and market integration (Abraliyev O.A., Sugirova G.S., Velesco S.; Kaldiyarov D.A., Kalymbekova Zh.K., Zhumanazarov K.B.; Shaynurov A.S., Smagulova Zh.B.) [</w:t>
      </w:r>
      <w:r>
        <w:rPr>
          <w:rFonts w:eastAsia="Aptos" w:cs="Times New Roman" w:ascii="Times New Roman" w:hAnsi="Times New Roman"/>
          <w:kern w:val="2"/>
          <w:sz w:val="24"/>
          <w:szCs w:val="24"/>
          <w:lang w:val="kk-KZ"/>
          <w14:ligatures w14:val="standardContextual"/>
        </w:rPr>
        <w:t>11</w:t>
      </w:r>
      <w:r>
        <w:rPr>
          <w:rFonts w:eastAsia="Aptos" w:cs="Times New Roman" w:ascii="Times New Roman" w:hAnsi="Times New Roman"/>
          <w:kern w:val="2"/>
          <w:sz w:val="24"/>
          <w:szCs w:val="24"/>
          <w:lang w:val="en-US"/>
          <w14:ligatures w14:val="standardContextual"/>
        </w:rPr>
        <w:t>-1</w:t>
      </w:r>
      <w:r>
        <w:rPr>
          <w:rFonts w:eastAsia="Aptos" w:cs="Times New Roman" w:ascii="Times New Roman" w:hAnsi="Times New Roman"/>
          <w:kern w:val="2"/>
          <w:sz w:val="24"/>
          <w:szCs w:val="24"/>
          <w:lang w:val="kk-KZ"/>
          <w14:ligatures w14:val="standardContextual"/>
        </w:rPr>
        <w:t>3</w:t>
      </w:r>
      <w:r>
        <w:rPr>
          <w:rFonts w:eastAsia="Aptos" w:cs="Times New Roman" w:ascii="Times New Roman" w:hAnsi="Times New Roman"/>
          <w:kern w:val="2"/>
          <w:sz w:val="24"/>
          <w:szCs w:val="24"/>
          <w:lang w:val="en-US"/>
          <w14:ligatures w14:val="standardContextual"/>
        </w:rPr>
        <w:t>]. Digital solutions enhance farmers' capacities in planning, accounting, and resource management, as highlighted by Shogenov B.A. and Mirzoeva A.R. [1</w:t>
      </w:r>
      <w:r>
        <w:rPr>
          <w:rFonts w:eastAsia="Aptos" w:cs="Times New Roman" w:ascii="Times New Roman" w:hAnsi="Times New Roman"/>
          <w:kern w:val="2"/>
          <w:sz w:val="24"/>
          <w:szCs w:val="24"/>
          <w:lang w:val="kk-KZ"/>
          <w14:ligatures w14:val="standardContextual"/>
        </w:rPr>
        <w:t>4</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kk-KZ"/>
          <w14:ligatures w14:val="standardContextual"/>
        </w:rPr>
      </w:pPr>
      <w:r>
        <w:rPr>
          <w:rFonts w:eastAsia="Aptos" w:cs="Times New Roman" w:ascii="Times New Roman" w:hAnsi="Times New Roman"/>
          <w:kern w:val="2"/>
          <w:sz w:val="24"/>
          <w:szCs w:val="24"/>
          <w:lang w:val="en-US"/>
          <w14:ligatures w14:val="standardContextual"/>
        </w:rPr>
        <w:t>Moreover, the relevance of innovation is closely tied to sustainable development. Several authors emphasize that long-term competitiveness in agriculture is unattainable without environmentally responsible innovations that promote the sustainable use of natural resources (Ferreira Apal, de Oliveira L., Talamini E.; Ndaba B., Roopnarain A., Haripriya R., et al.) [1</w:t>
      </w:r>
      <w:r>
        <w:rPr>
          <w:rFonts w:eastAsia="Aptos" w:cs="Times New Roman" w:ascii="Times New Roman" w:hAnsi="Times New Roman"/>
          <w:kern w:val="2"/>
          <w:sz w:val="24"/>
          <w:szCs w:val="24"/>
          <w:lang w:val="kk-KZ"/>
          <w14:ligatures w14:val="standardContextual"/>
        </w:rPr>
        <w:t>5</w:t>
      </w:r>
      <w:r>
        <w:rPr>
          <w:rFonts w:eastAsia="Aptos" w:cs="Times New Roman" w:ascii="Times New Roman" w:hAnsi="Times New Roman"/>
          <w:kern w:val="2"/>
          <w:sz w:val="24"/>
          <w:szCs w:val="24"/>
          <w:lang w:val="en-US"/>
          <w14:ligatures w14:val="standardContextual"/>
        </w:rPr>
        <w:t>,1</w:t>
      </w:r>
      <w:r>
        <w:rPr>
          <w:rFonts w:eastAsia="Aptos" w:cs="Times New Roman" w:ascii="Times New Roman" w:hAnsi="Times New Roman"/>
          <w:kern w:val="2"/>
          <w:sz w:val="24"/>
          <w:szCs w:val="24"/>
          <w:lang w:val="kk-KZ"/>
          <w14:ligatures w14:val="standardContextual"/>
        </w:rPr>
        <w:t>6</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objective of this study is to assess the economic effectiveness of innovation implementation in agricultural enterprises based on international experience and to develop an adapted model for Kazakhstan. To achieve this, the study addresses the following tasks: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14:ligatures w14:val="standardContextual"/>
        </w:rPr>
        <w:t>с</w:t>
      </w:r>
      <w:r>
        <w:rPr>
          <w:rFonts w:eastAsia="Aptos" w:cs="Times New Roman" w:ascii="Times New Roman" w:hAnsi="Times New Roman"/>
          <w:kern w:val="2"/>
          <w:sz w:val="24"/>
          <w:szCs w:val="24"/>
          <w:lang w:val="en-US"/>
          <w14:ligatures w14:val="standardContextual"/>
        </w:rPr>
        <w:t>onduct a comparative analysis of innovation implementation in the agricultural sectors of seven leading countries (USA, Netherlands, Israel, Germany, China, India, Brazil) for the period 2018-2024;</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identify key success factors determining the economic efficiency of innovation adoption in agriculture;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assess the current status and challenges of innovation diffusion in Kazakhstan’s agricultural enterprises;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 a model for innovation implementation in Kazakhstan’s agricultural sector based on international experience and national specificities;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propose a methodology for evaluating economic efficiency and forecasting the potential outcomes of the proposed model.</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scientific novelty of the study lies in the development of a comprehensive model for innovation deployment in Kazakhstan’s agricultural sector, based on a systematic analysis of international experience and adaptation of best practices to local conditions. The proposed model accounts for economic, social, environmental, and institutional dimensions of innovation, ensuring its comprehensiveness and practical applicability.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Thus, the innovative transformation of Kazakhstan’s agro-industrial complex is not merely desirable but strategically imperative. Global experience confirms that only the systemic adoption of advanced agritechnologies can ensure the sustainable growth and resilience of the sector.</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b/>
          <w:bCs/>
          <w:kern w:val="2"/>
          <w:sz w:val="24"/>
          <w:szCs w:val="24"/>
          <w:lang w:val="en-US"/>
          <w14:ligatures w14:val="standardContextual"/>
        </w:rPr>
        <w:t xml:space="preserve">Methodology and Materials. </w:t>
      </w:r>
      <w:r>
        <w:rPr>
          <w:rFonts w:eastAsia="Aptos" w:cs="Times New Roman" w:ascii="Times New Roman" w:hAnsi="Times New Roman"/>
          <w:kern w:val="2"/>
          <w:sz w:val="24"/>
          <w:szCs w:val="24"/>
          <w:lang w:val="en-US"/>
          <w14:ligatures w14:val="standardContextual"/>
        </w:rPr>
        <w:t>The methodological basis of this study is a systematic approach, within which the process of introducing innovative technologies in the agricultural sector is viewed as a complex multi-level system comprising interrelated economic, technological, institutional and social components. This approach provides a comprehensive understanding of the phenomenon under study and helps to identify sustainable patterns that influence the effectiveness of innovations in agriculture.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comparative analysis is based on a multi-criteria evaluation system that includes the following key indicators: the level of innovation adoption, expressed as a percentage of enterprises using innovative technologies; return on investment (ROI), calculated using a modified formula that incorporates sustainable development factors; labour productivity index with a base value of 2018 taken as 100%; investment intensity, measured as a share of gross domestic product in agriculture.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data collection and processing procedure was carried out in accordance with a structured protocol comprising five consecutive stages. The first stage involved the selection of primary data sources from the official databases of international organisations - the Organisation for Economic Co-operation and Development (OECD), the Food and Agriculture Organisation of the United Nations (FAO) and the World Intellectual Property Organisation (WIPO). The second stage involved validating the data obtained by cross-checking it with information from the national statistical services of the countries under study. The third stage involved analysing time series based on annual data for the period 2018-2024. The fourth stage involved the application of statistical methods, in particular Pearson's correlation analysis, in which a correlation coefficient of r &gt; 0.7 was interpreted as an indicator of a strong relationship. In the final fifth stage, forecast models were developed based on linear regression with a 95% confidence interval.</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According to the latest report by the Asian Development Bank, digital transformation in Central Asian agriculture shows significant potential for increasing productivity, with Kazakhstan identified as the country with the greatest potential for technological breakthroughs in the region [</w:t>
      </w:r>
      <w:r>
        <w:rPr>
          <w:rFonts w:eastAsia="Aptos" w:cs="Times New Roman" w:ascii="Times New Roman" w:hAnsi="Times New Roman"/>
          <w:kern w:val="2"/>
          <w:sz w:val="24"/>
          <w:szCs w:val="24"/>
          <w:lang w:val="kk-KZ"/>
          <w14:ligatures w14:val="standardContextual"/>
        </w:rPr>
        <w:t>17</w:t>
      </w:r>
      <w:r>
        <w:rPr>
          <w:rFonts w:eastAsia="Aptos" w:cs="Times New Roman" w:ascii="Times New Roman" w:hAnsi="Times New Roman"/>
          <w:kern w:val="2"/>
          <w:sz w:val="24"/>
          <w:szCs w:val="24"/>
          <w:lang w:val="en-US"/>
          <w14:ligatures w14:val="standardContextual"/>
        </w:rPr>
        <w:t>]. This confirms the need to intensify investment in the innovative development of the industry.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study used both general scientific methods (analysis, synthesis, comparison, generalisation) and specialised methods of economic research, including statistical analysis, econometric modelling and graphical data visualisation. The comprehensive application of these methods ensured the scientific validity and reproducibility of the results obtained.</w:t>
      </w:r>
    </w:p>
    <w:p>
      <w:pPr>
        <w:pStyle w:val="Normal"/>
        <w:suppressAutoHyphens w:val="true"/>
        <w:spacing w:lineRule="auto" w:line="240" w:before="0" w:after="0"/>
        <w:ind w:firstLine="709"/>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b/>
          <w:bCs/>
          <w:kern w:val="2"/>
          <w:sz w:val="24"/>
          <w:szCs w:val="24"/>
          <w:lang w:val="en-US"/>
          <w14:ligatures w14:val="standardContextual"/>
        </w:rPr>
        <w:t xml:space="preserve">Results and discussion. </w:t>
      </w:r>
      <w:r>
        <w:rPr>
          <w:rFonts w:eastAsia="Aptos" w:cs="Times New Roman" w:ascii="Times New Roman" w:hAnsi="Times New Roman"/>
          <w:kern w:val="2"/>
          <w:sz w:val="24"/>
          <w:szCs w:val="24"/>
          <w:lang w:val="en-US"/>
          <w14:ligatures w14:val="standardContextual"/>
        </w:rPr>
        <w:t>An analysis of international experience indicates that over the past 20 years, developing economies have become the primary drivers of global agricultural market growth-a trend expected to continue into the next decade. The increase in agricultural product consumption is mainly driven by population growth and rising incomes in low- and middle-income countries.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According to the OECD-FAO Agricultural Outlook 2024-2033, China’s influence on global food consumption is declining, with its share in global consumption growth projected to decrease from 28% in the previous decade to 11% in the next. In contrast, India and Southeast Asian countries are expected to account for 31% of global consumption growth by 2033.</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 key trend is that the increase in crop production will primarily result from productivity gains on existing agricultural lands, rather than expansion of cultivated areas. A significant portion of growth in the livestock and fisheries sectors will also stem from increased productivity. However, despite expected productivity gains-especially in low- and middle-income countries-substantial productivity gaps will persist, posing challenges to farm incomes and food security.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From an environmental sustainability perspective, the intensity of greenhouse gas emissions in agriculture is expected to decline. Nevertheless, direct emissions from the agricultural sector are projected to rise by 5% in absolute terms. Halving food loss by 2030 could potentially reduce global agricultural emissions by 4%.</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For the comparative analysis, seven countries were selected that represent various regions of the world and demonstrate successful practices in implementing innovative technologies in agriculture: The United States, Netherlands, Israel, Germany, China, India, and Brazil. These countries were chosen due to their leading positions in different aspects of agricultural innovation and their diverse approaches to innovation implementation.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An analysis of data from 2018 to 2024 reveals significant differences in the levels of innovation adoption across the agricultural sectors of the studied countries [1</w:t>
      </w:r>
      <w:r>
        <w:rPr>
          <w:rFonts w:eastAsia="Aptos" w:cs="Times New Roman" w:ascii="Times New Roman" w:hAnsi="Times New Roman"/>
          <w:kern w:val="2"/>
          <w:sz w:val="24"/>
          <w:szCs w:val="24"/>
          <w:lang w:val="kk-KZ"/>
          <w14:ligatures w14:val="standardContextual"/>
        </w:rPr>
        <w:t>8</w:t>
      </w:r>
      <w:r>
        <w:rPr>
          <w:rFonts w:eastAsia="Aptos" w:cs="Times New Roman" w:ascii="Times New Roman" w:hAnsi="Times New Roman"/>
          <w:kern w:val="2"/>
          <w:sz w:val="24"/>
          <w:szCs w:val="24"/>
          <w:lang w:val="en-US"/>
          <w14:ligatures w14:val="standardContextual"/>
        </w:rPr>
        <w:t xml:space="preserve"> - </w:t>
      </w:r>
      <w:r>
        <w:rPr>
          <w:rFonts w:eastAsia="Aptos" w:cs="Times New Roman" w:ascii="Times New Roman" w:hAnsi="Times New Roman"/>
          <w:kern w:val="2"/>
          <w:sz w:val="24"/>
          <w:szCs w:val="24"/>
          <w:lang w:val="kk-KZ"/>
          <w14:ligatures w14:val="standardContextual"/>
        </w:rPr>
        <w:t>20</w:t>
      </w:r>
      <w:r>
        <w:rPr>
          <w:rFonts w:eastAsia="Aptos" w:cs="Times New Roman" w:ascii="Times New Roman" w:hAnsi="Times New Roman"/>
          <w:kern w:val="2"/>
          <w:sz w:val="24"/>
          <w:szCs w:val="24"/>
          <w:lang w:val="en-US"/>
          <w14:ligatures w14:val="standardContextual"/>
        </w:rPr>
        <w:t>] ( Fig. 1).</w:t>
      </w:r>
    </w:p>
    <w:p>
      <w:pPr>
        <w:pStyle w:val="Normal"/>
        <w:widowControl w:val="false"/>
        <w:suppressAutoHyphens w:val="true"/>
        <w:spacing w:lineRule="auto" w:line="240" w:before="0" w:after="0"/>
        <w:ind w:firstLine="567"/>
        <w:jc w:val="center"/>
        <w:rPr>
          <w:rFonts w:ascii="Times New Roman" w:hAnsi="Times New Roman" w:eastAsia="Microsoft Sans Serif" w:cs="Times New Roman"/>
          <w:sz w:val="24"/>
          <w:szCs w:val="24"/>
          <w:lang w:val="en-US"/>
        </w:rPr>
      </w:pPr>
      <w:r>
        <w:rPr>
          <w:rFonts w:eastAsia="Microsoft Sans Serif" w:cs="Times New Roman" w:ascii="Times New Roman" w:hAnsi="Times New Roman"/>
          <w:sz w:val="24"/>
          <w:szCs w:val="24"/>
          <w:lang w:val="en-US"/>
        </w:rPr>
      </w:r>
    </w:p>
    <w:p>
      <w:pPr>
        <w:pStyle w:val="Normal"/>
        <w:widowControl w:val="false"/>
        <w:suppressAutoHyphens w:val="true"/>
        <w:spacing w:lineRule="auto" w:line="240" w:before="0" w:after="0"/>
        <w:ind w:firstLine="567"/>
        <w:jc w:val="center"/>
        <w:rPr>
          <w:rFonts w:ascii="Times New Roman" w:hAnsi="Times New Roman" w:eastAsia="Microsoft Sans Serif" w:cs="Times New Roman"/>
          <w:b/>
          <w:bCs/>
          <w:sz w:val="24"/>
          <w:szCs w:val="24"/>
          <w:lang w:val="en-US"/>
        </w:rPr>
      </w:pPr>
      <w:r>
        <w:rPr>
          <w:rFonts w:eastAsia="Microsoft Sans Serif" w:cs="Times New Roman" w:ascii="Times New Roman" w:hAnsi="Times New Roman"/>
          <w:b/>
          <w:bCs/>
          <w:sz w:val="24"/>
          <w:szCs w:val="24"/>
          <w:lang w:val="en-US"/>
        </w:rPr>
      </w:r>
    </w:p>
    <w:p>
      <w:pPr>
        <w:pStyle w:val="Normal"/>
        <w:suppressAutoHyphens w:val="true"/>
        <w:spacing w:lineRule="auto" w:line="240" w:before="0" w:after="0"/>
        <w:jc w:val="both"/>
        <w:rPr>
          <w:rFonts w:ascii="Times New Roman" w:hAnsi="Times New Roman" w:eastAsia="Aptos" w:cs="Times New Roman"/>
          <w:kern w:val="2"/>
          <w:sz w:val="24"/>
          <w:szCs w:val="24"/>
          <w:lang w:val="en-US"/>
          <w14:ligatures w14:val="standardContextual"/>
        </w:rPr>
      </w:pPr>
      <w:r>
        <w:rPr/>
        <w:drawing>
          <wp:inline distT="0" distB="0" distL="0" distR="0">
            <wp:extent cx="5940425" cy="2152650"/>
            <wp:effectExtent l="0" t="0" r="0" b="0"/>
            <wp:docPr id="29" name="Диаграмма 29"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1"/>
              </a:graphicData>
            </a:graphic>
          </wp:inline>
        </w:drawing>
      </w:r>
    </w:p>
    <w:p>
      <w:pPr>
        <w:pStyle w:val="Normal"/>
        <w:widowControl w:val="false"/>
        <w:suppressAutoHyphens w:val="true"/>
        <w:spacing w:lineRule="auto" w:line="240" w:before="0" w:after="0"/>
        <w:ind w:firstLine="567"/>
        <w:jc w:val="center"/>
        <w:rPr>
          <w:rFonts w:ascii="Times New Roman" w:hAnsi="Times New Roman" w:eastAsia="Microsoft Sans Serif" w:cs="Times New Roman"/>
          <w:b/>
          <w:bCs/>
          <w:sz w:val="20"/>
          <w:szCs w:val="20"/>
          <w:lang w:val="en-US"/>
        </w:rPr>
      </w:pPr>
      <w:r>
        <w:rPr>
          <w:rFonts w:eastAsia="Microsoft Sans Serif" w:cs="Times New Roman" w:ascii="Times New Roman" w:hAnsi="Times New Roman"/>
          <w:b/>
          <w:bCs/>
          <w:sz w:val="20"/>
          <w:szCs w:val="20"/>
          <w:lang w:val="en-US"/>
        </w:rPr>
        <w:t>Fig. 1 - Level of innovation technology adoption in the agricultural sector (2018-2024)</w:t>
      </w:r>
    </w:p>
    <w:p>
      <w:pPr>
        <w:pStyle w:val="Normal"/>
        <w:widowControl w:val="false"/>
        <w:suppressAutoHyphens w:val="true"/>
        <w:spacing w:lineRule="auto" w:line="240" w:before="0" w:after="0"/>
        <w:ind w:firstLine="567"/>
        <w:jc w:val="center"/>
        <w:rPr>
          <w:rFonts w:ascii="Times New Roman" w:hAnsi="Times New Roman" w:eastAsia="Microsoft Sans Serif" w:cs="Times New Roman"/>
          <w:sz w:val="24"/>
          <w:szCs w:val="24"/>
          <w:lang w:val="en-US"/>
        </w:rPr>
      </w:pPr>
      <w:r>
        <w:rPr>
          <w:rFonts w:eastAsia="Microsoft Sans Serif" w:cs="Times New Roman" w:ascii="Times New Roman" w:hAnsi="Times New Roman"/>
          <w:sz w:val="24"/>
          <w:szCs w:val="24"/>
          <w:lang w:val="en-US"/>
        </w:rPr>
      </w:r>
    </w:p>
    <w:p>
      <w:pPr>
        <w:pStyle w:val="Normal"/>
        <w:widowControl w:val="false"/>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As can be seen from the data presented in Figure 1, the highest level of innovation technology adoption in the agricultural sector in 2024 is recorded in developed countries. The Netherlands leads the way with 85%, followed by the United States (80%) and Israel and Germany (75% each). These figures reflect a high degree of technological maturity and a sustainable investment policy in the field of agricultural innovation.</w:t>
      </w:r>
    </w:p>
    <w:p>
      <w:pPr>
        <w:pStyle w:val="Normal"/>
        <w:widowControl w:val="false"/>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In countries with dynamically developing economies, the level of innovation implementation varies at an average level: China demonstrates an indicator of 50%, India - 40%, and Brazil - 30%. This indicates a gradual but purposeful movement of these countries towards the technological modernisation of agriculture.</w:t>
      </w:r>
    </w:p>
    <w:p>
      <w:pPr>
        <w:pStyle w:val="Normal"/>
        <w:widowControl w:val="false"/>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Kazakhstan, in turn, lags significantly behind both developed and rapidly developing countries: the level of implementation of innovative solutions in the agricultural sector was only 5% in 2024. This indicator points to a significant lag, requiring systematic measures of state support and stimulation of technological development in the industry.</w:t>
      </w:r>
    </w:p>
    <w:p>
      <w:pPr>
        <w:pStyle w:val="Normal"/>
        <w:widowControl w:val="false"/>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Despite varying levels of involvement, all countries surveyed show positive dynamics in the period from 2018 to 2024. The most pronounced growth rates are observed in China (an increase of 25 percentage points) and India (+20%), which indicates the implementation of active government policies aimed at introducing innovative solutions into agricultural production. At the same time, growth in Kazakhstan was only 2%, which may be due to institutional, financial and human resource barriers to technological modernisation of the agro-industrial complex.</w:t>
      </w:r>
    </w:p>
    <w:p>
      <w:pPr>
        <w:pStyle w:val="Normal"/>
        <w:widowControl w:val="false"/>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economic efficiency of introducing innovative technologies, measured by the return on investment (ROI) indicator, also varies significantly between countries [1</w:t>
      </w:r>
      <w:r>
        <w:rPr>
          <w:rFonts w:eastAsia="Aptos" w:cs="Times New Roman" w:ascii="Times New Roman" w:hAnsi="Times New Roman"/>
          <w:kern w:val="2"/>
          <w:sz w:val="24"/>
          <w:szCs w:val="24"/>
          <w:lang w:val="kk-KZ"/>
          <w14:ligatures w14:val="standardContextual"/>
        </w:rPr>
        <w:t>9</w:t>
      </w:r>
      <w:r>
        <w:rPr>
          <w:rFonts w:eastAsia="Aptos" w:cs="Times New Roman" w:ascii="Times New Roman" w:hAnsi="Times New Roman"/>
          <w:kern w:val="2"/>
          <w:sz w:val="24"/>
          <w:szCs w:val="24"/>
          <w:lang w:val="en-US"/>
          <w14:ligatures w14:val="standardContextual"/>
        </w:rPr>
        <w:t>,</w:t>
      </w:r>
      <w:r>
        <w:rPr>
          <w:rFonts w:eastAsia="Aptos" w:cs="Times New Roman" w:ascii="Times New Roman" w:hAnsi="Times New Roman"/>
          <w:kern w:val="2"/>
          <w:sz w:val="24"/>
          <w:szCs w:val="24"/>
          <w:lang w:val="kk-KZ"/>
          <w14:ligatures w14:val="standardContextual"/>
        </w:rPr>
        <w:t>21</w:t>
      </w:r>
      <w:r>
        <w:rPr>
          <w:rFonts w:eastAsia="Aptos" w:cs="Times New Roman" w:ascii="Times New Roman" w:hAnsi="Times New Roman"/>
          <w:kern w:val="2"/>
          <w:sz w:val="24"/>
          <w:szCs w:val="24"/>
          <w:lang w:val="en-US"/>
          <w14:ligatures w14:val="standardContextual"/>
        </w:rPr>
        <w:t>] (Fig. 2).</w:t>
      </w:r>
    </w:p>
    <w:p>
      <w:pPr>
        <w:pStyle w:val="Normal"/>
        <w:suppressAutoHyphens w:val="true"/>
        <w:spacing w:lineRule="auto" w:line="240" w:before="0" w:after="0"/>
        <w:ind w:firstLine="567"/>
        <w:jc w:val="both"/>
        <w:rPr>
          <w:rFonts w:ascii="Times New Roman" w:hAnsi="Times New Roman" w:eastAsia="Aptos" w:cs="Times New Roman"/>
          <w:b/>
          <w:bCs/>
          <w:kern w:val="2"/>
          <w:sz w:val="24"/>
          <w:szCs w:val="24"/>
          <w:lang w:val="en-US"/>
          <w14:ligatures w14:val="standardContextual"/>
        </w:rPr>
      </w:pPr>
      <w:r>
        <w:rPr>
          <w:rFonts w:eastAsia="Aptos" w:cs="Times New Roman" w:ascii="Times New Roman" w:hAnsi="Times New Roman"/>
          <w:b/>
          <w:bCs/>
          <w:kern w:val="2"/>
          <w:sz w:val="24"/>
          <w:szCs w:val="24"/>
          <w:lang w:val="en-US"/>
          <w14:ligatures w14:val="standardContextual"/>
        </w:rPr>
      </w:r>
    </w:p>
    <w:p>
      <w:pPr>
        <w:pStyle w:val="Normal"/>
        <w:widowControl w:val="false"/>
        <w:suppressAutoHyphens w:val="true"/>
        <w:spacing w:lineRule="auto" w:line="240" w:before="0" w:after="0"/>
        <w:ind w:left="28"/>
        <w:jc w:val="both"/>
        <w:rPr>
          <w:rFonts w:ascii="Times New Roman" w:hAnsi="Times New Roman" w:eastAsia="Microsoft Sans Serif" w:cs="Times New Roman"/>
          <w:sz w:val="24"/>
          <w:szCs w:val="24"/>
        </w:rPr>
      </w:pPr>
      <w:r>
        <w:rPr/>
        <w:drawing>
          <wp:inline distT="0" distB="0" distL="0" distR="0">
            <wp:extent cx="5940425" cy="2305050"/>
            <wp:effectExtent l="0" t="0" r="0" b="0"/>
            <wp:docPr id="30" name="Объект2"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inline>
        </w:drawing>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center"/>
        <w:rPr>
          <w:rFonts w:ascii="Times New Roman" w:hAnsi="Times New Roman" w:eastAsia="Aptos" w:cs="Times New Roman"/>
          <w:b/>
          <w:bCs/>
          <w:kern w:val="2"/>
          <w:sz w:val="20"/>
          <w:szCs w:val="20"/>
          <w:lang w:val="en-US"/>
          <w14:ligatures w14:val="standardContextual"/>
        </w:rPr>
      </w:pPr>
      <w:r>
        <w:rPr>
          <w:rFonts w:eastAsia="Aptos" w:cs="Times New Roman" w:ascii="Times New Roman" w:hAnsi="Times New Roman"/>
          <w:b/>
          <w:bCs/>
          <w:kern w:val="2"/>
          <w:sz w:val="20"/>
          <w:szCs w:val="20"/>
          <w:lang w:val="en-US"/>
          <w14:ligatures w14:val="standardContextual"/>
        </w:rPr>
        <w:t>Fig. 2 -  Economic Efficiency of Innovations in the Agricultural Sector (2018-2024)</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According to the data presented, the highest rates of return on investment in innovation in the agricultural sector in 2024 were recorded in the Netherlands (300%), the United States and Germany (280% each), and Israel (270%). These figures indicate the high effectiveness of innovation policy and a developed technology transfer system in these countries.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Countries with rapidly developing economies show moderate levels of return: China - 180%, India - 150%. These indicators reflect the positive effect of investments in technological modernisation and the introduction of advanced solutions, accompanied by an increase in agricultural productivity.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Relatively low profitability values are observed in Brazil (120%) and Kazakhstan (80%). Despite the positive dynamics, these values indicate insufficient effectiveness in realising the innovative potential in the agricultural sector of these countries, which may be due to structural constraints, weak institutional support and limited access to advanced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During the period 2018-2024, all countries analysed demonstrated growth in the return on investment in innovation, which indicates an increase in the effectiveness of the technologies being implemented and an improvement in the conditions for their application. The most significant increase in indicators was recorded in India and China, at +60 percentage points. This is due to the active development of innovation infrastructure, growth in investment in scientific research, and improvements in the quality of the solutions being implemented. In Kazakhstan, the increase was 40 percentage points, which is undoubtedly a positive shift. Nevertheless, in absolute terms, the return on investment remains low, which requires further systematic efforts to increase the return on innovation.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importance of government policy in stimulating innovation is confirmed by the experience of Kazakhstan, where the National Project for the Development of the Agro-Industrial Complex for 2021-2025 provides for the allocation of significant resources for the technological modernisation of the industry [</w:t>
      </w:r>
      <w:r>
        <w:rPr>
          <w:rFonts w:eastAsia="Aptos" w:cs="Times New Roman" w:ascii="Times New Roman" w:hAnsi="Times New Roman"/>
          <w:kern w:val="2"/>
          <w:sz w:val="24"/>
          <w:szCs w:val="24"/>
          <w:lang w:val="kk-KZ"/>
          <w14:ligatures w14:val="standardContextual"/>
        </w:rPr>
        <w:t>22</w:t>
      </w:r>
      <w:r>
        <w:rPr>
          <w:rFonts w:eastAsia="Aptos" w:cs="Times New Roman" w:ascii="Times New Roman" w:hAnsi="Times New Roman"/>
          <w:kern w:val="2"/>
          <w:sz w:val="24"/>
          <w:szCs w:val="24"/>
          <w:lang w:val="en-US"/>
          <w14:ligatures w14:val="standardContextual"/>
        </w:rPr>
        <w:t>]. However, as the analysis shows, the key challenge remains the effective use of the allocated funds.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level of investment in agricultural innovation, measured as a percentage of agricultural GDP, also varies significantly between countries [16,21] (Fig. 3).</w:t>
      </w:r>
    </w:p>
    <w:p>
      <w:pPr>
        <w:pStyle w:val="Normal"/>
        <w:suppressAutoHyphens w:val="true"/>
        <w:spacing w:lineRule="auto" w:line="240" w:before="0" w:after="0"/>
        <w:ind w:firstLine="567"/>
        <w:jc w:val="center"/>
        <w:rPr>
          <w:rFonts w:ascii="Times New Roman" w:hAnsi="Times New Roman" w:eastAsia="Aptos" w:cs="Times New Roman"/>
          <w:b/>
          <w:bCs/>
          <w:kern w:val="2"/>
          <w:sz w:val="24"/>
          <w:szCs w:val="24"/>
          <w:lang w:val="en-US"/>
          <w14:ligatures w14:val="standardContextual"/>
        </w:rPr>
      </w:pPr>
      <w:r>
        <w:rPr>
          <w:rFonts w:eastAsia="Aptos" w:cs="Times New Roman" w:ascii="Times New Roman" w:hAnsi="Times New Roman"/>
          <w:b/>
          <w:bCs/>
          <w:kern w:val="2"/>
          <w:sz w:val="24"/>
          <w:szCs w:val="24"/>
          <w:lang w:val="en-US"/>
          <w14:ligatures w14:val="standardContextual"/>
        </w:rPr>
      </w:r>
    </w:p>
    <w:p>
      <w:pPr>
        <w:pStyle w:val="Normal"/>
        <w:suppressAutoHyphens w:val="true"/>
        <w:spacing w:lineRule="auto" w:line="240" w:before="0" w:after="0"/>
        <w:jc w:val="both"/>
        <w:rPr>
          <w:rFonts w:ascii="Times New Roman" w:hAnsi="Times New Roman" w:eastAsia="Aptos" w:cs="Times New Roman"/>
          <w:kern w:val="2"/>
          <w:sz w:val="24"/>
          <w:szCs w:val="24"/>
          <w14:ligatures w14:val="standardContextual"/>
        </w:rPr>
      </w:pPr>
      <w:r>
        <w:rPr/>
        <w:drawing>
          <wp:inline distT="0" distB="0" distL="0" distR="0">
            <wp:extent cx="5886450" cy="2028825"/>
            <wp:effectExtent l="0" t="0" r="0" b="0"/>
            <wp:docPr id="31" name="Объект3"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p>
      <w:pPr>
        <w:pStyle w:val="Normal"/>
        <w:suppressAutoHyphens w:val="true"/>
        <w:spacing w:lineRule="auto" w:line="240" w:before="0" w:after="0"/>
        <w:ind w:firstLine="567"/>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center"/>
        <w:rPr>
          <w:rFonts w:ascii="Times New Roman" w:hAnsi="Times New Roman" w:eastAsia="Aptos" w:cs="Times New Roman"/>
          <w:b/>
          <w:bCs/>
          <w:kern w:val="2"/>
          <w:sz w:val="20"/>
          <w:szCs w:val="20"/>
          <w:lang w:val="en-US"/>
          <w14:ligatures w14:val="standardContextual"/>
        </w:rPr>
      </w:pPr>
      <w:r>
        <w:rPr>
          <w:rFonts w:eastAsia="Aptos" w:cs="Times New Roman" w:ascii="Times New Roman" w:hAnsi="Times New Roman"/>
          <w:b/>
          <w:bCs/>
          <w:kern w:val="2"/>
          <w:sz w:val="20"/>
          <w:szCs w:val="20"/>
          <w:lang w:val="en-US"/>
          <w14:ligatures w14:val="standardContextual"/>
        </w:rPr>
        <w:t>Fig. 3- Investments in agricultural innovation (2018-2024)</w:t>
      </w:r>
    </w:p>
    <w:p>
      <w:pPr>
        <w:pStyle w:val="Normal"/>
        <w:suppressAutoHyphens w:val="true"/>
        <w:spacing w:lineRule="auto" w:line="240" w:before="0" w:after="0"/>
        <w:ind w:firstLine="567"/>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An analysis of the distribution of investment resources in agricultural innovation by country in 2024 allows us to identify a group of global leaders demonstrating the highest level of investment relative to gross domestic product in agriculture. Thus, in the United States, the share of investment in agricultural innovation amounted to 3.2% of agricultural GDP, in Germany - 3.1%, in the Netherlands - 3.0%, and in Israel - 2.8%. These data reflect the sustained focus of these countries on innovation-oriented development of the agro-industrial complex, as well as the existence of effective mechanisms for financing scientific and technical developments in agriculture.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China shows a moderate level of investment - 2.2%, which nevertheless indicates a growing focus on the development of agricultural technologies as one of the priorities of state agricultural policy. India, Brazil and Kazakhstan are characterised by significantly lower indicators: 1.5%, 1.2% and 0.5%, respectively. The level is particularly low in Kazakhstan, which indicates limited funding for innovation in the agricultural sector and the existence of institutional and resource barriers.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At the same time, all countries showed growth in investment in agricultural innovation between 2018 and 2024. The most pronounced positive dynamics were recorded in China and India, where growth amounted to +0.7 percentage points. This confirms the existence of a sustainable trend towards strengthening state support and developing innovative infrastructure in the agricultural sector. In Kazakhstan, the increase was only 0.2 percentage points, which can be regarded as insufficient progress in the context of global trends and continuing technological backwardness.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One of the key indicators of the effectiveness of innovative technology implementation is the growth of labour productivity in the agricultural sector [</w:t>
      </w:r>
      <w:r>
        <w:rPr>
          <w:rFonts w:eastAsia="Aptos" w:cs="Times New Roman" w:ascii="Times New Roman" w:hAnsi="Times New Roman"/>
          <w:kern w:val="2"/>
          <w:sz w:val="24"/>
          <w:szCs w:val="24"/>
          <w:lang w:val="kk-KZ"/>
          <w14:ligatures w14:val="standardContextual"/>
        </w:rPr>
        <w:t>21</w:t>
      </w:r>
      <w:r>
        <w:rPr>
          <w:rFonts w:eastAsia="Aptos" w:cs="Times New Roman" w:ascii="Times New Roman" w:hAnsi="Times New Roman"/>
          <w:kern w:val="2"/>
          <w:sz w:val="24"/>
          <w:szCs w:val="24"/>
          <w:lang w:val="en-US"/>
          <w14:ligatures w14:val="standardContextual"/>
        </w:rPr>
        <w:t>,2</w:t>
      </w:r>
      <w:r>
        <w:rPr>
          <w:rFonts w:eastAsia="Aptos" w:cs="Times New Roman" w:ascii="Times New Roman" w:hAnsi="Times New Roman"/>
          <w:kern w:val="2"/>
          <w:sz w:val="24"/>
          <w:szCs w:val="24"/>
          <w:lang w:val="kk-KZ"/>
          <w14:ligatures w14:val="standardContextual"/>
        </w:rPr>
        <w:t>3</w:t>
      </w:r>
      <w:r>
        <w:rPr>
          <w:rFonts w:eastAsia="Aptos" w:cs="Times New Roman" w:ascii="Times New Roman" w:hAnsi="Times New Roman"/>
          <w:kern w:val="2"/>
          <w:sz w:val="24"/>
          <w:szCs w:val="24"/>
          <w:lang w:val="en-US"/>
          <w14:ligatures w14:val="standardContextual"/>
        </w:rPr>
        <w:t>] (Fig. 4).</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jc w:val="both"/>
        <w:rPr>
          <w:rFonts w:ascii="Times New Roman" w:hAnsi="Times New Roman" w:eastAsia="Aptos" w:cs="Times New Roman"/>
          <w:kern w:val="2"/>
          <w:sz w:val="24"/>
          <w:szCs w:val="24"/>
          <w14:ligatures w14:val="standardContextual"/>
        </w:rPr>
      </w:pPr>
      <w:r>
        <w:rPr/>
        <w:drawing>
          <wp:inline distT="0" distB="0" distL="0" distR="0">
            <wp:extent cx="5940425" cy="2190750"/>
            <wp:effectExtent l="0" t="0" r="0" b="0"/>
            <wp:docPr id="32" name="Объект4"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4"/>
              </a:graphicData>
            </a:graphic>
          </wp:inline>
        </w:drawing>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r>
    </w:p>
    <w:p>
      <w:pPr>
        <w:pStyle w:val="Normal"/>
        <w:widowControl w:val="false"/>
        <w:suppressAutoHyphens w:val="true"/>
        <w:spacing w:lineRule="auto" w:line="240" w:before="0" w:after="0"/>
        <w:ind w:firstLine="567"/>
        <w:jc w:val="center"/>
        <w:rPr>
          <w:rFonts w:ascii="Times New Roman" w:hAnsi="Times New Roman" w:eastAsia="Aptos" w:cs="Times New Roman"/>
          <w:b/>
          <w:bCs/>
          <w:kern w:val="2"/>
          <w:sz w:val="20"/>
          <w:szCs w:val="20"/>
          <w:lang w:val="en-US"/>
        </w:rPr>
      </w:pPr>
      <w:r>
        <w:rPr>
          <w:rFonts w:eastAsia="Aptos" w:cs="Times New Roman" w:ascii="Times New Roman" w:hAnsi="Times New Roman"/>
          <w:b/>
          <w:bCs/>
          <w:kern w:val="2"/>
          <w:sz w:val="20"/>
          <w:szCs w:val="20"/>
          <w:lang w:val="en-US"/>
        </w:rPr>
        <w:t>Fig. 4 - Labour productivity growth in the agricultural sector (2018-2024)</w:t>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data shows that the highest growth in labour productivity for the period 2018-2024 is observed in China (180%), India (160%), the Netherlands (150%) and Germany (145%). The United States, Israel and Brazil show average figures: 140%, 135% and 130% respectively. Kazakhstan shows the lowest labour productivity growth among the countries studied - 110%.</w:t>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base year was taken as 2018 (value = 100%).</w:t>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labour productivity growth index for 2024 was calculated for each country.</w:t>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-Labour productivity was measured as the volume of agricultural production per worker.</w:t>
      </w:r>
    </w:p>
    <w:p>
      <w:pPr>
        <w:pStyle w:val="Normal"/>
        <w:widowControl w:val="false"/>
        <w:suppressAutoHyphens w:val="true"/>
        <w:spacing w:lineRule="auto" w:line="240" w:before="0" w:after="0"/>
        <w:ind w:firstLine="567"/>
        <w:jc w:val="both"/>
        <w:rPr>
          <w:rFonts w:ascii="Times New Roman" w:hAnsi="Times New Roman" w:eastAsia="Microsoft Sans Serif" w:cs="Times New Roman"/>
          <w:sz w:val="24"/>
          <w:szCs w:val="24"/>
          <w:lang w:val="en-US"/>
        </w:rPr>
      </w:pPr>
      <w:r>
        <w:rPr>
          <w:rFonts w:eastAsia="Microsoft Sans Serif" w:cs="Times New Roman" w:ascii="Times New Roman" w:hAnsi="Times New Roman"/>
          <w:sz w:val="24"/>
          <w:szCs w:val="24"/>
          <w:lang w:val="en-US"/>
        </w:rPr>
        <w:t xml:space="preserve">It is important to note that there is a direct correlation between the level of innovation technology adoption and labour productivity growth (Fig.5).   </w:t>
      </w:r>
    </w:p>
    <w:p>
      <w:pPr>
        <w:pStyle w:val="Normal"/>
        <w:widowControl w:val="false"/>
        <w:suppressAutoHyphens w:val="true"/>
        <w:spacing w:lineRule="auto" w:line="240" w:before="0" w:after="0"/>
        <w:ind w:firstLine="567"/>
        <w:jc w:val="both"/>
        <w:rPr>
          <w:rFonts w:ascii="Times New Roman" w:hAnsi="Times New Roman" w:eastAsia="Microsoft Sans Serif" w:cs="Times New Roman"/>
          <w:sz w:val="24"/>
          <w:szCs w:val="24"/>
          <w:lang w:val="en-US"/>
        </w:rPr>
      </w:pPr>
      <w:r>
        <w:rPr>
          <w:rFonts w:eastAsia="Microsoft Sans Serif" w:cs="Times New Roman" w:ascii="Times New Roman" w:hAnsi="Times New Roman"/>
          <w:sz w:val="24"/>
          <w:szCs w:val="24"/>
          <w:lang w:val="en-US"/>
        </w:rPr>
      </w:r>
    </w:p>
    <w:p>
      <w:pPr>
        <w:pStyle w:val="Normal"/>
        <w:widowControl w:val="false"/>
        <w:suppressAutoHyphens w:val="true"/>
        <w:spacing w:lineRule="auto" w:line="240" w:before="0" w:after="0"/>
        <w:ind w:firstLine="567"/>
        <w:jc w:val="center"/>
        <w:rPr>
          <w:rFonts w:ascii="Times New Roman" w:hAnsi="Times New Roman" w:eastAsia="Microsoft Sans Serif" w:cs="Times New Roman"/>
          <w:sz w:val="24"/>
          <w:szCs w:val="24"/>
          <w:lang w:val="en-US"/>
        </w:rPr>
      </w:pPr>
      <w:r>
        <w:rPr/>
        <w:drawing>
          <wp:inline distT="0" distB="0" distL="0" distR="0">
            <wp:extent cx="4238625" cy="1647825"/>
            <wp:effectExtent l="0" t="0" r="0" b="0"/>
            <wp:docPr id="3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
                    <pic:cNvPicPr>
                      <a:picLocks noChangeAspect="1" noChangeArrowheads="1"/>
                    </pic:cNvPicPr>
                  </pic:nvPicPr>
                  <pic:blipFill>
                    <a:blip r:embed="rId165"/>
                    <a:stretch>
                      <a:fillRect/>
                    </a:stretch>
                  </pic:blipFill>
                  <pic:spPr bwMode="auto">
                    <a:xfrm>
                      <a:off x="0" y="0"/>
                      <a:ext cx="4238625" cy="1647825"/>
                    </a:xfrm>
                    <a:prstGeom prst="rect">
                      <a:avLst/>
                    </a:prstGeom>
                    <a:noFill/>
                  </pic:spPr>
                </pic:pic>
              </a:graphicData>
            </a:graphic>
          </wp:inline>
        </w:drawing>
      </w:r>
    </w:p>
    <w:p>
      <w:pPr>
        <w:pStyle w:val="Normal"/>
        <w:suppressAutoHyphens w:val="true"/>
        <w:spacing w:lineRule="auto" w:line="240" w:before="0" w:after="0"/>
        <w:ind w:firstLine="567"/>
        <w:jc w:val="center"/>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b/>
          <w:bCs/>
          <w:kern w:val="2"/>
          <w:sz w:val="20"/>
          <w:szCs w:val="20"/>
          <w:lang w:val="en-US"/>
          <w14:ligatures w14:val="standardContextual"/>
        </w:rPr>
        <w:t>Fig. 5 -Level of Innovation Implementation in 2018-2024 (%)</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As can be seen in Figure 5, countries with higher levels of innovation adoption tend to demonstrate higher labour productivity growth. However, there are exceptions: China and India show higher productivity growth with average levels of innovation adoption, which may be due to the «low base» effect and higher growth potential in these countries.</w:t>
      </w:r>
    </w:p>
    <w:p>
      <w:pPr>
        <w:pStyle w:val="Normal"/>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choice of a grain-producing enterprise for testing the model is determined by the priorities of the National Project for the Development of the Agro-Industrial Complex, where grain production is identified as one of the key areas for the introduction of innovative technologies [</w:t>
      </w:r>
      <w:r>
        <w:rPr>
          <w:rFonts w:eastAsia="Microsoft Sans Serif" w:cs="Times New Roman" w:ascii="Times New Roman" w:hAnsi="Times New Roman"/>
          <w:w w:val="105"/>
          <w:sz w:val="24"/>
          <w:szCs w:val="24"/>
          <w:lang w:val="kk-KZ"/>
        </w:rPr>
        <w:t>20</w:t>
      </w:r>
      <w:r>
        <w:rPr>
          <w:rFonts w:eastAsia="Microsoft Sans Serif" w:cs="Times New Roman" w:ascii="Times New Roman" w:hAnsi="Times New Roman"/>
          <w:w w:val="105"/>
          <w:sz w:val="24"/>
          <w:szCs w:val="24"/>
          <w:lang w:val="en-US"/>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Based on an analysis of international experience, the following key factors can be identified that determine the successful implementation of innovative technologies in the agricultural sector:</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Integration of science, business and government. The most successful examples of innovation implementation are observed in countries where effective interaction between scientific organisations, agricultural enterprises and government structures has been established. A striking example is the Netherlands, where Wageningen University and Research Centre closely cooperates with farmers and agribusinesses with the support of the state [18].</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Developed infrastructure and innovation ecosystem. Countries that are leaders in innovation implementation (the United States, Germany, the Netherlands) are characterised by a developed innovation infrastructure, including research centres, technology parks, incubators, demonstration farms and technology transfer centres.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Targeted state support. The successful examples of China and Israel demonstrate the importance of targeted state policies to support innovation in the agricultural sector. The key factor here is not so much the amount of support as its focus on the development of infrastructure and technologies, rather than direct subsidies [</w:t>
      </w:r>
      <w:r>
        <w:rPr>
          <w:rFonts w:eastAsia="Aptos" w:cs="Times New Roman" w:ascii="Times New Roman" w:hAnsi="Times New Roman"/>
          <w:kern w:val="2"/>
          <w:sz w:val="24"/>
          <w:szCs w:val="24"/>
          <w:lang w:val="kk-KZ"/>
          <w14:ligatures w14:val="standardContextual"/>
        </w:rPr>
        <w:t>20</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technological component includes the introduction of socio-technical innovation packages, the concept of which is detailed in the study by Klerkx L and co-authors [24]. This approach involves not simply borrowing technologies, but adapting them to local conditions, taking into account social and environmental factors.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Education and training. Countries with high levels of innovation pay particular attention to training qualified personnel for the agricultural sector. For example, Germany and the Netherlands have developed a dual education system that combines theoretical training with practical training in enterprises.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Access to financing. A developed system of financing innovative projects, including government programmes, private investment, venture capital and specialised funds, is an important factor for success. The United States leads the way in the development of venture financing in the agricultural sector [2</w:t>
      </w:r>
      <w:r>
        <w:rPr>
          <w:rFonts w:eastAsia="Aptos" w:cs="Times New Roman" w:ascii="Times New Roman" w:hAnsi="Times New Roman"/>
          <w:kern w:val="2"/>
          <w:sz w:val="24"/>
          <w:szCs w:val="24"/>
          <w:lang w:val="kk-KZ"/>
          <w14:ligatures w14:val="standardContextual"/>
        </w:rPr>
        <w:t>4</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Focus on exports and international competitiveness. Countries focused on agricultural exports (the Netherlands, the United States, Brazil) demonstrate a higher level of innovation, as international competition stimulates increased efficiency and product quality.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Kazakhstan's agricultural sector has significant potential for development thanks to its vast land resources (more than 272 million hectares of agricultural land) and favourable climatic conditions for growing various crops. However, despite this potential, the level of innovation in agriculture remains extremely low. According to a study conducted in 2024, the share of innovative technologies in Kazakhstan's agricultural production does not exceed 5% [1</w:t>
      </w:r>
      <w:r>
        <w:rPr>
          <w:rFonts w:eastAsia="Aptos" w:cs="Times New Roman" w:ascii="Times New Roman" w:hAnsi="Times New Roman"/>
          <w:kern w:val="2"/>
          <w:sz w:val="24"/>
          <w:szCs w:val="24"/>
          <w:lang w:val="kk-KZ"/>
          <w14:ligatures w14:val="standardContextual"/>
        </w:rPr>
        <w:t>8</w:t>
      </w:r>
      <w:r>
        <w:rPr>
          <w:rFonts w:eastAsia="Aptos" w:cs="Times New Roman" w:ascii="Times New Roman" w:hAnsi="Times New Roman"/>
          <w:kern w:val="2"/>
          <w:sz w:val="24"/>
          <w:szCs w:val="24"/>
          <w:lang w:val="en-US"/>
          <w14:ligatures w14:val="standardContextual"/>
        </w:rPr>
        <w:t>]. This is significantly lower than in developed countries (75-85%) and even in middle-income countries such as China (50%) and India (40%).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Investment in agricultural innovation in Kazakhstan accounts for only 0.5% of agricultural GDP, which is 6-7 times lower than in developed countries. At the same time, most of the state support for the agricultural sector is directed towards direct subsidies rather than infrastructure and technology development [2</w:t>
      </w:r>
      <w:r>
        <w:rPr>
          <w:rFonts w:eastAsia="Aptos" w:cs="Times New Roman" w:ascii="Times New Roman" w:hAnsi="Times New Roman"/>
          <w:kern w:val="2"/>
          <w:sz w:val="24"/>
          <w:szCs w:val="24"/>
          <w:lang w:val="kk-KZ"/>
          <w14:ligatures w14:val="standardContextual"/>
        </w:rPr>
        <w:t>5</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Labour productivity growth in Kazakhstan's agricultural sector for the period 2018-2024 was 110%, which is the lowest among</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countries studied. This indicates the low efficiency of the technologies and production methods used.</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return on investment in innovation in Kazakhstan's agricultural sector is 80%, which is significantly lower than in other countries. This is due to the inefficient use of investments, insufficient infrastructure development and low staff qualifications.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Based on an analysis of the current situation, the following main problems and barriers to the introduction of innovative technologies in Kazakhstan's agricultural sector can be identified:</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Inefficient use of state support. Most state support is directed towards direct subsidies rather than infrastructure and technology development. According to a study conducted in 2024, about 70% of state support for Kazakhstan's agricultural sector goes to direct subsidies [2</w:t>
      </w:r>
      <w:r>
        <w:rPr>
          <w:rFonts w:eastAsia="Aptos" w:cs="Times New Roman" w:ascii="Times New Roman" w:hAnsi="Times New Roman"/>
          <w:kern w:val="2"/>
          <w:sz w:val="24"/>
          <w:szCs w:val="24"/>
          <w:lang w:val="kk-KZ"/>
          <w14:ligatures w14:val="standardContextual"/>
        </w:rPr>
        <w:t>5</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Kazakhstan lacks adequate infrastructure for the storage, processing and transportation of agricultural products, which leads to significant losses and reduced production efficiency.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Weak integration of science and business. The lack of effective mechanisms for interaction between scientific organisations and agricultural enterprises hinders technology transfer and innovation implementation.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proposed model for introducing innovative technologies in Kazakhstan's agricultural sector is based on an analysis of international experience and the adaptation of best practices, taking into account national characteristics. The model is an integrated ecosystem that combines the key elements of successful innovation implementation identified in the analysis of the experience of leading countries.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key principles of the model are: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-Systematic and comprehensive approach - interconnected development of all elements of the innovation ecosystem</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-Results-oriented approach - priority of economic efficiency and sustainability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-Adaptability - taking into account regional characteristics and different types of farms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-Phased implementation - consistent implementation with measurable results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-Public-private partnership - joint efforts of the state and business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Structural components of the model.</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institutional component of the model is based on the experience of the Netherlands (integration of science, business and the state) and Israel (targeted state support). Proposed measures include: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a National Centre for Agricultural Innovation based on the model of Wageningen University (Netherlands);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formation of regional innovation clusters with the participation of universities, research centres and agribusiness;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reorientation of state support from direct subsidies to infrastructure and technology development;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developing a long-term strategy for innovative development of the agro-industrial complex with clear KPIs.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technological component of the model is based on the experience of Israel (water-saving technologies), the United States (digitalisation and automation) and Germany (precision farming). The proposed measures include: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introduction of a precision farming system adapted to the conditions of Kazakhstan;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water-saving technologies (drip irrigation, soil moisture monitoring);</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a digital platform for the agricultural sector with the integration of IoT, big data and AI;</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automation and robotics in large farms;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introduction of smart livestock farming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financial component of the model is based on the experience of the United States (venture capital financing) and China (government investment in innovation). The proposed measures include: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a specialised agricultural innovation fund with public and private capital;</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a preferential lending system for the introduction of innovative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introduction of mechanisms for insuring innovative risks;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tax incentives for investments in agricultural innovation;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leasing for innovative equipment and machinery.</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financial component is based on international experience in creating inclusive financial mechanisms. As demonstrated by Swinnen J. and Kuijpers R., access to finance is a critical factor for involving small and medium-sized farms in innovation processes [23].</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educational component of the model is based on the experience of the Netherlands (integration of education and practice) and Germany (dual education). The proposed measures include: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modernisation of agricultural education with a focus on innovative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demonstration farms at agricultural universities;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exchange programmes with leading agricultural universities around the worl;</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introduction of a system of continuing education for farmers and agribusiness specialists;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an online platform for training in modern agricultural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infrastructure component of the model is based on the experience of the Netherlands (logistics infrastructure) and Brazil (export infrastructure). The proposed measures include: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digital infrastructure in rural areas (broadband Internet, mobile communications);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modern logistics centres for storage and processing of products;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modernisation of irrigation systems with the introduction of smart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development of transport infrastructure for product exports;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a network of innovation centres for demonstrating and testing new technologies.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Based on an analysis of international experience and the current state of Kazakhstan's agricultural sector, the following results of the proposed model's implementation can be predicted by 2033:</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increase in the share of enterprises implementing innovations from 5% to 40%;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growth in labour productivity in the agricultural sector by 150-200%;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reduction in production costs by 20-30%;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increase in agricultural exports by 2-3 times;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reduction in water consumption per unit of production by 30-40%;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reduction of losses during storage and transportation by 50%;</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creation of 50-70 thousand new jobs in the high-tech agricultural sector.</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kk-KZ"/>
          <w14:ligatures w14:val="standardContextual"/>
        </w:rPr>
      </w:pPr>
      <w:r>
        <w:rPr>
          <w:rFonts w:eastAsia="Aptos" w:cs="Times New Roman" w:ascii="Times New Roman" w:hAnsi="Times New Roman"/>
          <w:kern w:val="2"/>
          <w:sz w:val="24"/>
          <w:szCs w:val="24"/>
          <w:lang w:val="en-US"/>
          <w14:ligatures w14:val="standardContextual"/>
        </w:rPr>
        <w:t>The projected indicators are consistent with regional trends identified by the Asian Development Bank, according to which Central Asian countries could increase agricultural productivity by 40-60% by 2030, provided that they successfully undergo digital transformation [</w:t>
      </w:r>
      <w:r>
        <w:rPr>
          <w:rFonts w:eastAsia="Aptos" w:cs="Times New Roman" w:ascii="Times New Roman" w:hAnsi="Times New Roman"/>
          <w:kern w:val="2"/>
          <w:sz w:val="24"/>
          <w:szCs w:val="24"/>
          <w:lang w:val="kk-KZ"/>
          <w14:ligatures w14:val="standardContextual"/>
        </w:rPr>
        <w:t>15</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xml:space="preserve">The forecast for productivity growth with an increase in the level of innovation implementation in Kazakhstan is presented in Fig. 6. </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 xml:space="preserve">                              </w:t>
      </w:r>
      <w:r>
        <w:rPr/>
        <w:drawing>
          <wp:inline distT="0" distB="0" distL="0" distR="0">
            <wp:extent cx="3657600" cy="1971675"/>
            <wp:effectExtent l="0" t="0" r="0" b="0"/>
            <wp:docPr id="34"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5" descr=""/>
                    <pic:cNvPicPr>
                      <a:picLocks noChangeAspect="1" noChangeArrowheads="1"/>
                    </pic:cNvPicPr>
                  </pic:nvPicPr>
                  <pic:blipFill>
                    <a:blip r:embed="rId166"/>
                    <a:srcRect l="0" t="4848" r="0" b="5252"/>
                    <a:stretch>
                      <a:fillRect/>
                    </a:stretch>
                  </pic:blipFill>
                  <pic:spPr bwMode="auto">
                    <a:xfrm>
                      <a:off x="0" y="0"/>
                      <a:ext cx="3657600" cy="1971675"/>
                    </a:xfrm>
                    <a:prstGeom prst="rect">
                      <a:avLst/>
                    </a:prstGeom>
                    <a:noFill/>
                  </pic:spPr>
                </pic:pic>
              </a:graphicData>
            </a:graphic>
          </wp:inline>
        </w:drawing>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center"/>
        <w:rPr>
          <w:rFonts w:ascii="Times New Roman" w:hAnsi="Times New Roman" w:eastAsia="Aptos" w:cs="Times New Roman"/>
          <w:b/>
          <w:bCs/>
          <w:kern w:val="2"/>
          <w:sz w:val="20"/>
          <w:szCs w:val="20"/>
          <w:lang w:val="en-US"/>
          <w14:ligatures w14:val="standardContextual"/>
        </w:rPr>
      </w:pPr>
      <w:r>
        <w:rPr>
          <w:rFonts w:eastAsia="Aptos" w:cs="Times New Roman" w:ascii="Times New Roman" w:hAnsi="Times New Roman"/>
          <w:b/>
          <w:bCs/>
          <w:kern w:val="2"/>
          <w:sz w:val="20"/>
          <w:szCs w:val="20"/>
          <w:lang w:val="en-US"/>
          <w14:ligatures w14:val="standardContextual"/>
        </w:rPr>
        <w:t>Fig.e 6 - Level of innovation implementation %</w:t>
      </w:r>
    </w:p>
    <w:p>
      <w:pPr>
        <w:pStyle w:val="Normal"/>
        <w:suppressAutoHyphens w:val="true"/>
        <w:spacing w:lineRule="auto" w:line="240" w:before="0" w:after="0"/>
        <w:ind w:firstLine="567"/>
        <w:jc w:val="center"/>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widowControl w:val="false"/>
        <w:suppressAutoHyphens w:val="true"/>
        <w:spacing w:lineRule="auto" w:line="240" w:before="0" w:after="0"/>
        <w:ind w:firstLine="567"/>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As can be seen from Fig. 6, increasing the level of innovation adoption from the current 5% to 40% could lead to a 180% increase in labour productivity by 2033. This would significantly improve the competitiveness of Kazakhstani agricultural products on international markets and ensure the sustainable development of the agricultural sector.</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To assess the economic efficiency of introducing innovative technologies in Kazakhstan's agricultural sector, we propose using the following formula (1).</w:t>
      </w:r>
      <w:r>
        <w:rPr>
          <w:rFonts w:eastAsia="Times New Roman" w:cs="Times New Roman" w:ascii="Times New Roman" w:hAnsi="Times New Roman"/>
          <w:sz w:val="24"/>
          <w:szCs w:val="24"/>
          <w:lang w:val="en-US"/>
        </w:rPr>
        <w:t xml:space="preserve"> </w:t>
      </w:r>
      <w:r>
        <w:rPr>
          <w:rFonts w:eastAsia="Microsoft Sans Serif" w:cs="Times New Roman" w:ascii="Times New Roman" w:hAnsi="Times New Roman"/>
          <w:w w:val="105"/>
          <w:sz w:val="24"/>
          <w:szCs w:val="24"/>
          <w:lang w:val="en-US"/>
        </w:rPr>
        <w:t>The proposed formula for assessing return on investment is a modified approach to the traditional ROI calculation, adapted to the specifics of Kazakhstan's agricultural sector:</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r>
    </w:p>
    <w:p>
      <w:pPr>
        <w:pStyle w:val="Normal"/>
        <w:widowControl w:val="false"/>
        <w:suppressAutoHyphens w:val="true"/>
        <w:spacing w:lineRule="auto" w:line="240" w:before="0" w:after="0"/>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 xml:space="preserve">                                                             </w:t>
      </w:r>
      <w:r>
        <w:rPr/>
      </w:r>
      <m:oMath xmlns:m="http://schemas.openxmlformats.org/officeDocument/2006/math">
        <m:r>
          <w:rPr>
            <w:rFonts w:ascii="Cambria Math" w:hAnsi="Cambria Math"/>
          </w:rPr>
          <m:t xml:space="preserve">ROI</m:t>
        </m:r>
        <m:r>
          <w:rPr>
            <w:rFonts w:ascii="Cambria Math" w:hAnsi="Cambria Math"/>
          </w:rPr>
          <m:t xml:space="preserve">=</m:t>
        </m:r>
        <m:f>
          <m:num>
            <m:r>
              <w:rPr>
                <w:rFonts w:ascii="Cambria Math" w:hAnsi="Cambria Math"/>
              </w:rPr>
              <m:t xml:space="preserve">ΔR</m:t>
            </m:r>
            <m:r>
              <w:rPr>
                <w:rFonts w:ascii="Cambria Math" w:hAnsi="Cambria Math"/>
              </w:rPr>
              <m:t xml:space="preserve">−</m:t>
            </m:r>
            <m:r>
              <w:rPr>
                <w:rFonts w:ascii="Cambria Math" w:hAnsi="Cambria Math"/>
              </w:rPr>
              <m:t xml:space="preserve">ΔC</m:t>
            </m:r>
          </m:num>
          <m:den>
            <m:r>
              <w:rPr>
                <w:rFonts w:ascii="Cambria Math" w:hAnsi="Cambria Math"/>
              </w:rPr>
              <m:t xml:space="preserve">I</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E</m:t>
            </m:r>
          </m:e>
        </m:d>
      </m:oMath>
      <w:r>
        <w:rPr>
          <w:rFonts w:eastAsia="Microsoft Sans Serif" w:cs="Times New Roman" w:ascii="Times New Roman" w:hAnsi="Times New Roman"/>
          <w:w w:val="105"/>
          <w:sz w:val="24"/>
          <w:szCs w:val="24"/>
          <w:lang w:val="en-US"/>
        </w:rPr>
        <w:t>(1)</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where:</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rPr>
        <w:t>Δ</w:t>
      </w:r>
      <w:r>
        <w:rPr>
          <w:rFonts w:eastAsia="Microsoft Sans Serif" w:cs="Times New Roman" w:ascii="Times New Roman" w:hAnsi="Times New Roman"/>
          <w:w w:val="105"/>
          <w:sz w:val="24"/>
          <w:szCs w:val="24"/>
          <w:lang w:val="en-US"/>
        </w:rPr>
        <w:t>R - revenue increment determined by the functional dependence on the technological and infrastructural components of the model;</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rPr>
        <w:t>Δ</w:t>
      </w:r>
      <w:r>
        <w:rPr>
          <w:rFonts w:eastAsia="Microsoft Sans Serif" w:cs="Times New Roman" w:ascii="Times New Roman" w:hAnsi="Times New Roman"/>
          <w:w w:val="105"/>
          <w:sz w:val="24"/>
          <w:szCs w:val="24"/>
          <w:lang w:val="en-US"/>
        </w:rPr>
        <w:t>C - change in operating costs determined by the synergistic effect of the financial and educational components;</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I - total investment accumulated across all five components of the model;</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S is the sensitivity coefficient, set at 0.3 for Kazakhstan based on an analysis of the volatility of the agricultural sector for the period 2018-2024;</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E is the external effect coefficient, estimated at 0.2 and reflecting the potential for export orientation.</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mechanism of interaction between the model components and the ROI formula parameters is characterised by the following functional dependencies:</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 xml:space="preserve">The institutional component has a modulating effect on the sensitivity coefficient S by ensuring the stability of agricultural policy, which can change its value in the range of ±0.1. The technological component demonstrates a direct positive correlation with revenue growth </w:t>
      </w:r>
      <w:r>
        <w:rPr>
          <w:rFonts w:eastAsia="Microsoft Sans Serif" w:cs="Times New Roman" w:ascii="Times New Roman" w:hAnsi="Times New Roman"/>
          <w:w w:val="105"/>
          <w:sz w:val="24"/>
          <w:szCs w:val="24"/>
        </w:rPr>
        <w:t>Δ</w:t>
      </w:r>
      <w:r>
        <w:rPr>
          <w:rFonts w:eastAsia="Microsoft Sans Serif" w:cs="Times New Roman" w:ascii="Times New Roman" w:hAnsi="Times New Roman"/>
          <w:w w:val="105"/>
          <w:sz w:val="24"/>
          <w:szCs w:val="24"/>
          <w:lang w:val="en-US"/>
        </w:rPr>
        <w:t xml:space="preserve">R, providing potential growth in the range of 20-30% with full-scale implementation. The financial component determines not only the volume of investment I, but also the weighted average cost of capital, affecting the discounting of future cash flows. The educational component contributes to a 15-20% reduction in operating costs </w:t>
      </w:r>
      <w:r>
        <w:rPr>
          <w:rFonts w:eastAsia="Microsoft Sans Serif" w:cs="Times New Roman" w:ascii="Times New Roman" w:hAnsi="Times New Roman"/>
          <w:w w:val="105"/>
          <w:sz w:val="24"/>
          <w:szCs w:val="24"/>
        </w:rPr>
        <w:t>Δ</w:t>
      </w:r>
      <w:r>
        <w:rPr>
          <w:rFonts w:eastAsia="Microsoft Sans Serif" w:cs="Times New Roman" w:ascii="Times New Roman" w:hAnsi="Times New Roman"/>
          <w:w w:val="105"/>
          <w:sz w:val="24"/>
          <w:szCs w:val="24"/>
          <w:lang w:val="en-US"/>
        </w:rPr>
        <w:t>C by improving staff qualifications and optimising production processes. The infrastructure component increases the external effect coefficient E in the range of 0.1-0.3 by improving access to domestic and international markets.</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To demonstrate the practical applicability of the developed model, we will calculate the economic efficiency of introducing innovative technologies using the example of a typical grain-producing farm in the Akmola region with a land bank of 5,000 hectares, specialising in wheat production.</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initial parameters of the farm at the beginning of 2024 are characterised by the following indicators: annual revenue from sales is 500 million tenge with production costs of 350 million tenge, which provides an operating profit of 150 million tenge. The planned investment in innovative technologies, including precision farming systems, satellite crop monitoring and automated equipment control, is 100 million tenge.</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projected results of the introduction of innovative technologies by 2026, based on an analysis of international experience and adapted to the conditions of northern Kazakhstan, suggest the following dynamics: revenue growth (</w:t>
      </w:r>
      <w:r>
        <w:rPr>
          <w:rFonts w:eastAsia="Microsoft Sans Serif" w:cs="Times New Roman" w:ascii="Times New Roman" w:hAnsi="Times New Roman"/>
          <w:w w:val="105"/>
          <w:sz w:val="24"/>
          <w:szCs w:val="24"/>
        </w:rPr>
        <w:t>Δ</w:t>
      </w:r>
      <w:r>
        <w:rPr>
          <w:rFonts w:eastAsia="Microsoft Sans Serif" w:cs="Times New Roman" w:ascii="Times New Roman" w:hAnsi="Times New Roman"/>
          <w:w w:val="105"/>
          <w:sz w:val="24"/>
          <w:szCs w:val="24"/>
          <w:lang w:val="en-US"/>
        </w:rPr>
        <w:t>R) will amount to 125 million tenge, which is equivalent to a 25% increase from the baseline due to higher yields and product quality; reduction in production costs (</w:t>
      </w:r>
      <w:r>
        <w:rPr>
          <w:rFonts w:eastAsia="Microsoft Sans Serif" w:cs="Times New Roman" w:ascii="Times New Roman" w:hAnsi="Times New Roman"/>
          <w:w w:val="105"/>
          <w:sz w:val="24"/>
          <w:szCs w:val="24"/>
        </w:rPr>
        <w:t>Δ</w:t>
      </w:r>
      <w:r>
        <w:rPr>
          <w:rFonts w:eastAsia="Microsoft Sans Serif" w:cs="Times New Roman" w:ascii="Times New Roman" w:hAnsi="Times New Roman"/>
          <w:w w:val="105"/>
          <w:sz w:val="24"/>
          <w:szCs w:val="24"/>
          <w:lang w:val="en-US"/>
        </w:rPr>
        <w:t>C) will reach 70 million tenge, or 20% of the baseline, thanks to optimised resource use; the sensitivity coefficient (S) is assumed to be 0.3, reflecting moderate volatility in the grain market; the external effect coefficient (E) is estimated at 0.2, taking into account the potential for entering export markets.</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Applying formula (1) to calculate the return on investment gives the following result:</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r>
    </w:p>
    <w:p>
      <w:pPr>
        <w:pStyle w:val="Normal"/>
        <w:widowControl w:val="false"/>
        <w:suppressAutoHyphens w:val="true"/>
        <w:spacing w:lineRule="auto" w:line="240" w:before="0" w:after="0"/>
        <w:ind w:firstLine="567" w:left="28"/>
        <w:jc w:val="center"/>
        <w:rPr>
          <w:rFonts w:ascii="Times New Roman" w:hAnsi="Times New Roman" w:eastAsia="Microsoft Sans Serif" w:cs="Times New Roman"/>
          <w:w w:val="105"/>
          <w:sz w:val="24"/>
          <w:szCs w:val="24"/>
          <w:lang w:val="kk-KZ"/>
        </w:rPr>
      </w:pPr>
      <w:r>
        <w:rPr/>
      </w:r>
      <m:oMathPara xmlns:m="http://schemas.openxmlformats.org/officeDocument/2006/math">
        <m:oMathParaPr>
          <m:jc m:val="center"/>
        </m:oMathParaPr>
        <m:oMath>
          <m:r>
            <w:rPr>
              <w:rFonts w:ascii="Cambria Math" w:hAnsi="Cambria Math"/>
            </w:rPr>
            <m:t xml:space="preserve">ROI</m:t>
          </m:r>
          <m:r>
            <w:rPr>
              <w:rFonts w:ascii="Cambria Math" w:hAnsi="Cambria Math"/>
            </w:rPr>
            <m:t xml:space="preserve">=</m:t>
          </m:r>
          <m:f>
            <m:num>
              <m:r>
                <w:rPr>
                  <w:rFonts w:ascii="Cambria Math" w:hAnsi="Cambria Math"/>
                </w:rPr>
                <m:t xml:space="preserve">125</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70</m:t>
                  </m:r>
                </m:e>
              </m:d>
            </m:num>
            <m:den>
              <m:r>
                <w:rPr>
                  <w:rFonts w:ascii="Cambria Math" w:hAnsi="Cambria Math"/>
                </w:rPr>
                <m:t xml:space="preserve">100</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0,3</m:t>
              </m:r>
              <m:r>
                <w:rPr>
                  <w:rFonts w:ascii="Cambria Math" w:hAnsi="Cambria Math"/>
                </w:rPr>
                <m:t xml:space="preserve">∗</m:t>
              </m:r>
              <m:r>
                <w:rPr>
                  <w:rFonts w:ascii="Cambria Math" w:hAnsi="Cambria Math"/>
                </w:rPr>
                <m:t xml:space="preserve">0,2</m:t>
              </m:r>
            </m:e>
          </m:d>
          <m:r>
            <w:rPr>
              <w:rFonts w:ascii="Cambria Math" w:hAnsi="Cambria Math"/>
            </w:rPr>
            <m:t xml:space="preserve">=</m:t>
          </m:r>
          <m:f>
            <m:num>
              <m:r>
                <w:rPr>
                  <w:rFonts w:ascii="Cambria Math" w:hAnsi="Cambria Math"/>
                </w:rPr>
                <m:t xml:space="preserve">195</m:t>
              </m:r>
            </m:num>
            <m:den>
              <m:r>
                <w:rPr>
                  <w:rFonts w:ascii="Cambria Math" w:hAnsi="Cambria Math"/>
                </w:rPr>
                <m:t xml:space="preserve">100</m:t>
              </m:r>
            </m:den>
          </m:f>
          <m:r>
            <w:rPr>
              <w:rFonts w:ascii="Cambria Math" w:hAnsi="Cambria Math"/>
            </w:rPr>
            <m:t xml:space="preserve">∗</m:t>
          </m:r>
          <m:r>
            <w:rPr>
              <w:rFonts w:ascii="Cambria Math" w:hAnsi="Cambria Math"/>
            </w:rPr>
            <m:t xml:space="preserve">1,06</m:t>
          </m:r>
          <m:r>
            <w:rPr>
              <w:rFonts w:ascii="Cambria Math" w:hAnsi="Cambria Math"/>
            </w:rPr>
            <m:t xml:space="preserve">=</m:t>
          </m:r>
          <m:r>
            <w:rPr>
              <w:rFonts w:ascii="Cambria Math" w:hAnsi="Cambria Math"/>
            </w:rPr>
            <m:t xml:space="preserve">2,067</m:t>
          </m:r>
        </m:oMath>
      </m:oMathPara>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kk-KZ"/>
        </w:rPr>
      </w:pPr>
      <w:r>
        <w:rPr>
          <w:rFonts w:eastAsia="Microsoft Sans Serif" w:cs="Times New Roman" w:ascii="Times New Roman" w:hAnsi="Times New Roman"/>
          <w:w w:val="105"/>
          <w:sz w:val="24"/>
          <w:szCs w:val="24"/>
          <w:lang w:val="kk-KZ"/>
        </w:rPr>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ROI value of 206.7% indicates the high economic efficiency of introducing innovative technologies with a payback period of less than two years, confirming the feasibility of the proposed model for Kazakhstan.</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architecture of the proposed model for introducing innovative technologies in Kazakhstan's agricultural sector is a hierarchically organized system of interconnected components (Fig 7), where each element performs a specific function in the overall mechanism of industry transformation.</w:t>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highlight w:val="cyan"/>
          <w:lang w:val="en-US"/>
        </w:rPr>
      </w:pPr>
      <w:r>
        <w:rPr>
          <w:rFonts w:eastAsia="Microsoft Sans Serif" w:cs="Times New Roman" w:ascii="Times New Roman" w:hAnsi="Times New Roman"/>
          <w:w w:val="105"/>
          <w:sz w:val="24"/>
          <w:szCs w:val="24"/>
          <w:highlight w:val="cyan"/>
          <w:lang w:val="en-US"/>
        </w:rPr>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highlight w:val="cyan"/>
          <w:lang w:val="en-US"/>
        </w:rPr>
      </w:pPr>
      <w:r>
        <w:rPr>
          <w:rFonts w:eastAsia="Microsoft Sans Serif" w:cs="Times New Roman" w:ascii="Times New Roman" w:hAnsi="Times New Roman"/>
          <w:w w:val="105"/>
          <w:sz w:val="24"/>
          <w:szCs w:val="24"/>
          <w:highlight w:val="cyan"/>
          <w:lang w:val="en-US"/>
        </w:rPr>
      </w:r>
    </w:p>
    <w:p>
      <w:pPr>
        <w:pStyle w:val="Normal"/>
        <w:widowControl w:val="false"/>
        <w:suppressAutoHyphens w:val="true"/>
        <w:spacing w:lineRule="auto" w:line="240" w:before="0" w:after="0"/>
        <w:ind w:firstLine="567" w:left="28"/>
        <w:jc w:val="center"/>
        <w:rPr>
          <w:rFonts w:ascii="Times New Roman" w:hAnsi="Times New Roman" w:eastAsia="Microsoft Sans Serif" w:cs="Times New Roman"/>
          <w:w w:val="105"/>
          <w:sz w:val="24"/>
          <w:szCs w:val="24"/>
          <w:highlight w:val="cyan"/>
          <w:lang w:val="en-US"/>
        </w:rPr>
      </w:pPr>
      <w:r>
        <w:rPr>
          <w:rFonts w:eastAsia="Microsoft Sans Serif" w:cs="Times New Roman" w:ascii="Times New Roman" w:hAnsi="Times New Roman"/>
          <w:w w:val="105"/>
          <w:sz w:val="24"/>
          <w:szCs w:val="24"/>
          <w:highlight w:val="cyan"/>
          <w:lang w:val="en-US"/>
        </w:rPr>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highlight w:val="cyan"/>
          <w:lang w:val="en-US"/>
        </w:rPr>
      </w:pPr>
      <w:r>
        <w:rPr>
          <w:rFonts w:eastAsia="Microsoft Sans Serif" w:cs="Times New Roman" w:ascii="Times New Roman" w:hAnsi="Times New Roman"/>
          <w:w w:val="105"/>
          <w:sz w:val="24"/>
          <w:szCs w:val="24"/>
          <w:highlight w:val="cyan"/>
          <w:lang w:val="en-US"/>
        </w:rPr>
      </w:r>
    </w:p>
    <w:p>
      <w:pPr>
        <w:pStyle w:val="Normal"/>
        <w:widowControl w:val="false"/>
        <w:suppressAutoHyphens w:val="true"/>
        <w:spacing w:lineRule="auto" w:line="240" w:before="0" w:after="0"/>
        <w:ind w:left="28"/>
        <w:jc w:val="both"/>
        <w:rPr>
          <w:rFonts w:ascii="Times New Roman" w:hAnsi="Times New Roman" w:eastAsia="Microsoft Sans Serif" w:cs="Times New Roman"/>
          <w:w w:val="105"/>
          <w:sz w:val="24"/>
          <w:szCs w:val="24"/>
          <w:highlight w:val="cyan"/>
          <w:lang w:val="en-US"/>
        </w:rPr>
      </w:pPr>
      <w:r>
        <w:rPr/>
        <w:drawing>
          <wp:inline distT="0" distB="0" distL="0" distR="0">
            <wp:extent cx="5939790" cy="6682105"/>
            <wp:effectExtent l="0" t="0" r="0" b="0"/>
            <wp:docPr id="35" name="New 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w picture" descr=""/>
                    <pic:cNvPicPr>
                      <a:picLocks noChangeAspect="1" noChangeArrowheads="1"/>
                    </pic:cNvPicPr>
                  </pic:nvPicPr>
                  <pic:blipFill>
                    <a:blip r:embed="rId167"/>
                    <a:stretch>
                      <a:fillRect/>
                    </a:stretch>
                  </pic:blipFill>
                  <pic:spPr bwMode="auto">
                    <a:xfrm>
                      <a:off x="0" y="0"/>
                      <a:ext cx="5939790" cy="6682105"/>
                    </a:xfrm>
                    <a:prstGeom prst="rect">
                      <a:avLst/>
                    </a:prstGeom>
                    <a:noFill/>
                  </pic:spPr>
                </pic:pic>
              </a:graphicData>
            </a:graphic>
          </wp:inline>
        </w:drawing>
      </w:r>
    </w:p>
    <w:p>
      <w:pPr>
        <w:pStyle w:val="Normal"/>
        <w:widowControl w:val="false"/>
        <w:suppressAutoHyphens w:val="true"/>
        <w:spacing w:lineRule="auto" w:line="240" w:before="0" w:after="0"/>
        <w:jc w:val="both"/>
        <w:rPr>
          <w:rFonts w:ascii="Times New Roman" w:hAnsi="Times New Roman" w:eastAsia="Microsoft Sans Serif" w:cs="Times New Roman"/>
          <w:w w:val="105"/>
          <w:sz w:val="24"/>
          <w:szCs w:val="24"/>
          <w:highlight w:val="cyan"/>
          <w:lang w:val="en-US"/>
        </w:rPr>
      </w:pPr>
      <w:r>
        <w:rPr>
          <w:rFonts w:eastAsia="Microsoft Sans Serif" w:cs="Times New Roman" w:ascii="Times New Roman" w:hAnsi="Times New Roman"/>
          <w:w w:val="105"/>
          <w:sz w:val="24"/>
          <w:szCs w:val="24"/>
          <w:highlight w:val="cyan"/>
          <w:lang w:val="en-US"/>
        </w:rPr>
      </w:r>
    </w:p>
    <w:p>
      <w:pPr>
        <w:pStyle w:val="Normal"/>
        <w:widowControl w:val="false"/>
        <w:suppressAutoHyphens w:val="true"/>
        <w:spacing w:lineRule="auto" w:line="240" w:before="0" w:after="0"/>
        <w:ind w:firstLine="567" w:left="28"/>
        <w:jc w:val="center"/>
        <w:rPr>
          <w:rFonts w:ascii="Times New Roman" w:hAnsi="Times New Roman" w:eastAsia="Microsoft Sans Serif" w:cs="Times New Roman"/>
          <w:b/>
          <w:bCs/>
          <w:w w:val="105"/>
          <w:sz w:val="20"/>
          <w:szCs w:val="20"/>
          <w:lang w:val="en-US"/>
        </w:rPr>
      </w:pPr>
      <w:r>
        <w:rPr>
          <w:rFonts w:eastAsia="Microsoft Sans Serif" w:cs="Times New Roman" w:ascii="Times New Roman" w:hAnsi="Times New Roman"/>
          <w:b/>
          <w:bCs/>
          <w:w w:val="105"/>
          <w:sz w:val="20"/>
          <w:szCs w:val="20"/>
          <w:lang w:val="en-US"/>
        </w:rPr>
        <w:t>Fig. 7 - Integrated model for introducing innovations in Kazakhstan's agricultural sector</w:t>
      </w:r>
    </w:p>
    <w:p>
      <w:pPr>
        <w:pStyle w:val="Normal"/>
        <w:widowControl w:val="false"/>
        <w:suppressAutoHyphens w:val="true"/>
        <w:spacing w:lineRule="auto" w:line="240" w:before="0" w:after="0"/>
        <w:jc w:val="both"/>
        <w:rPr>
          <w:rFonts w:ascii="Times New Roman" w:hAnsi="Times New Roman" w:eastAsia="Microsoft Sans Serif" w:cs="Times New Roman"/>
          <w:w w:val="105"/>
          <w:sz w:val="24"/>
          <w:szCs w:val="24"/>
          <w:highlight w:val="cyan"/>
          <w:lang w:val="en-US"/>
        </w:rPr>
      </w:pPr>
      <w:r>
        <w:rPr>
          <w:rFonts w:eastAsia="Microsoft Sans Serif" w:cs="Times New Roman" w:ascii="Times New Roman" w:hAnsi="Times New Roman"/>
          <w:w w:val="105"/>
          <w:sz w:val="24"/>
          <w:szCs w:val="24"/>
          <w:highlight w:val="cyan"/>
          <w:lang w:val="en-US"/>
        </w:rPr>
      </w:r>
    </w:p>
    <w:p>
      <w:pPr>
        <w:pStyle w:val="Normal"/>
        <w:widowControl w:val="false"/>
        <w:suppressAutoHyphens w:val="true"/>
        <w:spacing w:lineRule="auto" w:line="240" w:before="0" w:after="0"/>
        <w:ind w:firstLine="567" w:left="28"/>
        <w:jc w:val="both"/>
        <w:rPr>
          <w:rFonts w:ascii="Times New Roman" w:hAnsi="Times New Roman" w:eastAsia="Microsoft Sans Serif" w:cs="Times New Roman"/>
          <w:w w:val="105"/>
          <w:sz w:val="24"/>
          <w:szCs w:val="24"/>
          <w:lang w:val="en-US"/>
        </w:rPr>
      </w:pPr>
      <w:r>
        <w:rPr>
          <w:rFonts w:eastAsia="Microsoft Sans Serif" w:cs="Times New Roman" w:ascii="Times New Roman" w:hAnsi="Times New Roman"/>
          <w:w w:val="105"/>
          <w:sz w:val="24"/>
          <w:szCs w:val="24"/>
          <w:lang w:val="en-US"/>
        </w:rPr>
        <w:t>The structure presented demonstrates the cascading nature of component interaction, where the institutional component forms the regulatory and legal framework through the creation of a National Innovation Centre, the development of regional clusters, and the introduction of a system of key performance indicators. The technological component ensures the direct modernisation of production processes through the introduction of precision farming, smart irrigation systems and a unified digital management platform. The financial component creates the necessary economic conditions through the formation of a specialised innovation fund, preferential lending mechanisms and an innovation risk insurance system. The educational component guarantees staffing through the modernisation of university programmes, the creation of demonstration farms and the development of online learning platforms. The infrastructure component forms the material and technical base through the development of digital networks, the construction of modern logistics centres and the creation of export infrastructure.</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financial component of the model is based on international experience in creating inclusive financial mechanisms. As demonstrated by Swinnen J. and Kuijpers R., access to finance is a critical factor for involving small and medium-sized farms in innovation processes [</w:t>
      </w:r>
      <w:r>
        <w:rPr>
          <w:rFonts w:eastAsia="Aptos" w:cs="Times New Roman" w:ascii="Times New Roman" w:hAnsi="Times New Roman"/>
          <w:kern w:val="2"/>
          <w:sz w:val="24"/>
          <w:szCs w:val="24"/>
          <w:lang w:val="kk-KZ"/>
          <w14:ligatures w14:val="standardContextual"/>
        </w:rPr>
        <w:t>6</w:t>
      </w:r>
      <w:r>
        <w:rPr>
          <w:rFonts w:eastAsia="Aptos" w:cs="Times New Roman" w:ascii="Times New Roman" w:hAnsi="Times New Roman"/>
          <w:kern w:val="2"/>
          <w:sz w:val="24"/>
          <w:szCs w:val="24"/>
          <w:lang w:val="en-US"/>
          <w14:ligatures w14:val="standardContextual"/>
        </w:rPr>
        <w:t>].</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b/>
          <w:bCs/>
          <w:kern w:val="2"/>
          <w:sz w:val="24"/>
          <w:szCs w:val="24"/>
          <w:lang w:val="en-US"/>
          <w14:ligatures w14:val="standardContextual"/>
        </w:rPr>
        <w:t xml:space="preserve">Conclusion. </w:t>
      </w:r>
      <w:r>
        <w:rPr>
          <w:rFonts w:eastAsia="Aptos" w:cs="Times New Roman" w:ascii="Times New Roman" w:hAnsi="Times New Roman"/>
          <w:kern w:val="2"/>
          <w:sz w:val="24"/>
          <w:szCs w:val="24"/>
          <w:lang w:val="en-US"/>
          <w14:ligatures w14:val="standardContextual"/>
        </w:rPr>
        <w:t>The study demonstrated that the introduction of innovative technologies in the agricultural sector is a key factor in increasing its economic efficiency and competitiveness. International experience shows that there is a direct correlation between the level of innovation activity and growth in labour productivity, return on investment and the sustainability of agricultural production.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study showed that the introduction of innovative technologies in the agricultural sector is a key factor in increasing its economic efficiency and competitiveness. International experience demonstrates a direct correlation between the level of innovation adoption and growth in labour productivity, return on investment, and sustainability of agricultural production.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An analysis of the experience of seven leading countries (the United States, the Netherlands, Israel, Germany, China, India, and Brazil) has identified key factors for the successful introduction of innovations, including the integration of science, business and government, infrastructure development, targeted government support, training, access to finance and export orientation.</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current state of Kazakhstan's agricultural sector is characterised by a low level of innovation technology adoption (5% of enterprises), insufficient investment in innovation (0.5% of agricultural GDP) and low labour productivity growth (110% for 2018-2024). The main problems are the inefficient use of state support, insufficient infrastructure development, weak integration of science and business, a shortage of skilled personnel, and limited access to financing.</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proposed model for introducing innovative technologies in Kazakhstan's agricultural sector is based on an analysis of international experience and the adaptation of best practices, taking into account national characteristics. The model includes institutional, technological, financial, educational and infrastructure components with a phased implementation mechanism.</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projected results of the model's implementation by 2033 include an increase in the share of enterprises implementing innovations to 40%, a 150-200% increase in labour productivity, a 20-30% reduction in production costs, and a 2-3-fold increase in agricultural exports.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To assess the economic efficiency of innovation implementation, a formula has been proposed that takes into account not only financial indicators but also the contribution to environmental sustainability and export potential.</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implementation of the proposed model will significantly increase the economic efficiency of Kazakhstan's agricultural sector, ensure its sustainable development and competitiveness in international markets.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key to success is a systematic approach and consistent implementation of all components of the model, taking into account regional characteristics and different types of farms.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t>The proposed model is fully consistent with the strategic priorities of the Republic of Kazakhstan, as set out in the Concept for the Development of the Agro-Industrial Complex of the Republic of Kazakhstan for 2021-2030 and the National Project for the Development of the Agro-Industrial Complex for 2021-2025. The five-component structure of the model corresponds to the five priority areas of the National Project: institutional development, technological modernisation, ensuring financial accessibility, human capital development and infrastructure improvement. The implementation of the model will contribute to the achievement of the target indicators of state programmes, including a 2.5-fold increase in labour productivity by 2030, an increase in the share of processed agricultural products to 70% and a twofold increase in exports of agro-industrial products.</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Normal"/>
        <w:suppressAutoHyphens w:val="true"/>
        <w:spacing w:lineRule="auto" w:line="240" w:before="0" w:after="0"/>
        <w:ind w:firstLine="567"/>
        <w:jc w:val="both"/>
        <w:rPr>
          <w:rFonts w:ascii="Times New Roman" w:hAnsi="Times New Roman" w:eastAsia="Aptos" w:cs="Times New Roman"/>
          <w:b/>
          <w:kern w:val="2"/>
          <w:sz w:val="24"/>
          <w:szCs w:val="24"/>
          <w14:ligatures w14:val="standardContextual"/>
        </w:rPr>
      </w:pPr>
      <w:r>
        <w:rPr>
          <w:rFonts w:eastAsia="Aptos" w:cs="Times New Roman" w:ascii="Times New Roman" w:hAnsi="Times New Roman"/>
          <w:kern w:val="2"/>
          <w:sz w:val="24"/>
          <w:szCs w:val="24"/>
          <w:lang w:val="en-US"/>
          <w14:ligatures w14:val="standardContextual"/>
        </w:rPr>
        <w:tab/>
        <w:tab/>
        <w:tab/>
        <w:tab/>
        <w:tab/>
      </w:r>
      <w:r>
        <w:rPr>
          <w:rFonts w:eastAsia="Aptos" w:cs="Times New Roman" w:ascii="Times New Roman" w:hAnsi="Times New Roman"/>
          <w:b/>
          <w:kern w:val="2"/>
          <w:sz w:val="24"/>
          <w:szCs w:val="24"/>
          <w14:ligatures w14:val="standardContextual"/>
        </w:rPr>
        <w:t>Литература</w:t>
      </w:r>
    </w:p>
    <w:p>
      <w:pPr>
        <w:pStyle w:val="Normal"/>
        <w:suppressAutoHyphens w:val="true"/>
        <w:spacing w:lineRule="auto" w:line="240" w:before="0" w:after="0"/>
        <w:ind w:firstLine="567"/>
        <w:jc w:val="both"/>
        <w:rPr>
          <w:rFonts w:ascii="Times New Roman" w:hAnsi="Times New Roman" w:eastAsia="Aptos" w:cs="Times New Roman"/>
          <w:kern w:val="2"/>
          <w:sz w:val="24"/>
          <w:szCs w:val="24"/>
          <w:lang w:val="en-US"/>
          <w14:ligatures w14:val="standardContextual"/>
        </w:rPr>
      </w:pPr>
      <w:r>
        <w:rPr>
          <w:rFonts w:eastAsia="Aptos" w:cs="Times New Roman" w:ascii="Times New Roman" w:hAnsi="Times New Roman"/>
          <w:kern w:val="2"/>
          <w:sz w:val="24"/>
          <w:szCs w:val="24"/>
          <w:lang w:val="en-US"/>
          <w14:ligatures w14:val="standardContextual"/>
        </w:rPr>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Дарибаева А., Шуленбаева Ф., Бауэр М. Инновационный потенциал предприятий агропромышленного комплекса РК // Вестник КазУЭФМТ. </w:t>
      </w:r>
      <w:r>
        <w:rPr>
          <w:color w:themeColor="text1" w:val="000000"/>
        </w:rPr>
        <w:t>-</w:t>
      </w:r>
      <w:r>
        <w:rPr>
          <w:color w:themeColor="text1" w:val="000000"/>
          <w:lang w:val="kk-KZ"/>
        </w:rPr>
        <w:t xml:space="preserve">2019. </w:t>
      </w:r>
      <w:r>
        <w:rPr>
          <w:color w:themeColor="text1" w:val="000000"/>
        </w:rPr>
        <w:t>-</w:t>
      </w:r>
      <w:r>
        <w:rPr>
          <w:color w:themeColor="text1" w:val="000000"/>
          <w:lang w:val="kk-KZ"/>
        </w:rPr>
        <w:t xml:space="preserve">№4. </w:t>
      </w:r>
      <w:r>
        <w:rPr>
          <w:color w:themeColor="text1" w:val="000000"/>
        </w:rPr>
        <w:t>-</w:t>
      </w:r>
      <w:r>
        <w:rPr>
          <w:color w:themeColor="text1" w:val="000000"/>
          <w:lang w:val="kk-KZ"/>
        </w:rPr>
        <w:t xml:space="preserve">С. 50-58. ISSN 2304-7216. </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Clancy M. S., Moschini G., Heisey P. The roots of agricultural innovation: Evidence from patents//Economics of Research and Innovation in Agriculture. University of Chicago Press. - 2019. - P. 21-75. ISBN 978-0-226-77905-8, 978-0-226-77919-5. </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Bjerke L., Johansson S. Innovation in agriculture: An analysis of Swedish agricultural and non-agricultural firms // Food Policy. -2022. -Vol. 109: 102269. DOI </w:t>
      </w:r>
      <w:hyperlink r:id="rId168" w:tgtFrame="_blank">
        <w:r>
          <w:rPr>
            <w:rStyle w:val="Style3"/>
            <w:color w:themeColor="text1" w:val="000000"/>
            <w:lang w:val="kk-KZ"/>
          </w:rPr>
          <w:t>10.1016/j.foodpol.2022.102269</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Andrade D., Pasini F., Scarano F. R. Syntropy and innovation in agriculture // Current Opinion in Environmental Sustainability. -2020. -Vol. 45. -P. 20-24. DOI </w:t>
      </w:r>
      <w:hyperlink r:id="rId169" w:tgtFrame="_blank">
        <w:r>
          <w:rPr>
            <w:rStyle w:val="Style3"/>
            <w:color w:themeColor="text1" w:val="000000"/>
            <w:lang w:val="kk-KZ"/>
          </w:rPr>
          <w:t>10.1016/j.cosust.2020.08.003</w:t>
        </w:r>
      </w:hyperlink>
      <w:r>
        <w:rPr>
          <w:color w:themeColor="text1" w:val="000000"/>
          <w:lang w:val="en-US"/>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Barrett C.B., Benton T., Fanzo J., Herrero M., Nelson R.J., Bageant E., et al. Socio-Technical Innovation Bundles for Agri-Food Systems Transformation /Springer Nature. Sustainable Development Goals Series. -2022. -195 p. DOI </w:t>
      </w:r>
      <w:hyperlink r:id="rId170" w:tgtFrame="_new">
        <w:r>
          <w:rPr>
            <w:rStyle w:val="Style3"/>
            <w:color w:themeColor="text1" w:val="000000"/>
            <w:lang w:val="kk-KZ"/>
          </w:rPr>
          <w:t>10.1007/978-3-030888022</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Swinnen J., Kuijpers R. Inclusive Value Chains to Accelerate Poverty Reduction in Africa / Jobs Working Paper. World Bank. -2020. -No. 37. -44p. URL: </w:t>
      </w:r>
      <w:hyperlink r:id="rId171" w:tgtFrame="_new">
        <w:r>
          <w:rPr>
            <w:rStyle w:val="Style3"/>
            <w:color w:themeColor="text1" w:val="000000"/>
            <w:lang w:val="kk-KZ"/>
          </w:rPr>
          <w:t>http://hdl.handle.net/10986/33397</w:t>
        </w:r>
      </w:hyperlink>
      <w:r>
        <w:rPr>
          <w:color w:themeColor="text1" w:val="000000"/>
          <w:lang w:val="kk-KZ"/>
        </w:rPr>
        <w:t xml:space="preserve">. </w:t>
      </w:r>
      <w:r>
        <w:rPr>
          <w:color w:themeColor="text1" w:val="000000"/>
          <w:lang w:val="en-US"/>
        </w:rPr>
        <w:t>-</w:t>
      </w:r>
      <w:r>
        <w:rPr>
          <w:color w:themeColor="text1" w:val="000000"/>
          <w:lang w:val="kk-KZ"/>
        </w:rPr>
        <w:t>Дата обращения: 20.06.2025.</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Талимова Л.А., Жукенов Б.М., Акенов С.Ш., Сайфуллина Ю.М. Приоритетные направления инновационно-технологического развития агропромышленного комплекса Казахстана// Вестник университета «Туран». -2020. </w:t>
      </w:r>
      <w:r>
        <w:rPr>
          <w:color w:themeColor="text1" w:val="000000"/>
        </w:rPr>
        <w:t>-</w:t>
      </w:r>
      <w:r>
        <w:rPr>
          <w:color w:themeColor="text1" w:val="000000"/>
          <w:lang w:val="kk-KZ"/>
        </w:rPr>
        <w:t xml:space="preserve">T.4(88). </w:t>
      </w:r>
      <w:r>
        <w:rPr>
          <w:color w:themeColor="text1" w:val="000000"/>
        </w:rPr>
        <w:t>-</w:t>
      </w:r>
      <w:r>
        <w:rPr>
          <w:color w:themeColor="text1" w:val="000000"/>
          <w:lang w:val="kk-KZ"/>
        </w:rPr>
        <w:t>C.219-225. </w:t>
      </w:r>
      <w:hyperlink r:id="rId172" w:tgtFrame="_blank">
        <w:r>
          <w:rPr>
            <w:rStyle w:val="Style3"/>
            <w:color w:themeColor="text1" w:val="000000"/>
            <w:lang w:val="kk-KZ"/>
          </w:rPr>
          <w:t>DOI 10.46914/1562-2959-2020-1-4-219-225</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Baudron F., Liégeois F. Fixing our global agricultural system to prevent the next COVID-19//Outlook on Agriculture. -2020. -Vol. 49 (2). -P. 111–118. DOI </w:t>
      </w:r>
      <w:hyperlink r:id="rId173" w:tgtFrame="_new">
        <w:r>
          <w:rPr>
            <w:rStyle w:val="Style3"/>
            <w:color w:themeColor="text1" w:val="000000"/>
            <w:lang w:val="kk-KZ"/>
          </w:rPr>
          <w:t>10.1177/0030727020931122</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Campos H. The Innovatsion Revolution in Agriculture. A roadmap to Value Creation / Hugo Campos Editor. -2021. - 234 p. DOI 1</w:t>
      </w:r>
      <w:hyperlink r:id="rId174" w:tgtFrame="_new">
        <w:r>
          <w:rPr>
            <w:rStyle w:val="Style3"/>
            <w:color w:themeColor="text1" w:val="000000"/>
            <w:lang w:val="kk-KZ"/>
          </w:rPr>
          <w:t>0.1007/978-3-030-50991-0</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Żak A. Innovations in plant production as an opportunity for Polish agriculture // Agribusiness and Rural Development. -2017. -Vol. 1(43). -P. 239–246. DOI </w:t>
      </w:r>
      <w:hyperlink r:id="rId175" w:tgtFrame="_new">
        <w:r>
          <w:rPr>
            <w:rStyle w:val="Style3"/>
            <w:color w:themeColor="text1" w:val="000000"/>
            <w:lang w:val="kk-KZ"/>
          </w:rPr>
          <w:t>10.17306/J.JARD.2017.00317</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Абралиев О.А., Сугирова Г.С., Велеско С. Аграрный сектор Казахстана: ориентация на инновационное развитие//Проблемы агрорынка. -2023. -№ (1). </w:t>
      </w:r>
      <w:r>
        <w:rPr>
          <w:color w:themeColor="text1" w:val="000000"/>
        </w:rPr>
        <w:t>-</w:t>
      </w:r>
      <w:r>
        <w:rPr>
          <w:color w:themeColor="text1" w:val="000000"/>
          <w:lang w:val="kk-KZ"/>
        </w:rPr>
        <w:t>C.23-31. </w:t>
      </w:r>
      <w:hyperlink r:id="rId176" w:tgtFrame="_blank">
        <w:r>
          <w:rPr>
            <w:rStyle w:val="Style3"/>
            <w:color w:themeColor="text1" w:val="000000"/>
            <w:lang w:val="kk-KZ"/>
          </w:rPr>
          <w:t>DOI 10.46666/2023-1.2708-9991.02</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Калдияров Д.А., Калымбекова Ж.К., Жуманазаров К.Б. Цифровая инновационная экосистема агропромышленного комплекса Казахстана: обзор предметной области// Проблемы агрорынка. -2023. -№ 3. </w:t>
      </w:r>
      <w:r>
        <w:rPr>
          <w:color w:themeColor="text1" w:val="000000"/>
        </w:rPr>
        <w:t>-</w:t>
      </w:r>
      <w:r>
        <w:rPr>
          <w:color w:themeColor="text1" w:val="000000"/>
          <w:lang w:val="kk-KZ"/>
        </w:rPr>
        <w:t>C.34-41. </w:t>
      </w:r>
      <w:hyperlink r:id="rId177" w:tgtFrame="_blank">
        <w:r>
          <w:rPr>
            <w:rStyle w:val="Style3"/>
            <w:color w:themeColor="text1" w:val="000000"/>
            <w:lang w:val="kk-KZ"/>
          </w:rPr>
          <w:t>DOI 10.46666/2023-3.2708-9991.03</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Шайнуров А.С., Смагулова Ж.Б. Предпосылки и проблемы цифровизации АПК Казахстана//Вестник университета «Туран». -2024. -№1. -C.156-169. </w:t>
      </w:r>
      <w:hyperlink r:id="rId178" w:tgtFrame="_blank">
        <w:r>
          <w:rPr>
            <w:rStyle w:val="Style3"/>
            <w:color w:themeColor="text1" w:val="000000"/>
            <w:lang w:val="kk-KZ"/>
          </w:rPr>
          <w:t>DOI 10.46914/1562-2959-2024-1-1-156-169</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Shogenov B.A., Mirzoeva A.R. Problemy tsifrovizatsii v otrasli rastenievodstva //Russian Journal of Management. -2023. </w:t>
      </w:r>
      <w:r>
        <w:rPr>
          <w:color w:themeColor="text1" w:val="000000"/>
          <w:lang w:val="en-US"/>
        </w:rPr>
        <w:t>-</w:t>
      </w:r>
      <w:r>
        <w:rPr>
          <w:color w:themeColor="text1" w:val="000000"/>
          <w:lang w:val="kk-KZ"/>
        </w:rPr>
        <w:t>T. 4. -S. 478–489. DOI 10.29039/2409-6024-2023-11-4-478-489.</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Ferreira A.P.A.L., de Oliveira L., Talamini E. Land use returns in organic and conventional farming systems: financial and beyond // Organic Agriculture. -2022. -Vol. 12. -P. 353–371. DOI </w:t>
      </w:r>
      <w:hyperlink r:id="rId179" w:tgtFrame="_new">
        <w:r>
          <w:rPr>
            <w:rStyle w:val="Style3"/>
            <w:color w:themeColor="text1" w:val="000000"/>
            <w:lang w:val="kk-KZ"/>
          </w:rPr>
          <w:t>10.1007/s13165-022-00392-4</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Ndaba B., Roopnarain A., Haripriya R., Maaza M. Biosynthesized metallic nanoparticles as fertilizers: An emerging precision agriculture strategy // Journal of Integrative Agriculture. -2022. -Vol. 21(5). -P. 1225</w:t>
      </w:r>
      <w:r>
        <w:rPr>
          <w:color w:themeColor="text1" w:val="000000"/>
          <w:lang w:val="en-US"/>
        </w:rPr>
        <w:t>-</w:t>
      </w:r>
      <w:r>
        <w:rPr>
          <w:color w:themeColor="text1" w:val="000000"/>
          <w:lang w:val="kk-KZ"/>
        </w:rPr>
        <w:t xml:space="preserve">1242. DOI </w:t>
      </w:r>
      <w:hyperlink r:id="rId180" w:tgtFrame="_new">
        <w:r>
          <w:rPr>
            <w:rStyle w:val="Style3"/>
            <w:color w:themeColor="text1" w:val="000000"/>
            <w:lang w:val="kk-KZ"/>
          </w:rPr>
          <w:t>10.1016/S2095-3119(21)63751-6</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Agriculture development in the Central Asia Regional Economic Cooperation Program member countries/ Asian Development Bank. -2019. -122 p. DOI 10.22617/TCS190607-2.</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Nussipali R., Asilian L.V., Grigoryan A.G., Zatsarinnaia I.A., Kupriianenko N.A. Transformation of the agro-industrial complex of Kazakhstan // BIO Web of Conferences. -2024. -Vol. 161: 00039. DOI </w:t>
      </w:r>
      <w:hyperlink r:id="rId181" w:tgtFrame="_new">
        <w:r>
          <w:rPr>
            <w:rStyle w:val="Style3"/>
            <w:color w:themeColor="text1" w:val="000000"/>
            <w:lang w:val="kk-KZ"/>
          </w:rPr>
          <w:t>10.1051/bioconf/202516100039</w:t>
        </w:r>
      </w:hyperlink>
      <w:r>
        <w:rPr>
          <w:color w:themeColor="text1" w:val="000000"/>
          <w:lang w:val="kk-KZ"/>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McKinsey &amp; Company. McKinsey Global Farmer Insights 2024. -2024. URL: </w:t>
      </w:r>
      <w:hyperlink r:id="rId182" w:tgtFrame="_new">
        <w:r>
          <w:rPr>
            <w:rStyle w:val="Style3"/>
            <w:color w:themeColor="text1" w:val="000000"/>
            <w:lang w:val="kk-KZ"/>
          </w:rPr>
          <w:t>https://www.mckinsey.com/industries/agriculture/our-insights/global-farmer-insights-2024</w:t>
        </w:r>
      </w:hyperlink>
      <w:r>
        <w:rPr>
          <w:color w:themeColor="text1" w:val="000000"/>
          <w:lang w:val="kk-KZ"/>
        </w:rPr>
        <w:t xml:space="preserve">. </w:t>
      </w:r>
      <w:r>
        <w:rPr>
          <w:color w:themeColor="text1" w:val="000000"/>
        </w:rPr>
        <w:t>-</w:t>
      </w:r>
      <w:r>
        <w:rPr>
          <w:color w:themeColor="text1" w:val="000000"/>
          <w:lang w:val="kk-KZ"/>
        </w:rPr>
        <w:t>Дата обращения: 20.06.2025</w:t>
      </w:r>
      <w:r>
        <w:rPr>
          <w:color w:themeColor="text1" w:val="000000"/>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World Intellectual Property Organization. Global Innovation Index 2024. – 2024. URL: </w:t>
      </w:r>
      <w:hyperlink r:id="rId183" w:tgtFrame="_new">
        <w:r>
          <w:rPr>
            <w:rStyle w:val="Style3"/>
            <w:color w:themeColor="text1" w:val="000000"/>
            <w:lang w:val="kk-KZ"/>
          </w:rPr>
          <w:t>https://www.wipo.int/web-publications/global-innovation-index-2024/en/gii-2024-results.html</w:t>
        </w:r>
      </w:hyperlink>
      <w:r>
        <w:rPr>
          <w:color w:themeColor="text1" w:val="000000"/>
          <w:lang w:val="kk-KZ"/>
        </w:rPr>
        <w:t xml:space="preserve">. </w:t>
      </w:r>
      <w:r>
        <w:rPr>
          <w:color w:themeColor="text1" w:val="000000"/>
        </w:rPr>
        <w:t>-</w:t>
      </w:r>
      <w:r>
        <w:rPr>
          <w:color w:themeColor="text1" w:val="000000"/>
          <w:lang w:val="kk-KZ"/>
        </w:rPr>
        <w:t>Дата обращения:  20.06.2025</w:t>
      </w:r>
      <w:r>
        <w:rPr>
          <w:color w:themeColor="text1" w:val="000000"/>
        </w:rPr>
        <w:t>.</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OECD, FAO. OECD-FAO Agricultural Outlook 2024-2033. – 2024. URL: </w:t>
      </w:r>
      <w:hyperlink r:id="rId184" w:tgtFrame="_new">
        <w:r>
          <w:rPr>
            <w:rStyle w:val="Style3"/>
            <w:color w:themeColor="text1" w:val="000000"/>
            <w:lang w:val="kk-KZ"/>
          </w:rPr>
          <w:t>https://www.oecd.org/en/publications/2024/07/oecd-fao-agricultural-outlook-2024-2033_e173f332.html</w:t>
        </w:r>
      </w:hyperlink>
      <w:r>
        <w:rPr>
          <w:color w:themeColor="text1" w:val="000000"/>
          <w:lang w:val="kk-KZ"/>
        </w:rPr>
        <w:t>. - Дата обращения: 20.06.2025.</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Сельско-хозя</w:t>
      </w:r>
      <w:r>
        <w:rPr>
          <w:color w:themeColor="text1" w:val="000000"/>
        </w:rPr>
        <w:t>й</w:t>
      </w:r>
      <w:r>
        <w:rPr>
          <w:color w:themeColor="text1" w:val="000000"/>
          <w:lang w:val="kk-KZ"/>
        </w:rPr>
        <w:t xml:space="preserve">ственный комплекс Республики Казахстан. Национальный проект по развитию агропромышленного комплекса на 2021–2025 годы. -2021. URL: </w:t>
      </w:r>
      <w:hyperlink r:id="rId185" w:tgtFrame="_new">
        <w:r>
          <w:rPr>
            <w:rStyle w:val="Style3"/>
            <w:color w:themeColor="text1" w:val="000000"/>
            <w:lang w:val="kk-KZ"/>
          </w:rPr>
          <w:t>https://adilet.zan.kz/rus/docs/P2100000960</w:t>
        </w:r>
      </w:hyperlink>
      <w:r>
        <w:rPr>
          <w:color w:themeColor="text1" w:val="000000"/>
          <w:lang w:val="kk-KZ"/>
        </w:rPr>
        <w:t xml:space="preserve">. </w:t>
      </w:r>
      <w:r>
        <w:rPr>
          <w:color w:themeColor="text1" w:val="000000"/>
        </w:rPr>
        <w:t>-</w:t>
      </w:r>
      <w:r>
        <w:rPr>
          <w:color w:themeColor="text1" w:val="000000"/>
          <w:lang w:val="kk-KZ"/>
        </w:rPr>
        <w:t xml:space="preserve">Дата обращения: 20.06.2025. </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World Bank Group. Agriculture and rural development data. URL: </w:t>
      </w:r>
      <w:hyperlink r:id="rId186" w:tgtFrame="_new">
        <w:r>
          <w:rPr>
            <w:rStyle w:val="Style3"/>
            <w:color w:themeColor="text1" w:val="000000"/>
            <w:lang w:val="kk-KZ"/>
          </w:rPr>
          <w:t>https://data.worldbank.org/topic/agriculture-and-rural-development</w:t>
        </w:r>
      </w:hyperlink>
      <w:r>
        <w:rPr>
          <w:color w:themeColor="text1" w:val="000000"/>
          <w:lang w:val="kk-KZ"/>
        </w:rPr>
        <w:t xml:space="preserve">. </w:t>
      </w:r>
      <w:r>
        <w:rPr>
          <w:color w:themeColor="text1" w:val="000000"/>
        </w:rPr>
        <w:t>-</w:t>
      </w:r>
      <w:r>
        <w:rPr>
          <w:color w:themeColor="text1" w:val="000000"/>
          <w:lang w:val="kk-KZ"/>
        </w:rPr>
        <w:t>Дата обращения: 20.06.2025.</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 xml:space="preserve">Klerkx L., Rose D. Dealing with the game-changing technologies of Agriculture 4.0: How do we manage diversity and responsibility in food system transition pathways? // Global Food Security. -2020. -Vol. 24: 100347. DOI </w:t>
      </w:r>
      <w:hyperlink r:id="rId187" w:tgtFrame="_new">
        <w:r>
          <w:rPr>
            <w:rStyle w:val="Style3"/>
            <w:color w:themeColor="text1" w:val="000000"/>
            <w:lang w:val="kk-KZ"/>
          </w:rPr>
          <w:t>10.1016/j.gfs.2019.100347</w:t>
        </w:r>
      </w:hyperlink>
      <w:r>
        <w:rPr>
          <w:color w:themeColor="text1" w:val="000000"/>
          <w:lang w:val="kk-KZ"/>
        </w:rPr>
        <w:t xml:space="preserve">. </w:t>
      </w:r>
    </w:p>
    <w:p>
      <w:pPr>
        <w:pStyle w:val="ListParagraph"/>
        <w:numPr>
          <w:ilvl w:val="0"/>
          <w:numId w:val="15"/>
        </w:numPr>
        <w:tabs>
          <w:tab w:val="clear" w:pos="708"/>
          <w:tab w:val="left" w:pos="284" w:leader="none"/>
        </w:tabs>
        <w:suppressAutoHyphens w:val="true"/>
        <w:ind w:hanging="0" w:left="0"/>
        <w:jc w:val="both"/>
        <w:rPr>
          <w:color w:themeColor="text1" w:val="000000"/>
          <w:lang w:val="kk-KZ"/>
        </w:rPr>
      </w:pPr>
      <w:r>
        <w:rPr>
          <w:color w:themeColor="text1" w:val="000000"/>
          <w:lang w:val="kk-KZ"/>
        </w:rPr>
        <w:t>Сельско-хозяйственный комплекс Республики Казахстан. Государственная программа развития агропромышленного комплекса РК на 2021–2030 годы.</w:t>
      </w:r>
      <w:r>
        <w:rPr>
          <w:color w:themeColor="text1" w:val="000000"/>
        </w:rPr>
        <w:t xml:space="preserve"> </w:t>
      </w:r>
      <w:r>
        <w:rPr>
          <w:color w:themeColor="text1" w:val="000000"/>
          <w:lang w:val="kk-KZ"/>
        </w:rPr>
        <w:t xml:space="preserve">-2021. URL: </w:t>
      </w:r>
      <w:hyperlink r:id="rId188" w:tgtFrame="_new">
        <w:r>
          <w:rPr>
            <w:rStyle w:val="Style3"/>
            <w:color w:themeColor="text1" w:val="000000"/>
            <w:lang w:val="kk-KZ"/>
          </w:rPr>
          <w:t>https://adilet.zan.kz/rus/docs/P2100000960</w:t>
        </w:r>
      </w:hyperlink>
      <w:r>
        <w:rPr>
          <w:color w:themeColor="text1" w:val="000000"/>
          <w:lang w:val="kk-KZ"/>
        </w:rPr>
        <w:t xml:space="preserve">. </w:t>
      </w:r>
      <w:r>
        <w:rPr>
          <w:color w:themeColor="text1" w:val="000000"/>
        </w:rPr>
        <w:t>-</w:t>
      </w:r>
      <w:r>
        <w:rPr>
          <w:color w:themeColor="text1" w:val="000000"/>
          <w:lang w:val="kk-KZ"/>
        </w:rPr>
        <w:t xml:space="preserve">Дата обращения: 20.06.2025. </w:t>
      </w:r>
    </w:p>
    <w:p>
      <w:pPr>
        <w:pStyle w:val="Normal"/>
        <w:suppressAutoHyphens w:val="true"/>
        <w:spacing w:lineRule="auto" w:line="240" w:before="0" w:after="0"/>
        <w:ind w:firstLine="567"/>
        <w:jc w:val="both"/>
        <w:rPr>
          <w:rFonts w:ascii="Times New Roman" w:hAnsi="Times New Roman" w:eastAsia="Aptos" w:cs="Times New Roman"/>
          <w:b/>
          <w:bCs/>
          <w:kern w:val="2"/>
          <w:sz w:val="24"/>
          <w:szCs w:val="24"/>
          <w:lang w:val="kk-KZ"/>
          <w14:ligatures w14:val="standardContextual"/>
        </w:rPr>
      </w:pPr>
      <w:r>
        <w:rPr>
          <w:rFonts w:eastAsia="Aptos" w:cs="Times New Roman" w:ascii="Times New Roman" w:hAnsi="Times New Roman"/>
          <w:b/>
          <w:bCs/>
          <w:kern w:val="2"/>
          <w:sz w:val="24"/>
          <w:szCs w:val="24"/>
          <w:lang w:val="kk-KZ"/>
          <w14:ligatures w14:val="standardContextual"/>
        </w:rPr>
      </w:r>
    </w:p>
    <w:p>
      <w:pPr>
        <w:pStyle w:val="Normal"/>
        <w:suppressAutoHyphens w:val="true"/>
        <w:spacing w:lineRule="auto" w:line="240" w:before="0" w:after="0"/>
        <w:ind w:firstLine="567"/>
        <w:rPr>
          <w:rFonts w:ascii="Times New Roman" w:hAnsi="Times New Roman" w:eastAsia="Aptos" w:cs="Times New Roman"/>
          <w:b/>
          <w:bCs/>
          <w:kern w:val="2"/>
          <w:sz w:val="24"/>
          <w:szCs w:val="24"/>
          <w:lang w:val="kk-KZ"/>
          <w14:ligatures w14:val="standardContextual"/>
        </w:rPr>
      </w:pPr>
      <w:r>
        <w:rPr>
          <w:rFonts w:eastAsia="Aptos" w:cs="Times New Roman" w:ascii="Times New Roman" w:hAnsi="Times New Roman"/>
          <w:b/>
          <w:bCs/>
          <w:kern w:val="2"/>
          <w:sz w:val="24"/>
          <w:szCs w:val="24"/>
          <w:lang w:val="kk-KZ"/>
          <w14:ligatures w14:val="standardContextual"/>
        </w:rPr>
      </w:r>
    </w:p>
    <w:p>
      <w:pPr>
        <w:pStyle w:val="Normal"/>
        <w:suppressAutoHyphens w:val="true"/>
        <w:spacing w:lineRule="auto" w:line="240" w:before="0" w:after="0"/>
        <w:ind w:firstLine="567"/>
        <w:jc w:val="center"/>
        <w:rPr>
          <w:rFonts w:ascii="Times New Roman" w:hAnsi="Times New Roman" w:eastAsia="Aptos" w:cs="Times New Roman"/>
          <w:b/>
          <w:bCs/>
          <w:color w:val="467886"/>
          <w:kern w:val="2"/>
          <w:sz w:val="24"/>
          <w:szCs w:val="24"/>
          <w:u w:val="single"/>
          <w:lang w:val="en-US"/>
          <w14:ligatures w14:val="standardContextual"/>
        </w:rPr>
      </w:pPr>
      <w:r>
        <w:rPr>
          <w:rFonts w:eastAsia="Aptos" w:cs="Times New Roman" w:ascii="Times New Roman" w:hAnsi="Times New Roman"/>
          <w:b/>
          <w:bCs/>
          <w:kern w:val="2"/>
          <w:sz w:val="24"/>
          <w:szCs w:val="24"/>
          <w:lang w:val="en-US"/>
          <w14:ligatures w14:val="standardContextual"/>
        </w:rPr>
        <w:t>References</w:t>
      </w:r>
      <w:r>
        <w:rPr>
          <w:rFonts w:eastAsia="Times New Roman" w:cs="Times New Roman" w:ascii="Times New Roman" w:hAnsi="Times New Roman"/>
          <w:sz w:val="24"/>
          <w:szCs w:val="24"/>
          <w:lang w:val="en-US"/>
        </w:rPr>
        <w:t xml:space="preserve"> </w:t>
      </w:r>
    </w:p>
    <w:p>
      <w:pPr>
        <w:pStyle w:val="Normal"/>
        <w:suppressAutoHyphens w:val="true"/>
        <w:spacing w:lineRule="auto" w:line="240" w:before="0" w:after="0"/>
        <w:ind w:firstLine="567"/>
        <w:jc w:val="center"/>
        <w:rPr>
          <w:rFonts w:ascii="Times New Roman" w:hAnsi="Times New Roman" w:eastAsia="Aptos" w:cs="Times New Roman"/>
          <w:b/>
          <w:bCs/>
          <w:kern w:val="2"/>
          <w:sz w:val="24"/>
          <w:szCs w:val="24"/>
          <w:lang w:val="kk-KZ"/>
          <w14:ligatures w14:val="standardContextual"/>
        </w:rPr>
      </w:pPr>
      <w:r>
        <w:rPr>
          <w:rFonts w:eastAsia="Aptos" w:cs="Times New Roman" w:ascii="Times New Roman" w:hAnsi="Times New Roman"/>
          <w:b/>
          <w:bCs/>
          <w:kern w:val="2"/>
          <w:sz w:val="24"/>
          <w:szCs w:val="24"/>
          <w:lang w:val="kk-KZ"/>
          <w14:ligatures w14:val="standardContextual"/>
        </w:rPr>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en-US"/>
          <w14:ligatures w14:val="standardContextual"/>
        </w:rPr>
      </w:pPr>
      <w:r>
        <w:rPr>
          <w:rFonts w:eastAsia="Aptos" w:cs="Times New Roman" w:ascii="Times New Roman" w:hAnsi="Times New Roman"/>
          <w:color w:val="000000"/>
          <w:kern w:val="2"/>
          <w:sz w:val="24"/>
          <w:szCs w:val="24"/>
          <w:lang w:val="kk-KZ"/>
          <w14:ligatures w14:val="standardContextual"/>
        </w:rPr>
        <w:t>1. Daribaeva A., Shulenbaeva F., Baujer M. Innovatsionnyi potentsial predpriiatii agro-promyshlennogo kompleksa Respubliki Kazakhstan//Vestnik KazUZhFMT. -2019. -Vol. 4. -S. 50-55. ISSN 2304-7216. [in Russian]</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2.Clancy M. S., Moschini G., Heisey P. The roots of agricultural innovation: Evidence from patents//Economics of Research and Innovation in Agriculture. University of Chicago Press. - 2019. -ISBN 978-0-226-77905-8, 978-0-226-77919-5. - P. 21-75. </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3.Bjerke L., Johansson S. Innovation in agriculture: An analysis of Swedish agricultural and non-agricultural firms // Food Policy. - 2022. - Vol. 109: 102269. DOI </w:t>
      </w:r>
      <w:hyperlink r:id="rId189" w:tgtFrame="_blank">
        <w:r>
          <w:rPr>
            <w:rStyle w:val="Style3"/>
            <w:rFonts w:eastAsia="Aptos" w:cs="Times New Roman" w:ascii="Times New Roman" w:hAnsi="Times New Roman"/>
            <w:kern w:val="2"/>
            <w:sz w:val="24"/>
            <w:szCs w:val="24"/>
            <w:lang w:val="kk-KZ"/>
            <w14:ligatures w14:val="standardContextual"/>
          </w:rPr>
          <w:t>10.1016/j.foodpol.2022.102269</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4.Andrade D., Pasini F., Scarano F. R. Syntropy and innovation in agriculture // Current Opinion in Environmental Sustainability. - 2020. - Vol. 45. - P. 20-24. DOI </w:t>
      </w:r>
      <w:hyperlink r:id="rId190" w:tgtFrame="_blank">
        <w:r>
          <w:rPr>
            <w:rStyle w:val="Style3"/>
            <w:rFonts w:eastAsia="Aptos" w:cs="Times New Roman" w:ascii="Times New Roman" w:hAnsi="Times New Roman"/>
            <w:color w:val="000000"/>
            <w:kern w:val="2"/>
            <w:sz w:val="24"/>
            <w:szCs w:val="24"/>
            <w:lang w:val="kk-KZ"/>
            <w14:ligatures w14:val="standardContextual"/>
          </w:rPr>
          <w:t>10.1016/j.cosust.2020.08.003</w:t>
        </w:r>
      </w:hyperlink>
      <w:r>
        <w:rPr>
          <w:rFonts w:eastAsia="Aptos" w:cs="Times New Roman" w:ascii="Times New Roman" w:hAnsi="Times New Roman"/>
          <w:color w:val="000000"/>
          <w:kern w:val="2"/>
          <w:sz w:val="24"/>
          <w:szCs w:val="24"/>
          <w:lang w:val="kk-KZ"/>
          <w14:ligatures w14:val="standardContextual"/>
        </w:rPr>
        <w:t xml:space="preserve"> </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5. Barrett C.B., Benton T., Fanzo J., Herrero M., Nelson R.J., Bageant E., et al. Socio-Technical Innovation Bundles for Agri-Food Systems Transformation /Springer Nature. Sustainable Development Goals Series. -2022. -195 p. DOI </w:t>
      </w:r>
      <w:hyperlink r:id="rId191" w:tgtFrame="_new">
        <w:r>
          <w:rPr>
            <w:rStyle w:val="Style3"/>
            <w:rFonts w:eastAsia="Aptos" w:cs="Times New Roman" w:ascii="Times New Roman" w:hAnsi="Times New Roman"/>
            <w:kern w:val="2"/>
            <w:sz w:val="24"/>
            <w:szCs w:val="24"/>
            <w:lang w:val="kk-KZ"/>
            <w14:ligatures w14:val="standardContextual"/>
          </w:rPr>
          <w:t>10.1007/978-3-030-88802-2</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6. Swinnen J., Kuijpers R. Inclusive Value Chains to Accelerate Poverty Reduction in Africa / Jobs Working Paper. World Bank. -2020. -No. 37. -44p. URL: </w:t>
      </w:r>
      <w:hyperlink r:id="rId192" w:tgtFrame="_new">
        <w:r>
          <w:rPr>
            <w:rStyle w:val="Style3"/>
            <w:rFonts w:eastAsia="Aptos" w:cs="Times New Roman" w:ascii="Times New Roman" w:hAnsi="Times New Roman"/>
            <w:kern w:val="2"/>
            <w:sz w:val="24"/>
            <w:szCs w:val="24"/>
            <w:lang w:val="kk-KZ"/>
            <w14:ligatures w14:val="standardContextual"/>
          </w:rPr>
          <w:t>http://hdl.handle.net/10986/33397</w:t>
        </w:r>
      </w:hyperlink>
      <w:r>
        <w:rPr>
          <w:rFonts w:eastAsia="Aptos" w:cs="Times New Roman" w:ascii="Times New Roman" w:hAnsi="Times New Roman"/>
          <w:kern w:val="2"/>
          <w:sz w:val="24"/>
          <w:szCs w:val="24"/>
          <w:lang w:val="kk-KZ"/>
          <w14:ligatures w14:val="standardContextual"/>
        </w:rPr>
        <w:t>.</w:t>
      </w:r>
      <w:r>
        <w:rPr>
          <w:rFonts w:eastAsia="Aptos" w:cs="Times New Roman" w:ascii="Times New Roman" w:hAnsi="Times New Roman"/>
          <w:color w:val="000000"/>
          <w:kern w:val="2"/>
          <w:sz w:val="24"/>
          <w:szCs w:val="24"/>
          <w:lang w:val="kk-KZ"/>
          <w14:ligatures w14:val="standardContextual"/>
        </w:rPr>
        <w:t xml:space="preserve"> -Date of access: 20.06.2025.</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7. Talimova L.A., Zhukenov B.M., Akenov S.Sh., Saifullina Ye. Prioritetnye napravleniya innovatsionnogo i tekhnologicheskogo razvitiya agro-promyshlennogo kompleksa Kazakhstana. Vestnik Universiteta «Turan». -2020. -T. 4(88). -S. 219–225. DOI 10.46914/1562-2959-2020-1-4-219-225. [in Russian]</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8. Baudron F., Liégeois F. Fixing our global agricultural system to prevent the next COVID-19 // Outlook on Agriculture. -2020. -Vol. 49 (2). -P. 111–118. DOI </w:t>
      </w:r>
      <w:hyperlink r:id="rId193" w:tgtFrame="_new">
        <w:r>
          <w:rPr>
            <w:rStyle w:val="Style3"/>
            <w:rFonts w:eastAsia="Aptos" w:cs="Times New Roman" w:ascii="Times New Roman" w:hAnsi="Times New Roman"/>
            <w:color w:val="000000"/>
            <w:kern w:val="2"/>
            <w:sz w:val="24"/>
            <w:szCs w:val="24"/>
            <w:lang w:val="kk-KZ"/>
            <w14:ligatures w14:val="standardContextual"/>
          </w:rPr>
          <w:t>10.1177/0030727020931122</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9. Campos H. The Innovatsion Revolution in Agriculture. A roadmap to Value Creation / Hugo Campos Editor. -2021. - 234 p. DOI 1</w:t>
      </w:r>
      <w:hyperlink r:id="rId194" w:tgtFrame="_new">
        <w:r>
          <w:rPr>
            <w:rStyle w:val="Style3"/>
            <w:rFonts w:eastAsia="Aptos" w:cs="Times New Roman" w:ascii="Times New Roman" w:hAnsi="Times New Roman"/>
            <w:color w:val="000000"/>
            <w:kern w:val="2"/>
            <w:sz w:val="24"/>
            <w:szCs w:val="24"/>
            <w:lang w:val="kk-KZ"/>
            <w14:ligatures w14:val="standardContextual"/>
          </w:rPr>
          <w:t>0.1007/978-3-030-50991-0</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10. Żak A. Innovations in plant production as an opportunity for Polish agriculture // Agribusiness and Rural Development. -2017. -Vol. 1(43). -P. 239–246. DOI </w:t>
      </w:r>
      <w:hyperlink r:id="rId195" w:tgtFrame="_new">
        <w:r>
          <w:rPr>
            <w:rStyle w:val="Style3"/>
            <w:rFonts w:eastAsia="Aptos" w:cs="Times New Roman" w:ascii="Times New Roman" w:hAnsi="Times New Roman"/>
            <w:color w:val="000000"/>
            <w:kern w:val="2"/>
            <w:sz w:val="24"/>
            <w:szCs w:val="24"/>
            <w:lang w:val="kk-KZ"/>
            <w14:ligatures w14:val="standardContextual"/>
          </w:rPr>
          <w:t>10.17306/J.JARD.2017.00317</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11. Abraliyev O.A., Sugirova G.S., Velesco S. Agrarnyi sektor Kazakhstana: orientatsiya na innovatsionnoe razvitie//Problemy agrorynka. -2023. -№ 1. -S. 23–31. DOI 10.46666/2023-1.2708-9991.02. [in Russian]</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12 Kaldiyarov D.A., Kalymbekova Zh.K., Jumanazarov K.B. Tsifrovaya innovatsionnaya ekosistema agro-promyshlennogo kompleksa Kazakhstana: obzor predmetnoi oblasti // Problemy agrorynka. -2023.  -№ 3. -S. 34–41. DOI 10.46666/2023-3.2708-9991.03. [in Russian]</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13. Shainurov A.S., Smagulova Zh.B. Predposylki i problemy tsifrovizatsii APK Kazakhstana //Vestnik Universiteta «Turan». – 2024. - №1. –S. 156–169. DOI 10.46914/1562-2959-2024-1-1-156-169. [in Russian]</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14. Shogenov B.A., Mirzoeva A.R. Problemy tsifrovizatsii v otrasli rastenievodstva //Russian Journal of Management. -2023. –T. 4. -S. 478–489. DOI 10.29039/2409-6024-2023-11-4-478-489.</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15. Ferreira A.P.A.L., de Oliveira L., Talamini E. Land use returns in organic and conventional farming systems: financial and beyond // Organic Agriculture. -2022. -Vol. 12. -P. 353–371. DOI </w:t>
      </w:r>
      <w:hyperlink r:id="rId196" w:tgtFrame="_new">
        <w:r>
          <w:rPr>
            <w:rStyle w:val="Style3"/>
            <w:rFonts w:eastAsia="Aptos" w:cs="Times New Roman" w:ascii="Times New Roman" w:hAnsi="Times New Roman"/>
            <w:color w:val="000000"/>
            <w:kern w:val="2"/>
            <w:sz w:val="24"/>
            <w:szCs w:val="24"/>
            <w:lang w:val="kk-KZ"/>
            <w14:ligatures w14:val="standardContextual"/>
          </w:rPr>
          <w:t>10.1007/s13165-022-00392-4</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16. Ndaba B., Roopnarain A., Haripriya R., Maaza M. Biosynthesized metallic nanoparticles as fertilizers: An emerging precision agriculture strategy // Journal of Integrative Agriculture. -2022. -Vol. 21 (5). -P. 1225–1242. DOI </w:t>
      </w:r>
      <w:hyperlink r:id="rId197" w:tgtFrame="_new">
        <w:r>
          <w:rPr>
            <w:rStyle w:val="Style3"/>
            <w:rFonts w:eastAsia="Aptos" w:cs="Times New Roman" w:ascii="Times New Roman" w:hAnsi="Times New Roman"/>
            <w:color w:val="000000"/>
            <w:kern w:val="2"/>
            <w:sz w:val="24"/>
            <w:szCs w:val="24"/>
            <w:lang w:val="kk-KZ"/>
            <w14:ligatures w14:val="standardContextual"/>
          </w:rPr>
          <w:t>10.1016/S2095-3119(21)63751-6</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17. Agriculture development in the Central Asia Regional Economic Cooperation Program member countries/ Asian Development Bank. -2019. -122 p. DOI 10.22617/TCS190607-2.</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18. Nussipali R., Asilian L.V., Grigoryan A.G., Zatsarinnaia I.A., Kupriianenko N.A. Transformation of the agro-industrial complex of Kazakhstan // BIO Web of Conferences. -2024. -Vol. 161: 00039. DOI </w:t>
      </w:r>
      <w:hyperlink r:id="rId198" w:tgtFrame="_new">
        <w:r>
          <w:rPr>
            <w:rStyle w:val="Style3"/>
            <w:rFonts w:eastAsia="Aptos" w:cs="Times New Roman" w:ascii="Times New Roman" w:hAnsi="Times New Roman"/>
            <w:color w:val="000000"/>
            <w:kern w:val="2"/>
            <w:sz w:val="24"/>
            <w:szCs w:val="24"/>
            <w:lang w:val="kk-KZ"/>
            <w14:ligatures w14:val="standardContextual"/>
          </w:rPr>
          <w:t>10.1051/bioconf/202516100039</w:t>
        </w:r>
      </w:hyperlink>
      <w:r>
        <w:rPr>
          <w:rFonts w:eastAsia="Aptos" w:cs="Times New Roman" w:ascii="Times New Roman" w:hAnsi="Times New Roman"/>
          <w:color w:val="000000"/>
          <w:kern w:val="2"/>
          <w:sz w:val="24"/>
          <w:szCs w:val="24"/>
          <w:lang w:val="kk-KZ"/>
          <w14:ligatures w14:val="standardContextual"/>
        </w:rPr>
        <w:t>.</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19. McKinsey &amp; Company. McKinsey Global Farmer Insights 2024. -2024. URL: </w:t>
      </w:r>
      <w:hyperlink r:id="rId199" w:tgtFrame="_new">
        <w:r>
          <w:rPr>
            <w:rStyle w:val="Style3"/>
            <w:rFonts w:eastAsia="Aptos" w:cs="Times New Roman" w:ascii="Times New Roman" w:hAnsi="Times New Roman"/>
            <w:color w:val="000000"/>
            <w:kern w:val="2"/>
            <w:sz w:val="24"/>
            <w:szCs w:val="24"/>
            <w:lang w:val="kk-KZ"/>
            <w14:ligatures w14:val="standardContextual"/>
          </w:rPr>
          <w:t>https://www.mckinsey.com/industries/agriculture/our-insights/global-farmer-insights-2024</w:t>
        </w:r>
      </w:hyperlink>
      <w:r>
        <w:rPr>
          <w:rFonts w:eastAsia="Aptos" w:cs="Times New Roman" w:ascii="Times New Roman" w:hAnsi="Times New Roman"/>
          <w:color w:val="000000"/>
          <w:kern w:val="2"/>
          <w:sz w:val="24"/>
          <w:szCs w:val="24"/>
          <w:lang w:val="kk-KZ"/>
          <w14:ligatures w14:val="standardContextual"/>
        </w:rPr>
        <w:t>. –Date of access: 20.06.2025</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20. World Intellectual Property Organization. Global Innovation Index 2024. – 2024. URL: </w:t>
      </w:r>
      <w:hyperlink r:id="rId200" w:tgtFrame="_new">
        <w:r>
          <w:rPr>
            <w:rStyle w:val="Style3"/>
            <w:rFonts w:eastAsia="Aptos" w:cs="Times New Roman" w:ascii="Times New Roman" w:hAnsi="Times New Roman"/>
            <w:color w:val="000000"/>
            <w:kern w:val="2"/>
            <w:sz w:val="24"/>
            <w:szCs w:val="24"/>
            <w:lang w:val="kk-KZ"/>
            <w14:ligatures w14:val="standardContextual"/>
          </w:rPr>
          <w:t>https://www.wipo.int/web-publications/global-innovation-index-2024/en/gii-2024-results.html</w:t>
        </w:r>
      </w:hyperlink>
      <w:r>
        <w:rPr>
          <w:rFonts w:eastAsia="Aptos" w:cs="Times New Roman" w:ascii="Times New Roman" w:hAnsi="Times New Roman"/>
          <w:color w:val="000000"/>
          <w:kern w:val="2"/>
          <w:sz w:val="24"/>
          <w:szCs w:val="24"/>
          <w:lang w:val="kk-KZ"/>
          <w14:ligatures w14:val="standardContextual"/>
        </w:rPr>
        <w:t>. – Date of access: 20.06.2025</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21. OECD, FAO. OECD-FAO Agricultural Outlook 2024-2033. – 2024. URL: </w:t>
      </w:r>
      <w:hyperlink r:id="rId201" w:tgtFrame="_new">
        <w:r>
          <w:rPr>
            <w:rStyle w:val="Style3"/>
            <w:rFonts w:eastAsia="Aptos" w:cs="Times New Roman" w:ascii="Times New Roman" w:hAnsi="Times New Roman"/>
            <w:color w:val="000000"/>
            <w:kern w:val="2"/>
            <w:sz w:val="24"/>
            <w:szCs w:val="24"/>
            <w:lang w:val="kk-KZ"/>
            <w14:ligatures w14:val="standardContextual"/>
          </w:rPr>
          <w:t>https://www.oecd.org/en/publications/2024/07/oecd-fao-agricultural-outlook-2024-2033_e173f332.html</w:t>
        </w:r>
      </w:hyperlink>
      <w:r>
        <w:rPr>
          <w:rFonts w:eastAsia="Aptos" w:cs="Times New Roman" w:ascii="Times New Roman" w:hAnsi="Times New Roman"/>
          <w:color w:val="000000"/>
          <w:kern w:val="2"/>
          <w:sz w:val="24"/>
          <w:szCs w:val="24"/>
          <w:lang w:val="kk-KZ"/>
          <w14:ligatures w14:val="standardContextual"/>
        </w:rPr>
        <w:t>. - Date of access: 20.06.2025.</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22. Ministerstvo selskohozyaystvennogo kompleksa Respubliki Kazakhstan. Natsional’nyy proekt po razvitiyu agropromyshlennogo kompleksa na 2021–2025 gody. -2021. URL: </w:t>
      </w:r>
      <w:hyperlink r:id="rId202" w:tgtFrame="_new">
        <w:r>
          <w:rPr>
            <w:rStyle w:val="Style3"/>
            <w:rFonts w:eastAsia="Aptos" w:cs="Times New Roman" w:ascii="Times New Roman" w:hAnsi="Times New Roman"/>
            <w:color w:val="000000"/>
            <w:kern w:val="2"/>
            <w:sz w:val="24"/>
            <w:szCs w:val="24"/>
            <w:lang w:val="kk-KZ"/>
            <w14:ligatures w14:val="standardContextual"/>
          </w:rPr>
          <w:t>https://www.gov.kz/memleket/entities/moa/documents/details/274532?lang=ru</w:t>
        </w:r>
      </w:hyperlink>
      <w:r>
        <w:rPr>
          <w:rFonts w:eastAsia="Aptos" w:cs="Times New Roman" w:ascii="Times New Roman" w:hAnsi="Times New Roman"/>
          <w:color w:val="000000"/>
          <w:kern w:val="2"/>
          <w:sz w:val="24"/>
          <w:szCs w:val="24"/>
          <w:lang w:val="kk-KZ"/>
          <w14:ligatures w14:val="standardContextual"/>
        </w:rPr>
        <w:t>. - Date of access: 20.06.2025. [in Russian]</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23. World Bank Group. Agriculture and rural development data. URL: </w:t>
      </w:r>
      <w:hyperlink r:id="rId203" w:tgtFrame="_new">
        <w:r>
          <w:rPr>
            <w:rStyle w:val="Style3"/>
            <w:rFonts w:eastAsia="Aptos" w:cs="Times New Roman" w:ascii="Times New Roman" w:hAnsi="Times New Roman"/>
            <w:color w:val="000000"/>
            <w:kern w:val="2"/>
            <w:sz w:val="24"/>
            <w:szCs w:val="24"/>
            <w:lang w:val="kk-KZ"/>
            <w14:ligatures w14:val="standardContextual"/>
          </w:rPr>
          <w:t>https://data.worldbank.org/topic/agriculture-and-rural-development</w:t>
        </w:r>
      </w:hyperlink>
      <w:r>
        <w:rPr>
          <w:rFonts w:eastAsia="Aptos" w:cs="Times New Roman" w:ascii="Times New Roman" w:hAnsi="Times New Roman"/>
          <w:color w:val="000000"/>
          <w:kern w:val="2"/>
          <w:sz w:val="24"/>
          <w:szCs w:val="24"/>
          <w:lang w:val="kk-KZ"/>
          <w14:ligatures w14:val="standardContextual"/>
        </w:rPr>
        <w:t>. - Date of access: 20.06.2025.</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24. Klerkx L., Rose D. Dealing with the game-changing technologies of Agriculture 4.0: How do we manage diversity and responsibility in food system transition pathways? // Global Food Security. -2020. -Vol. 24: 100347. DOI </w:t>
      </w:r>
      <w:hyperlink r:id="rId204" w:tgtFrame="_new">
        <w:r>
          <w:rPr>
            <w:rStyle w:val="Style3"/>
            <w:rFonts w:eastAsia="Aptos" w:cs="Times New Roman" w:ascii="Times New Roman" w:hAnsi="Times New Roman"/>
            <w:color w:val="000000"/>
            <w:kern w:val="2"/>
            <w:sz w:val="24"/>
            <w:szCs w:val="24"/>
            <w:lang w:val="kk-KZ"/>
            <w14:ligatures w14:val="standardContextual"/>
          </w:rPr>
          <w:t>https://doi.org/10.1016/j.gfs.2019.100347</w:t>
        </w:r>
      </w:hyperlink>
      <w:r>
        <w:rPr>
          <w:rFonts w:eastAsia="Aptos" w:cs="Times New Roman" w:ascii="Times New Roman" w:hAnsi="Times New Roman"/>
          <w:color w:val="000000"/>
          <w:kern w:val="2"/>
          <w:sz w:val="24"/>
          <w:szCs w:val="24"/>
          <w:lang w:val="kk-KZ"/>
          <w14:ligatures w14:val="standardContextual"/>
        </w:rPr>
        <w:t xml:space="preserve">. </w:t>
      </w:r>
    </w:p>
    <w:p>
      <w:pPr>
        <w:pStyle w:val="Normal"/>
        <w:suppressAutoHyphens w:val="true"/>
        <w:spacing w:lineRule="auto" w:line="240" w:before="0" w:after="0"/>
        <w:jc w:val="both"/>
        <w:rPr>
          <w:rFonts w:ascii="Times New Roman" w:hAnsi="Times New Roman" w:eastAsia="Aptos" w:cs="Times New Roman"/>
          <w:color w:val="000000"/>
          <w:kern w:val="2"/>
          <w:sz w:val="24"/>
          <w:szCs w:val="24"/>
          <w:lang w:val="kk-KZ"/>
          <w14:ligatures w14:val="standardContextual"/>
        </w:rPr>
      </w:pPr>
      <w:r>
        <w:rPr>
          <w:rFonts w:eastAsia="Aptos" w:cs="Times New Roman" w:ascii="Times New Roman" w:hAnsi="Times New Roman"/>
          <w:color w:val="000000"/>
          <w:kern w:val="2"/>
          <w:sz w:val="24"/>
          <w:szCs w:val="24"/>
          <w:lang w:val="kk-KZ"/>
          <w14:ligatures w14:val="standardContextual"/>
        </w:rPr>
        <w:t xml:space="preserve">25. Ministerstvo sel’skokhoziaistvennogo kompleksa Respubliki Kazakhstan. Gosudarstvennaya programma razvitiya agropromyshlennogo kompleksa Respubliki Kazakhstan na 2021–2030 gody. Astana. -2021. URL: </w:t>
      </w:r>
      <w:hyperlink r:id="rId205" w:tgtFrame="_new">
        <w:r>
          <w:rPr>
            <w:rStyle w:val="Style3"/>
            <w:rFonts w:eastAsia="Aptos" w:cs="Times New Roman" w:ascii="Times New Roman" w:hAnsi="Times New Roman"/>
            <w:color w:val="000000"/>
            <w:kern w:val="2"/>
            <w:sz w:val="24"/>
            <w:szCs w:val="24"/>
            <w:lang w:val="kk-KZ"/>
            <w14:ligatures w14:val="standardContextual"/>
          </w:rPr>
          <w:t>https://adilet.zan.kz/rus/docs/P2100000960</w:t>
        </w:r>
      </w:hyperlink>
      <w:r>
        <w:rPr>
          <w:rFonts w:eastAsia="Aptos" w:cs="Times New Roman" w:ascii="Times New Roman" w:hAnsi="Times New Roman"/>
          <w:color w:val="000000"/>
          <w:kern w:val="2"/>
          <w:sz w:val="24"/>
          <w:szCs w:val="24"/>
          <w:lang w:val="kk-KZ"/>
          <w14:ligatures w14:val="standardContextual"/>
        </w:rPr>
        <w:t>. - Date of access: 20.06.2025. [in Russian]</w:t>
      </w:r>
    </w:p>
    <w:p>
      <w:pPr>
        <w:pStyle w:val="Normal"/>
        <w:suppressAutoHyphens w:val="true"/>
        <w:spacing w:lineRule="auto" w:line="240" w:before="0" w:after="0"/>
        <w:jc w:val="both"/>
        <w:rPr>
          <w:rFonts w:ascii="Times New Roman" w:hAnsi="Times New Roman" w:eastAsia="Aptos" w:cs="Times New Roman"/>
          <w:b/>
          <w:bCs/>
          <w:kern w:val="2"/>
          <w:sz w:val="20"/>
          <w:szCs w:val="20"/>
          <w:lang w:val="en-US"/>
          <w14:ligatures w14:val="standardContextual"/>
        </w:rPr>
      </w:pPr>
      <w:r>
        <w:rPr>
          <w:rFonts w:eastAsia="Aptos" w:cs="Times New Roman" w:ascii="Times New Roman" w:hAnsi="Times New Roman"/>
          <w:b/>
          <w:bCs/>
          <w:kern w:val="2"/>
          <w:sz w:val="20"/>
          <w:szCs w:val="20"/>
          <w:lang w:val="en-US"/>
          <w14:ligatures w14:val="standardContextual"/>
        </w:rPr>
      </w:r>
    </w:p>
    <w:p>
      <w:pPr>
        <w:pStyle w:val="Normal"/>
        <w:suppressAutoHyphens w:val="true"/>
        <w:spacing w:lineRule="auto" w:line="240" w:before="0" w:after="0"/>
        <w:ind w:firstLine="720"/>
        <w:jc w:val="both"/>
        <w:rPr>
          <w:rFonts w:ascii="Times New Roman" w:hAnsi="Times New Roman" w:eastAsia="Aptos" w:cs="Times New Roman"/>
          <w:b/>
          <w:bCs/>
          <w:i/>
          <w:i/>
          <w:kern w:val="2"/>
          <w:sz w:val="20"/>
          <w:szCs w:val="20"/>
          <w:lang w:val="en-US"/>
          <w14:ligatures w14:val="standardContextual"/>
        </w:rPr>
      </w:pPr>
      <w:r>
        <w:rPr>
          <w:rFonts w:eastAsia="Aptos" w:cs="Times New Roman" w:ascii="Times New Roman" w:hAnsi="Times New Roman"/>
          <w:b/>
          <w:bCs/>
          <w:i/>
          <w:kern w:val="2"/>
          <w:sz w:val="20"/>
          <w:szCs w:val="20"/>
          <w:lang w:val="en-US"/>
          <w14:ligatures w14:val="standardContextual"/>
        </w:rPr>
        <w:t>Information about the authors</w:t>
      </w:r>
    </w:p>
    <w:p>
      <w:pPr>
        <w:pStyle w:val="Normal"/>
        <w:suppressAutoHyphens w:val="true"/>
        <w:spacing w:lineRule="auto" w:line="240" w:before="0" w:after="0"/>
        <w:ind w:firstLine="720"/>
        <w:jc w:val="both"/>
        <w:rPr>
          <w:rFonts w:ascii="Times New Roman" w:hAnsi="Times New Roman" w:eastAsia="Aptos" w:cs="Times New Roman"/>
          <w:b/>
          <w:bCs/>
          <w:i/>
          <w:i/>
          <w:kern w:val="2"/>
          <w:sz w:val="20"/>
          <w:szCs w:val="20"/>
          <w:lang w:val="en-US"/>
          <w14:ligatures w14:val="standardContextual"/>
        </w:rPr>
      </w:pPr>
      <w:r>
        <w:rPr>
          <w:rFonts w:eastAsia="Aptos" w:cs="Times New Roman" w:ascii="Times New Roman" w:hAnsi="Times New Roman"/>
          <w:b/>
          <w:bCs/>
          <w:i/>
          <w:kern w:val="2"/>
          <w:sz w:val="20"/>
          <w:szCs w:val="20"/>
          <w:lang w:val="en-US"/>
          <w14:ligatures w14:val="standardContextual"/>
        </w:rPr>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t xml:space="preserve">Bektaev A. -PhD student, Turan-Astana University, Astana, Kazakhstan, e-mail: </w:t>
      </w:r>
      <w:hyperlink r:id="rId206">
        <w:r>
          <w:rPr>
            <w:rStyle w:val="Style3"/>
            <w:rFonts w:eastAsia="Aptos" w:cs="Times New Roman" w:ascii="Times New Roman" w:hAnsi="Times New Roman"/>
            <w:kern w:val="2"/>
            <w:sz w:val="20"/>
            <w:szCs w:val="20"/>
            <w:lang w:val="en-US"/>
            <w14:ligatures w14:val="standardContextual"/>
          </w:rPr>
          <w:t>bektaev_alibek@mail.ru</w:t>
        </w:r>
      </w:hyperlink>
      <w:r>
        <w:rPr>
          <w:rFonts w:eastAsia="Aptos" w:cs="Times New Roman" w:ascii="Times New Roman" w:hAnsi="Times New Roman"/>
          <w:kern w:val="2"/>
          <w:sz w:val="20"/>
          <w:szCs w:val="20"/>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t xml:space="preserve">Saparova G. -Doctor of Economic Sciences, Professor, Turan-Astana University, Astana, Kazakhstan, e-mail: </w:t>
      </w:r>
      <w:hyperlink r:id="rId207">
        <w:r>
          <w:rPr>
            <w:rStyle w:val="Style3"/>
            <w:rFonts w:eastAsia="Aptos" w:cs="Times New Roman" w:ascii="Times New Roman" w:hAnsi="Times New Roman"/>
            <w:kern w:val="2"/>
            <w:sz w:val="20"/>
            <w:szCs w:val="20"/>
            <w:lang w:val="en-US"/>
            <w14:ligatures w14:val="standardContextual"/>
          </w:rPr>
          <w:t>saparova_g.k@mail.ru</w:t>
        </w:r>
      </w:hyperlink>
      <w:r>
        <w:rPr>
          <w:rFonts w:eastAsia="Aptos" w:cs="Times New Roman" w:ascii="Times New Roman" w:hAnsi="Times New Roman"/>
          <w:kern w:val="2"/>
          <w:sz w:val="20"/>
          <w:szCs w:val="20"/>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t xml:space="preserve">Raikhan M. -Master of Economic Sciences, Senior Researcher, Republican State Enterprise on the Right of Economic Management “Republican Scientific Research Institute of Labor Protection of the Ministry of Labor and Social Protection of the Republic of Kazakhstan”, Astana, Kazakhstan, e-mail: </w:t>
      </w:r>
      <w:hyperlink r:id="rId208">
        <w:r>
          <w:rPr>
            <w:rStyle w:val="Style3"/>
            <w:rFonts w:eastAsia="Aptos" w:cs="Times New Roman" w:ascii="Times New Roman" w:hAnsi="Times New Roman"/>
            <w:kern w:val="2"/>
            <w:sz w:val="20"/>
            <w:szCs w:val="20"/>
            <w:lang w:val="en-US"/>
            <w14:ligatures w14:val="standardContextual"/>
          </w:rPr>
          <w:t>meir.raikhan@mail.ru</w:t>
        </w:r>
      </w:hyperlink>
      <w:r>
        <w:rPr>
          <w:rFonts w:eastAsia="Aptos" w:cs="Times New Roman" w:ascii="Times New Roman" w:hAnsi="Times New Roman"/>
          <w:kern w:val="2"/>
          <w:sz w:val="20"/>
          <w:szCs w:val="20"/>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t xml:space="preserve">Atyzova A. -PhD student, Turan-Astana University, Astana, Kazakhstan, e-mail: </w:t>
      </w:r>
      <w:hyperlink r:id="rId209">
        <w:r>
          <w:rPr>
            <w:rStyle w:val="Style3"/>
            <w:rFonts w:eastAsia="Aptos" w:cs="Times New Roman" w:ascii="Times New Roman" w:hAnsi="Times New Roman"/>
            <w:kern w:val="2"/>
            <w:sz w:val="20"/>
            <w:szCs w:val="20"/>
            <w:lang w:val="en-US"/>
            <w14:ligatures w14:val="standardContextual"/>
          </w:rPr>
          <w:t>asel_ramazanova@bk.ru</w:t>
        </w:r>
      </w:hyperlink>
      <w:r>
        <w:rPr>
          <w:rFonts w:eastAsia="Aptos" w:cs="Times New Roman" w:ascii="Times New Roman" w:hAnsi="Times New Roman"/>
          <w:kern w:val="2"/>
          <w:sz w:val="20"/>
          <w:szCs w:val="20"/>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t xml:space="preserve">Bespalyy S. -Candidate of Economics, Professor, Toraygyrov University, Astana, Kazakhsta, e-mail: </w:t>
      </w:r>
      <w:hyperlink r:id="rId210">
        <w:r>
          <w:rPr>
            <w:rStyle w:val="Style3"/>
            <w:rFonts w:eastAsia="Aptos" w:cs="Times New Roman" w:ascii="Times New Roman" w:hAnsi="Times New Roman"/>
            <w:kern w:val="2"/>
            <w:sz w:val="20"/>
            <w:szCs w:val="20"/>
            <w:lang w:val="en-US"/>
            <w14:ligatures w14:val="standardContextual"/>
          </w:rPr>
          <w:t>sergeybespalyy74@gmail.com</w:t>
        </w:r>
      </w:hyperlink>
      <w:r>
        <w:rPr>
          <w:rFonts w:eastAsia="Aptos" w:cs="Times New Roman" w:ascii="Times New Roman" w:hAnsi="Times New Roman"/>
          <w:kern w:val="2"/>
          <w:sz w:val="20"/>
          <w:szCs w:val="20"/>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lang w:val="en-US"/>
          <w14:ligatures w14:val="standardContextual"/>
        </w:rPr>
      </w:pPr>
      <w:r>
        <w:rPr>
          <w:rFonts w:eastAsia="Aptos" w:cs="Times New Roman" w:ascii="Times New Roman" w:hAnsi="Times New Roman"/>
          <w:kern w:val="2"/>
          <w:sz w:val="20"/>
          <w:szCs w:val="20"/>
          <w:lang w:val="en-US"/>
          <w14:ligatures w14:val="standardContextual"/>
        </w:rPr>
        <w:t xml:space="preserve">Serikbayeva B. - Candidate of Economics, Associate Professor, Turan-Astana University, Astana, Kazakhstan, e-mail: </w:t>
      </w:r>
      <w:hyperlink r:id="rId211">
        <w:r>
          <w:rPr>
            <w:rStyle w:val="Style3"/>
            <w:rFonts w:eastAsia="Aptos" w:cs="Times New Roman" w:ascii="Times New Roman" w:hAnsi="Times New Roman"/>
            <w:kern w:val="2"/>
            <w:sz w:val="20"/>
            <w:szCs w:val="20"/>
            <w:lang w:val="en-US"/>
            <w14:ligatures w14:val="standardContextual"/>
          </w:rPr>
          <w:t>Bsbook@icloud.com</w:t>
        </w:r>
      </w:hyperlink>
      <w:r>
        <w:rPr>
          <w:rFonts w:eastAsia="Aptos" w:cs="Times New Roman" w:ascii="Times New Roman" w:hAnsi="Times New Roman"/>
          <w:kern w:val="2"/>
          <w:sz w:val="20"/>
          <w:szCs w:val="20"/>
          <w:lang w:val="en-US"/>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lang w:val="kk-KZ"/>
          <w14:ligatures w14:val="standardContextual"/>
        </w:rPr>
      </w:pPr>
      <w:r>
        <w:rPr>
          <w:rFonts w:eastAsia="Aptos" w:cs="Times New Roman" w:ascii="Times New Roman" w:hAnsi="Times New Roman"/>
          <w:kern w:val="2"/>
          <w:sz w:val="20"/>
          <w:szCs w:val="20"/>
          <w:lang w:val="kk-KZ"/>
          <w14:ligatures w14:val="standardContextual"/>
        </w:rPr>
      </w:r>
    </w:p>
    <w:p>
      <w:pPr>
        <w:pStyle w:val="Normal"/>
        <w:suppressAutoHyphens w:val="true"/>
        <w:spacing w:lineRule="auto" w:line="240" w:before="0" w:after="0"/>
        <w:ind w:firstLine="720"/>
        <w:jc w:val="both"/>
        <w:rPr>
          <w:rFonts w:ascii="Times New Roman" w:hAnsi="Times New Roman" w:eastAsia="Aptos" w:cs="Times New Roman"/>
          <w:b/>
          <w:bCs/>
          <w:i/>
          <w:i/>
          <w:kern w:val="2"/>
          <w:sz w:val="20"/>
          <w:szCs w:val="20"/>
          <w14:ligatures w14:val="standardContextual"/>
        </w:rPr>
      </w:pPr>
      <w:r>
        <w:rPr>
          <w:rFonts w:eastAsia="Aptos" w:cs="Times New Roman" w:ascii="Times New Roman" w:hAnsi="Times New Roman"/>
          <w:b/>
          <w:bCs/>
          <w:i/>
          <w:kern w:val="2"/>
          <w:sz w:val="20"/>
          <w:szCs w:val="20"/>
          <w14:ligatures w14:val="standardContextual"/>
        </w:rPr>
        <w:t xml:space="preserve">Информация об авторах </w:t>
        <w:tab/>
      </w:r>
    </w:p>
    <w:p>
      <w:pPr>
        <w:pStyle w:val="Normal"/>
        <w:suppressAutoHyphens w:val="true"/>
        <w:spacing w:lineRule="auto" w:line="240" w:before="0" w:after="0"/>
        <w:ind w:firstLine="720"/>
        <w:jc w:val="both"/>
        <w:rPr>
          <w:rFonts w:ascii="Times New Roman" w:hAnsi="Times New Roman" w:eastAsia="Aptos" w:cs="Times New Roman"/>
          <w:b/>
          <w:bCs/>
          <w:i/>
          <w:i/>
          <w:kern w:val="2"/>
          <w:sz w:val="20"/>
          <w:szCs w:val="20"/>
          <w:lang w:val="kk-KZ"/>
          <w14:ligatures w14:val="standardContextual"/>
        </w:rPr>
      </w:pPr>
      <w:r>
        <w:rPr>
          <w:rFonts w:eastAsia="Aptos" w:cs="Times New Roman" w:ascii="Times New Roman" w:hAnsi="Times New Roman"/>
          <w:b/>
          <w:bCs/>
          <w:i/>
          <w:kern w:val="2"/>
          <w:sz w:val="20"/>
          <w:szCs w:val="20"/>
          <w:lang w:val="kk-KZ"/>
          <w14:ligatures w14:val="standardContextual"/>
        </w:rPr>
      </w:r>
    </w:p>
    <w:p>
      <w:pPr>
        <w:pStyle w:val="Normal"/>
        <w:suppressAutoHyphens w:val="true"/>
        <w:spacing w:lineRule="auto" w:line="240" w:before="0" w:after="0"/>
        <w:jc w:val="both"/>
        <w:rPr>
          <w:rFonts w:ascii="Times New Roman" w:hAnsi="Times New Roman" w:eastAsia="Aptos" w:cs="Times New Roman"/>
          <w:kern w:val="2"/>
          <w:sz w:val="20"/>
          <w:szCs w:val="20"/>
          <w14:ligatures w14:val="standardContextual"/>
        </w:rPr>
      </w:pPr>
      <w:r>
        <w:rPr>
          <w:rFonts w:eastAsia="Aptos" w:cs="Times New Roman" w:ascii="Times New Roman" w:hAnsi="Times New Roman"/>
          <w:kern w:val="2"/>
          <w:sz w:val="20"/>
          <w:szCs w:val="20"/>
          <w:lang w:val="kk-KZ"/>
          <w14:ligatures w14:val="standardContextual"/>
        </w:rPr>
        <w:t>Бектаев А</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kk-KZ"/>
          <w14:ligatures w14:val="standardContextual"/>
        </w:rPr>
        <w:t>К</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kk-KZ"/>
          <w14:ligatures w14:val="standardContextual"/>
        </w:rPr>
        <w:t xml:space="preserve"> -</w:t>
      </w:r>
      <w:r>
        <w:rPr>
          <w:rFonts w:eastAsia="Aptos" w:cs="Times New Roman" w:ascii="Times New Roman" w:hAnsi="Times New Roman"/>
          <w:kern w:val="2"/>
          <w:sz w:val="20"/>
          <w:szCs w:val="20"/>
          <w14:ligatures w14:val="standardContextual"/>
        </w:rPr>
        <w:t xml:space="preserve"> докторант, Университет «Туран-Астана», Астана, Казахстан, </w:t>
      </w: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xml:space="preserve">: </w:t>
      </w:r>
      <w:r>
        <w:rPr>
          <w:rFonts w:eastAsia="Aptos" w:cs="Times New Roman" w:ascii="Times New Roman" w:hAnsi="Times New Roman"/>
          <w:kern w:val="2"/>
          <w:sz w:val="20"/>
          <w:szCs w:val="20"/>
          <w:lang w:val="en-US"/>
          <w14:ligatures w14:val="standardContextual"/>
        </w:rPr>
        <w:t>bektaev</w:t>
      </w:r>
      <w:r>
        <w:rPr>
          <w:rFonts w:eastAsia="Aptos" w:cs="Times New Roman" w:ascii="Times New Roman" w:hAnsi="Times New Roman"/>
          <w:kern w:val="2"/>
          <w:sz w:val="20"/>
          <w:szCs w:val="20"/>
          <w14:ligatures w14:val="standardContextual"/>
        </w:rPr>
        <w:t>_</w:t>
      </w:r>
      <w:r>
        <w:rPr>
          <w:rFonts w:eastAsia="Aptos" w:cs="Times New Roman" w:ascii="Times New Roman" w:hAnsi="Times New Roman"/>
          <w:kern w:val="2"/>
          <w:sz w:val="20"/>
          <w:szCs w:val="20"/>
          <w:lang w:val="en-US"/>
          <w14:ligatures w14:val="standardContextual"/>
        </w:rPr>
        <w:t>alibek</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ru</w:t>
      </w:r>
      <w:r>
        <w:rPr>
          <w:rFonts w:eastAsia="Aptos" w:cs="Times New Roman" w:ascii="Times New Roman" w:hAnsi="Times New Roman"/>
          <w:kern w:val="2"/>
          <w:sz w:val="20"/>
          <w:szCs w:val="20"/>
          <w14:ligatures w14:val="standardContextual"/>
        </w:rPr>
        <w:t>;</w:t>
      </w:r>
    </w:p>
    <w:p>
      <w:pPr>
        <w:pStyle w:val="Normal"/>
        <w:suppressAutoHyphens w:val="true"/>
        <w:spacing w:lineRule="auto" w:line="240" w:before="0" w:after="0"/>
        <w:jc w:val="both"/>
        <w:rPr>
          <w:rFonts w:ascii="Times New Roman" w:hAnsi="Times New Roman" w:eastAsia="Aptos" w:cs="Times New Roman"/>
          <w:kern w:val="2"/>
          <w:sz w:val="20"/>
          <w:szCs w:val="20"/>
          <w14:ligatures w14:val="standardContextual"/>
        </w:rPr>
      </w:pPr>
      <w:r>
        <w:rPr>
          <w:rFonts w:eastAsia="Aptos" w:cs="Times New Roman" w:ascii="Times New Roman" w:hAnsi="Times New Roman"/>
          <w:kern w:val="2"/>
          <w:sz w:val="20"/>
          <w:szCs w:val="20"/>
          <w14:ligatures w14:val="standardContextual"/>
        </w:rPr>
        <w:t xml:space="preserve">Сапарова Г.К. - доктор экономических наук, профессор, Университет «Туран-Астана», Астана, Казахстан, </w:t>
      </w: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saparova_g.k@mail.ru;</w:t>
      </w:r>
    </w:p>
    <w:p>
      <w:pPr>
        <w:pStyle w:val="Normal"/>
        <w:suppressAutoHyphens w:val="true"/>
        <w:spacing w:lineRule="auto" w:line="240" w:before="0" w:after="0"/>
        <w:jc w:val="both"/>
        <w:rPr>
          <w:rFonts w:ascii="Times New Roman" w:hAnsi="Times New Roman" w:eastAsia="Aptos" w:cs="Times New Roman"/>
          <w:kern w:val="2"/>
          <w:sz w:val="20"/>
          <w:szCs w:val="20"/>
          <w14:ligatures w14:val="standardContextual"/>
        </w:rPr>
      </w:pPr>
      <w:r>
        <w:rPr>
          <w:rFonts w:eastAsia="Aptos" w:cs="Times New Roman" w:ascii="Times New Roman" w:hAnsi="Times New Roman"/>
          <w:kern w:val="2"/>
          <w:sz w:val="20"/>
          <w:szCs w:val="20"/>
          <w14:ligatures w14:val="standardContextual"/>
        </w:rPr>
        <w:t>Райхан М.С.</w:t>
      </w:r>
      <w:r>
        <w:rPr>
          <w:rFonts w:eastAsia="Aptos" w:cs="Times New Roman" w:ascii="Times New Roman" w:hAnsi="Times New Roman"/>
          <w:kern w:val="2"/>
          <w:sz w:val="20"/>
          <w:szCs w:val="20"/>
          <w:lang w:val="kk-KZ"/>
          <w14:ligatures w14:val="standardContextual"/>
        </w:rPr>
        <w:t xml:space="preserve"> -</w:t>
      </w:r>
      <w:r>
        <w:rPr>
          <w:rFonts w:eastAsia="Aptos" w:cs="Times New Roman" w:ascii="Times New Roman" w:hAnsi="Times New Roman"/>
          <w:kern w:val="2"/>
          <w:sz w:val="20"/>
          <w:szCs w:val="20"/>
          <w14:ligatures w14:val="standardContextual"/>
        </w:rPr>
        <w:t xml:space="preserve"> магистр экономических наук, старший научный сотрудник, РГП на ПХВ «Республиканский научно-исследовательский институт охраны труда Министерства труда и социальной защиты населения Республики Казахстан», Астана, Казахстан, </w:t>
      </w: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meir.raikhan@mail.ru;</w:t>
      </w:r>
    </w:p>
    <w:p>
      <w:pPr>
        <w:pStyle w:val="Normal"/>
        <w:suppressAutoHyphens w:val="true"/>
        <w:spacing w:lineRule="auto" w:line="240" w:before="0" w:after="0"/>
        <w:jc w:val="both"/>
        <w:rPr>
          <w:rFonts w:ascii="Times New Roman" w:hAnsi="Times New Roman" w:eastAsia="Aptos" w:cs="Times New Roman"/>
          <w:kern w:val="2"/>
          <w:sz w:val="20"/>
          <w:szCs w:val="20"/>
          <w14:ligatures w14:val="standardContextual"/>
        </w:rPr>
      </w:pPr>
      <w:r>
        <w:rPr>
          <w:rFonts w:eastAsia="Aptos" w:cs="Times New Roman" w:ascii="Times New Roman" w:hAnsi="Times New Roman"/>
          <w:kern w:val="2"/>
          <w:sz w:val="20"/>
          <w:szCs w:val="20"/>
          <w14:ligatures w14:val="standardContextual"/>
        </w:rPr>
        <w:t xml:space="preserve">Атызова А.Ж. - докторант, Университет «Туран-Астана», Астана, Казахстан, </w:t>
      </w: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asel_ramazanova@bk.ru;</w:t>
      </w:r>
    </w:p>
    <w:p>
      <w:pPr>
        <w:pStyle w:val="Normal"/>
        <w:suppressAutoHyphens w:val="true"/>
        <w:spacing w:lineRule="auto" w:line="240" w:before="0" w:after="0"/>
        <w:jc w:val="both"/>
        <w:rPr>
          <w:rFonts w:ascii="Times New Roman" w:hAnsi="Times New Roman" w:eastAsia="Aptos" w:cs="Times New Roman"/>
          <w:kern w:val="2"/>
          <w:sz w:val="20"/>
          <w:szCs w:val="20"/>
          <w14:ligatures w14:val="standardContextual"/>
        </w:rPr>
      </w:pPr>
      <w:r>
        <w:rPr>
          <w:rFonts w:eastAsia="Aptos" w:cs="Times New Roman" w:ascii="Times New Roman" w:hAnsi="Times New Roman"/>
          <w:kern w:val="2"/>
          <w:sz w:val="20"/>
          <w:szCs w:val="20"/>
          <w14:ligatures w14:val="standardContextual"/>
        </w:rPr>
        <w:t>Беспалый С.В. - кандидат экономических наук, профессор,</w:t>
        <w:br/>
        <w:t xml:space="preserve">Университет имени Торайгырова, Астана, Казахстан, </w:t>
      </w: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xml:space="preserve">: sergeybespalyy74@gmail.com; </w:t>
      </w:r>
    </w:p>
    <w:p>
      <w:pPr>
        <w:pStyle w:val="Normal"/>
        <w:suppressAutoHyphens w:val="true"/>
        <w:spacing w:lineRule="auto" w:line="240" w:before="0" w:after="0"/>
        <w:jc w:val="both"/>
        <w:rPr>
          <w:rFonts w:ascii="Times New Roman" w:hAnsi="Times New Roman" w:eastAsia="Aptos" w:cs="Times New Roman"/>
          <w:kern w:val="2"/>
          <w:sz w:val="20"/>
          <w:szCs w:val="20"/>
          <w14:ligatures w14:val="standardContextual"/>
        </w:rPr>
      </w:pPr>
      <w:r>
        <w:rPr>
          <w:rFonts w:eastAsia="Aptos" w:cs="Times New Roman" w:ascii="Times New Roman" w:hAnsi="Times New Roman"/>
          <w:kern w:val="2"/>
          <w:sz w:val="20"/>
          <w:szCs w:val="20"/>
          <w14:ligatures w14:val="standardContextual"/>
        </w:rPr>
        <w:t xml:space="preserve">Серикбаева Б.М. </w:t>
      </w:r>
      <w:r>
        <w:rPr>
          <w:rFonts w:eastAsia="Aptos" w:cs="Times New Roman" w:ascii="Times New Roman" w:hAnsi="Times New Roman"/>
          <w:kern w:val="2"/>
          <w:sz w:val="20"/>
          <w:szCs w:val="20"/>
          <w:lang w:val="kk-KZ"/>
          <w14:ligatures w14:val="standardContextual"/>
        </w:rPr>
        <w:t>-</w:t>
      </w:r>
      <w:r>
        <w:rPr>
          <w:rFonts w:eastAsia="Aptos" w:cs="Times New Roman" w:ascii="Times New Roman" w:hAnsi="Times New Roman"/>
          <w:kern w:val="2"/>
          <w:sz w:val="20"/>
          <w:szCs w:val="20"/>
          <w14:ligatures w14:val="standardContextual"/>
        </w:rPr>
        <w:t xml:space="preserve"> кандидат экономических наук, доцент, Университет «Туран-Астана», Астана, Казахстан, </w:t>
      </w:r>
      <w:r>
        <w:rPr>
          <w:rFonts w:eastAsia="Aptos" w:cs="Times New Roman" w:ascii="Times New Roman" w:hAnsi="Times New Roman"/>
          <w:kern w:val="2"/>
          <w:sz w:val="20"/>
          <w:szCs w:val="20"/>
          <w:lang w:val="en-US"/>
          <w14:ligatures w14:val="standardContextual"/>
        </w:rPr>
        <w:t>e</w:t>
      </w:r>
      <w:r>
        <w:rPr>
          <w:rFonts w:eastAsia="Aptos" w:cs="Times New Roman" w:ascii="Times New Roman" w:hAnsi="Times New Roman"/>
          <w:kern w:val="2"/>
          <w:sz w:val="20"/>
          <w:szCs w:val="20"/>
          <w14:ligatures w14:val="standardContextual"/>
        </w:rPr>
        <w:t>-</w:t>
      </w:r>
      <w:r>
        <w:rPr>
          <w:rFonts w:eastAsia="Aptos" w:cs="Times New Roman" w:ascii="Times New Roman" w:hAnsi="Times New Roman"/>
          <w:kern w:val="2"/>
          <w:sz w:val="20"/>
          <w:szCs w:val="20"/>
          <w:lang w:val="en-US"/>
          <w14:ligatures w14:val="standardContextual"/>
        </w:rPr>
        <w:t>mail</w:t>
      </w:r>
      <w:r>
        <w:rPr>
          <w:rFonts w:eastAsia="Aptos" w:cs="Times New Roman" w:ascii="Times New Roman" w:hAnsi="Times New Roman"/>
          <w:kern w:val="2"/>
          <w:sz w:val="20"/>
          <w:szCs w:val="20"/>
          <w14:ligatures w14:val="standardContextual"/>
        </w:rPr>
        <w:t>: Bsbook@icloud.com.</w:t>
      </w:r>
    </w:p>
    <w:p>
      <w:pPr>
        <w:pStyle w:val="Normal"/>
        <w:suppressAutoHyphens w:val="true"/>
        <w:spacing w:lineRule="auto" w:line="240" w:before="0" w:after="0"/>
        <w:jc w:val="both"/>
        <w:rPr>
          <w:rFonts w:ascii="Times New Roman" w:hAnsi="Times New Roman" w:eastAsia="Aptos" w:cs="Times New Roman"/>
          <w:kern w:val="2"/>
          <w:sz w:val="20"/>
          <w:szCs w:val="20"/>
          <w:lang w:val="kk-KZ"/>
          <w14:ligatures w14:val="standardContextual"/>
        </w:rPr>
      </w:pPr>
      <w:r>
        <w:rPr>
          <w:rFonts w:eastAsia="Aptos" w:cs="Times New Roman" w:ascii="Times New Roman" w:hAnsi="Times New Roman"/>
          <w:kern w:val="2"/>
          <w:sz w:val="20"/>
          <w:szCs w:val="20"/>
          <w:lang w:val="kk-KZ"/>
          <w14:ligatures w14:val="standardContextual"/>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rPr>
      </w:pPr>
      <w:r>
        <w:rPr>
          <w:color w:val="FF0000"/>
        </w:rPr>
        <w:t xml:space="preserve">  </w:t>
      </w:r>
      <w:r>
        <w:rPr>
          <w:rFonts w:cs="Times New Roman" w:ascii="Times New Roman" w:hAnsi="Times New Roman"/>
          <w:bCs/>
          <w:lang w:val="kk-KZ"/>
        </w:rPr>
        <w:t>ҒТАМР</w:t>
      </w:r>
      <w:r>
        <w:rPr>
          <w:rFonts w:cs="Times New Roman" w:ascii="Times New Roman" w:hAnsi="Times New Roman"/>
          <w:lang w:val="kk-KZ"/>
        </w:rPr>
        <w:t xml:space="preserve"> 06.5</w:t>
      </w:r>
      <w:r>
        <w:rPr>
          <w:rFonts w:cs="Times New Roman" w:ascii="Times New Roman" w:hAnsi="Times New Roman"/>
        </w:rPr>
        <w:t>1</w:t>
      </w:r>
      <w:r>
        <w:rPr>
          <w:rFonts w:cs="Times New Roman" w:ascii="Times New Roman" w:hAnsi="Times New Roman"/>
          <w:lang w:val="kk-KZ"/>
        </w:rPr>
        <w:t>.</w:t>
      </w:r>
      <w:r>
        <w:rPr>
          <w:rFonts w:cs="Times New Roman" w:ascii="Times New Roman" w:hAnsi="Times New Roman"/>
        </w:rPr>
        <w:t>25</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ЦИФРЛЫҚ ЭКОНОМИКАНЫ ҚАЛЫПТАСТЫРУДАҒЫ ЖАСАНДЫ ИНТЕЛЛЕКТТІҢ РӨЛІ: ЖАҢҒЫРТУ МҮМКІНДІКТЕРІ ЖӘНЕ ТРАНСФОРМАЦИЯ ТӘУЕКЕЛДЕРІ</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vertAlign w:val="superscript"/>
          <w:lang w:val="kk-KZ"/>
        </w:rPr>
        <w:t>1</w:t>
      </w:r>
      <w:r>
        <w:rPr>
          <w:rFonts w:cs="Times New Roman" w:ascii="Times New Roman" w:hAnsi="Times New Roman"/>
          <w:b/>
          <w:lang w:val="kk-KZ"/>
        </w:rPr>
        <w:t>Г.Х.Умарова</w:t>
      </w:r>
      <w:r>
        <w:rPr/>
        <w:drawing>
          <wp:inline distT="0" distB="0" distL="0" distR="0">
            <wp:extent cx="135890" cy="135890"/>
            <wp:effectExtent l="0" t="0" r="0" b="0"/>
            <wp:docPr id="36" name="Рисунок 23" descr="D:\Desktop\иконка.png">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23" descr="D:\Desktop\иконка.png">
                      <a:hlinkClick r:id="rId213"/>
                    </pic:cNvPr>
                    <pic:cNvPicPr>
                      <a:picLocks noChangeAspect="1" noChangeArrowheads="1"/>
                    </pic:cNvPicPr>
                  </pic:nvPicPr>
                  <pic:blipFill>
                    <a:blip r:embed="rId212"/>
                    <a:stretch>
                      <a:fillRect/>
                    </a:stretch>
                  </pic:blipFill>
                  <pic:spPr bwMode="auto">
                    <a:xfrm>
                      <a:off x="0" y="0"/>
                      <a:ext cx="135890" cy="135890"/>
                    </a:xfrm>
                    <a:prstGeom prst="rect">
                      <a:avLst/>
                    </a:prstGeom>
                    <a:noFill/>
                  </pic:spPr>
                </pic:pic>
              </a:graphicData>
            </a:graphic>
          </wp:inline>
        </w:drawing>
      </w:r>
      <w:r>
        <w:rPr>
          <w:rFonts w:cs="Times New Roman" w:ascii="Times New Roman" w:hAnsi="Times New Roman"/>
          <w:b/>
          <w:lang w:val="kk-KZ"/>
        </w:rPr>
        <w:t xml:space="preserve">, </w:t>
      </w:r>
      <w:r>
        <w:rPr>
          <w:rFonts w:cs="Times New Roman" w:ascii="Times New Roman" w:hAnsi="Times New Roman"/>
          <w:b/>
          <w:vertAlign w:val="superscript"/>
          <w:lang w:val="kk-KZ"/>
        </w:rPr>
        <w:t>1</w:t>
      </w:r>
      <w:r>
        <w:rPr>
          <w:rFonts w:cs="Times New Roman" w:ascii="Times New Roman" w:hAnsi="Times New Roman"/>
          <w:b/>
          <w:lang w:val="kk-KZ"/>
        </w:rPr>
        <w:t>И.Е.Кожамкулова</w:t>
      </w:r>
      <w:r>
        <w:rPr/>
        <w:drawing>
          <wp:inline distT="0" distB="0" distL="0" distR="0">
            <wp:extent cx="135890" cy="135890"/>
            <wp:effectExtent l="0" t="0" r="0" b="0"/>
            <wp:docPr id="37" name="Рисунок 24" descr="D:\Desktop\иконка.png">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24" descr="D:\Desktop\иконка.png">
                      <a:hlinkClick r:id="rId215"/>
                    </pic:cNvPr>
                    <pic:cNvPicPr>
                      <a:picLocks noChangeAspect="1" noChangeArrowheads="1"/>
                    </pic:cNvPicPr>
                  </pic:nvPicPr>
                  <pic:blipFill>
                    <a:blip r:embed="rId214"/>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0"/>
          <w:vertAlign w:val="superscript"/>
        </w:rPr>
        <w:sym w:font="Wingdings" w:char="f02a"/>
      </w:r>
      <w:r>
        <w:rPr>
          <w:rFonts w:cs="Times New Roman" w:ascii="Times New Roman" w:hAnsi="Times New Roman"/>
          <w:b/>
          <w:lang w:val="kk-KZ"/>
        </w:rPr>
        <w:t xml:space="preserve">, </w:t>
      </w:r>
      <w:r>
        <w:rPr>
          <w:rFonts w:cs="Times New Roman" w:ascii="Times New Roman" w:hAnsi="Times New Roman"/>
          <w:b/>
          <w:vertAlign w:val="superscript"/>
          <w:lang w:val="kk-KZ"/>
        </w:rPr>
        <w:t>1</w:t>
      </w:r>
      <w:r>
        <w:rPr>
          <w:rFonts w:cs="Times New Roman" w:ascii="Times New Roman" w:hAnsi="Times New Roman"/>
          <w:b/>
          <w:lang w:val="uk-UA"/>
        </w:rPr>
        <w:t>Г</w:t>
      </w:r>
      <w:r>
        <w:rPr>
          <w:rFonts w:cs="Times New Roman" w:ascii="Times New Roman" w:hAnsi="Times New Roman"/>
          <w:b/>
          <w:lang w:val="kk-KZ"/>
        </w:rPr>
        <w:t>.</w:t>
      </w:r>
      <w:r>
        <w:rPr>
          <w:rFonts w:cs="Times New Roman" w:ascii="Times New Roman" w:hAnsi="Times New Roman"/>
          <w:b/>
          <w:lang w:val="uk-UA"/>
        </w:rPr>
        <w:t>Е.Мауленкулова</w:t>
      </w:r>
      <w:r>
        <w:rPr/>
        <w:drawing>
          <wp:inline distT="0" distB="0" distL="0" distR="0">
            <wp:extent cx="135890" cy="135890"/>
            <wp:effectExtent l="0" t="0" r="0" b="0"/>
            <wp:docPr id="38" name="Рисунок 25" descr="D:\Desktop\иконка.pn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25" descr="D:\Desktop\иконка.png">
                      <a:hlinkClick r:id="rId217"/>
                    </pic:cNvPr>
                    <pic:cNvPicPr>
                      <a:picLocks noChangeAspect="1" noChangeArrowheads="1"/>
                    </pic:cNvPicPr>
                  </pic:nvPicPr>
                  <pic:blipFill>
                    <a:blip r:embed="rId216"/>
                    <a:stretch>
                      <a:fillRect/>
                    </a:stretch>
                  </pic:blipFill>
                  <pic:spPr bwMode="auto">
                    <a:xfrm>
                      <a:off x="0" y="0"/>
                      <a:ext cx="135890" cy="135890"/>
                    </a:xfrm>
                    <a:prstGeom prst="rect">
                      <a:avLst/>
                    </a:prstGeom>
                    <a:noFill/>
                  </pic:spPr>
                </pic:pic>
              </a:graphicData>
            </a:graphic>
          </wp:inline>
        </w:drawing>
      </w:r>
      <w:r>
        <w:rPr>
          <w:rFonts w:cs="Times New Roman" w:ascii="Times New Roman" w:hAnsi="Times New Roman"/>
          <w:b/>
          <w:lang w:val="kk-KZ"/>
        </w:rPr>
        <w:t xml:space="preserve">, </w:t>
      </w:r>
      <w:r>
        <w:rPr>
          <w:rFonts w:cs="Times New Roman" w:ascii="Times New Roman" w:hAnsi="Times New Roman"/>
          <w:vertAlign w:val="superscript"/>
          <w:lang w:val="kk-KZ"/>
        </w:rPr>
        <w:t>2</w:t>
      </w:r>
      <w:r>
        <w:rPr>
          <w:rFonts w:cs="Times New Roman" w:ascii="Times New Roman" w:hAnsi="Times New Roman"/>
          <w:b/>
          <w:lang w:val="kk-KZ"/>
        </w:rPr>
        <w:t>Е.З.Онласынов</w:t>
      </w:r>
      <w:r>
        <w:rPr/>
        <w:drawing>
          <wp:inline distT="0" distB="0" distL="0" distR="0">
            <wp:extent cx="135890" cy="135890"/>
            <wp:effectExtent l="0" t="0" r="0" b="0"/>
            <wp:docPr id="39" name="Рисунок 26" descr="D:\Desktop\иконка.png">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26" descr="D:\Desktop\иконка.png">
                      <a:hlinkClick r:id="rId219"/>
                    </pic:cNvPr>
                    <pic:cNvPicPr>
                      <a:picLocks noChangeAspect="1" noChangeArrowheads="1"/>
                    </pic:cNvPicPr>
                  </pic:nvPicPr>
                  <pic:blipFill>
                    <a:blip r:embed="rId218"/>
                    <a:stretch>
                      <a:fillRect/>
                    </a:stretch>
                  </pic:blipFill>
                  <pic:spPr bwMode="auto">
                    <a:xfrm>
                      <a:off x="0" y="0"/>
                      <a:ext cx="135890" cy="135890"/>
                    </a:xfrm>
                    <a:prstGeom prst="rect">
                      <a:avLst/>
                    </a:prstGeom>
                    <a:noFill/>
                  </pic:spPr>
                </pic:pic>
              </a:graphicData>
            </a:graphic>
          </wp:inline>
        </w:drawing>
      </w:r>
      <w:r>
        <w:rPr>
          <w:rFonts w:cs="Times New Roman" w:ascii="Times New Roman" w:hAnsi="Times New Roman"/>
          <w:b/>
          <w:lang w:val="kk-KZ"/>
        </w:rPr>
        <w:t xml:space="preserve"> </w:t>
      </w:r>
    </w:p>
    <w:p>
      <w:pPr>
        <w:pStyle w:val="Default"/>
        <w:jc w:val="center"/>
        <w:rPr>
          <w:i/>
          <w:i/>
          <w:sz w:val="20"/>
          <w:szCs w:val="20"/>
          <w:lang w:val="kk-KZ"/>
        </w:rPr>
      </w:pPr>
      <w:r>
        <w:rPr>
          <w:i/>
          <w:color w:val="auto"/>
          <w:sz w:val="20"/>
          <w:szCs w:val="20"/>
          <w:vertAlign w:val="superscript"/>
          <w:lang w:val="kk-KZ"/>
        </w:rPr>
        <w:t>1</w:t>
      </w:r>
      <w:r>
        <w:rPr>
          <w:i/>
          <w:color w:val="auto"/>
          <w:sz w:val="20"/>
          <w:szCs w:val="20"/>
          <w:lang w:val="uk-UA"/>
        </w:rPr>
        <w:t>М.Әуезов атындағы Оңтүстік Қазақстан университеті,</w:t>
      </w:r>
      <w:r>
        <w:rPr>
          <w:i/>
          <w:sz w:val="20"/>
          <w:szCs w:val="20"/>
          <w:lang w:val="uk-UA"/>
        </w:rPr>
        <w:t xml:space="preserve"> Шымкент</w:t>
      </w:r>
      <w:r>
        <w:rPr>
          <w:i/>
          <w:sz w:val="20"/>
          <w:szCs w:val="20"/>
          <w:lang w:val="kk-KZ"/>
        </w:rPr>
        <w:t>,</w:t>
      </w:r>
      <w:r>
        <w:rPr>
          <w:i/>
          <w:sz w:val="20"/>
          <w:szCs w:val="20"/>
          <w:lang w:val="uk-UA"/>
        </w:rPr>
        <w:t xml:space="preserve"> Қазақстан</w:t>
      </w:r>
      <w:r>
        <w:rPr>
          <w:i/>
          <w:sz w:val="20"/>
          <w:szCs w:val="20"/>
          <w:lang w:val="kk-KZ"/>
        </w:rPr>
        <w:t>,</w:t>
      </w:r>
      <w:r>
        <w:rPr>
          <w:i/>
          <w:sz w:val="20"/>
          <w:szCs w:val="20"/>
          <w:lang w:val="uk-UA"/>
        </w:rPr>
        <w:t xml:space="preserve"> </w:t>
      </w:r>
    </w:p>
    <w:p>
      <w:pPr>
        <w:pStyle w:val="Default"/>
        <w:jc w:val="center"/>
        <w:rPr>
          <w:i/>
          <w:i/>
          <w:sz w:val="20"/>
          <w:szCs w:val="20"/>
          <w:lang w:val="uk-UA"/>
        </w:rPr>
      </w:pPr>
      <w:r>
        <w:rPr>
          <w:i/>
          <w:color w:val="auto"/>
          <w:sz w:val="20"/>
          <w:szCs w:val="20"/>
          <w:vertAlign w:val="superscript"/>
          <w:lang w:val="kk-KZ"/>
        </w:rPr>
        <w:t>2</w:t>
      </w:r>
      <w:r>
        <w:rPr>
          <w:i/>
          <w:sz w:val="20"/>
          <w:szCs w:val="20"/>
          <w:lang w:val="uk-UA"/>
        </w:rPr>
        <w:t>Орталық Азия инновациялық университеті</w:t>
      </w:r>
      <w:r>
        <w:rPr>
          <w:i/>
          <w:sz w:val="20"/>
          <w:szCs w:val="20"/>
        </w:rPr>
        <w:t xml:space="preserve">, </w:t>
      </w:r>
      <w:r>
        <w:rPr>
          <w:i/>
          <w:sz w:val="20"/>
          <w:szCs w:val="20"/>
          <w:lang w:val="uk-UA"/>
        </w:rPr>
        <w:t>Шымкент</w:t>
      </w:r>
      <w:r>
        <w:rPr>
          <w:i/>
          <w:sz w:val="20"/>
          <w:szCs w:val="20"/>
          <w:lang w:val="kk-KZ"/>
        </w:rPr>
        <w:t>,</w:t>
      </w:r>
      <w:r>
        <w:rPr>
          <w:i/>
          <w:sz w:val="20"/>
          <w:szCs w:val="20"/>
          <w:lang w:val="uk-UA"/>
        </w:rPr>
        <w:t xml:space="preserve"> Қазақстан </w:t>
      </w:r>
    </w:p>
    <w:p>
      <w:pPr>
        <w:pStyle w:val="Normal"/>
        <w:spacing w:lineRule="auto" w:line="240" w:before="0" w:after="0"/>
        <w:ind w:firstLine="567"/>
        <w:jc w:val="both"/>
        <w:rPr>
          <w:rFonts w:ascii="Times New Roman" w:hAnsi="Times New Roman" w:cs="Times New Roman"/>
          <w:i/>
          <w:i/>
          <w:color w:val="000000"/>
          <w:sz w:val="20"/>
          <w:szCs w:val="20"/>
          <w:lang w:val="kk-KZ"/>
        </w:rPr>
      </w:pPr>
      <w:r>
        <w:rPr>
          <w:rFonts w:cs="Times New Roman" w:ascii="Times New Roman" w:hAnsi="Times New Roman"/>
          <w:i/>
          <w:color w:val="000000"/>
          <w:sz w:val="20"/>
          <w:szCs w:val="20"/>
          <w:lang w:val="kk-KZ"/>
        </w:rPr>
      </w:r>
    </w:p>
    <w:p>
      <w:pPr>
        <w:pStyle w:val="Normal"/>
        <w:spacing w:lineRule="auto" w:line="240" w:before="0" w:after="0"/>
        <w:rPr>
          <w:rFonts w:ascii="Times New Roman" w:hAnsi="Times New Roman" w:eastAsia="TimesNewRomanPS-BoldMT" w:cs="Times New Roman"/>
          <w:sz w:val="20"/>
          <w:szCs w:val="20"/>
          <w:lang w:val="kk-KZ"/>
        </w:rPr>
      </w:pPr>
      <w:r>
        <w:rPr>
          <w:rFonts w:eastAsia="Wingdings" w:cs="Wingdings" w:ascii="Wingdings" w:hAnsi="Wingdings"/>
          <w:b/>
          <w:bCs/>
          <w:color w:val="1F497D"/>
          <w:sz w:val="20"/>
          <w:vertAlign w:val="superscript"/>
        </w:rPr>
        <w:sym w:font="Wingdings" w:char="f02a"/>
      </w:r>
      <w:r>
        <w:rPr>
          <w:rFonts w:cs="Times New Roman" w:ascii="Times New Roman" w:hAnsi="Times New Roman"/>
          <w:sz w:val="20"/>
          <w:szCs w:val="20"/>
          <w:lang w:val="kk-KZ"/>
        </w:rPr>
        <w:t>Корреспондент-автор</w:t>
      </w:r>
      <w:r>
        <w:rPr>
          <w:rFonts w:eastAsia="Times New Roman" w:cs="Times New Roman" w:ascii="Times New Roman" w:hAnsi="Times New Roman"/>
          <w:sz w:val="20"/>
          <w:szCs w:val="20"/>
          <w:lang w:val="kk-KZ" w:eastAsia="ru-RU"/>
        </w:rPr>
        <w:t xml:space="preserve">: </w:t>
      </w:r>
      <w:hyperlink r:id="rId220">
        <w:r>
          <w:rPr>
            <w:rStyle w:val="Hyperlink"/>
            <w:rFonts w:cs="Times New Roman" w:ascii="Times New Roman" w:hAnsi="Times New Roman"/>
            <w:color w:val="auto"/>
            <w:sz w:val="20"/>
            <w:szCs w:val="20"/>
            <w:u w:val="none"/>
            <w:lang w:val="kk-KZ"/>
          </w:rPr>
          <w:t>indira76.00@mail.ru</w:t>
        </w:r>
      </w:hyperlink>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eastAsia="Times New Roman" w:cs="Times New Roman" w:ascii="Times New Roman" w:hAnsi="Times New Roman"/>
          <w:sz w:val="24"/>
          <w:szCs w:val="24"/>
          <w:lang w:val="kk-KZ" w:eastAsia="ru-RU"/>
        </w:rPr>
        <w:t>М</w:t>
      </w:r>
      <w:r>
        <w:rPr>
          <w:rFonts w:cs="Times New Roman" w:ascii="Times New Roman" w:hAnsi="Times New Roman"/>
          <w:sz w:val="24"/>
          <w:szCs w:val="24"/>
          <w:lang w:val="kk-KZ"/>
        </w:rPr>
        <w:t>ақалада Қазақстанның цифрлық экономикасын қалыптастырудағы жасанды интеллекттің (ЖИ) рөлі жан-жақты талданады. Мақаланың мақсаты – ЖИ технологияларының ұлттық экономиканың құрылымдық жаңғыруына әсерін анықтау, олардың енгізілуінің мүмкіндіктері мен тәуекелдерін бағалау және Қазақстан жағдайына бейімделген тиімді реттеушілік және институционалдық модельдер ұсыну. Мақалада Қазақстандағы цифрландыру деңгейі, мемлекеттік саясаттың эволюциясы, салалық ЖИ шешімдерінің таралуы және нарықтық динамикасының жаңа трендтері заманауи статистикалық деректер негізінде қарастырылады. Қорытындыда ЖИ арқылы экономиканың инновациялық өсу мүмкіндіктері бағаланып, трансформациялық тәуекелдерді төмендету жолдары ұсынылды.</w:t>
      </w:r>
    </w:p>
    <w:p>
      <w:pPr>
        <w:pStyle w:val="Normal"/>
        <w:spacing w:lineRule="auto" w:line="240" w:before="0" w:after="0"/>
        <w:rPr>
          <w:rFonts w:ascii="Times New Roman" w:hAnsi="Times New Roman" w:cs="Times New Roman"/>
          <w:sz w:val="24"/>
          <w:szCs w:val="24"/>
          <w:lang w:val="kk-KZ"/>
        </w:rPr>
      </w:pPr>
      <w:r>
        <w:rPr>
          <w:rFonts w:cs="Times New Roman" w:ascii="Times New Roman" w:hAnsi="Times New Roman"/>
          <w:b/>
          <w:sz w:val="24"/>
          <w:szCs w:val="24"/>
          <w:lang w:val="kk-KZ"/>
        </w:rPr>
        <w:t xml:space="preserve">       </w:t>
      </w:r>
      <w:r>
        <w:rPr>
          <w:rFonts w:cs="Times New Roman" w:ascii="Times New Roman" w:hAnsi="Times New Roman"/>
          <w:b/>
          <w:sz w:val="24"/>
          <w:szCs w:val="24"/>
          <w:lang w:val="kk-KZ"/>
        </w:rPr>
        <w:t>Түйін сөздер:</w:t>
      </w:r>
      <w:r>
        <w:rPr>
          <w:rFonts w:cs="Times New Roman" w:ascii="Times New Roman" w:hAnsi="Times New Roman"/>
          <w:sz w:val="24"/>
          <w:szCs w:val="24"/>
          <w:lang w:val="kk-KZ"/>
        </w:rPr>
        <w:t xml:space="preserve"> жасанды интеллект, цифрлық экономика, , инновациялар, цифрландыру</w:t>
      </w:r>
    </w:p>
    <w:p>
      <w:pPr>
        <w:pStyle w:val="Normal"/>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t>тәуекелдері, инновациялық даму, технологиялық трансформация, Қазақстан.</w:t>
      </w:r>
    </w:p>
    <w:p>
      <w:pPr>
        <w:pStyle w:val="NormalWeb"/>
        <w:shd w:val="clear" w:color="auto" w:fill="FFFFFF"/>
        <w:spacing w:before="0" w:after="0"/>
        <w:rPr>
          <w:lang w:val="kk-KZ"/>
        </w:rPr>
      </w:pPr>
      <w:r>
        <w:rPr>
          <w:lang w:val="kk-KZ"/>
        </w:rPr>
        <w:t xml:space="preserve"> </w:t>
      </w:r>
    </w:p>
    <w:p>
      <w:pPr>
        <w:pStyle w:val="NormalWeb"/>
        <w:shd w:val="clear" w:color="auto" w:fill="FFFFFF"/>
        <w:spacing w:before="0" w:after="0"/>
        <w:jc w:val="center"/>
        <w:rPr>
          <w:b/>
          <w:sz w:val="22"/>
          <w:szCs w:val="22"/>
        </w:rPr>
      </w:pPr>
      <w:r>
        <w:rPr>
          <w:b/>
          <w:sz w:val="22"/>
          <w:szCs w:val="22"/>
        </w:rPr>
        <w:t>РОЛЬ ИСКУССТВЕННОГО ИНТЕЛЛЕКТА В ФОРМИРОВАНИИ ЦИФРОВОЙ ЭКОНОМИКИ: ВОЗМОЖНОСТИ МОДЕРНИЗАЦИИ И РИСКИ ТРАНСФОРМАЦИИ</w:t>
      </w:r>
    </w:p>
    <w:p>
      <w:pPr>
        <w:pStyle w:val="Normal"/>
        <w:spacing w:lineRule="auto" w:line="240" w:before="0" w:after="0"/>
        <w:jc w:val="center"/>
        <w:rPr>
          <w:rFonts w:ascii="Times New Roman" w:hAnsi="Times New Roman" w:cs="Times New Roman"/>
          <w:b/>
          <w:sz w:val="24"/>
          <w:szCs w:val="24"/>
          <w:lang w:val="kk-KZ"/>
        </w:rPr>
      </w:pPr>
      <w:r>
        <w:rPr>
          <w:rFonts w:cs="Times New Roman" w:ascii="Times New Roman" w:hAnsi="Times New Roman"/>
          <w:b/>
          <w:sz w:val="24"/>
          <w:szCs w:val="24"/>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vertAlign w:val="superscript"/>
          <w:lang w:val="kk-KZ"/>
        </w:rPr>
        <w:t>1</w:t>
      </w:r>
      <w:r>
        <w:rPr>
          <w:rFonts w:cs="Times New Roman" w:ascii="Times New Roman" w:hAnsi="Times New Roman"/>
          <w:b/>
          <w:lang w:val="kk-KZ"/>
        </w:rPr>
        <w:t xml:space="preserve">Г.Х. Умарова, </w:t>
      </w:r>
      <w:r>
        <w:rPr>
          <w:rFonts w:cs="Times New Roman" w:ascii="Times New Roman" w:hAnsi="Times New Roman"/>
          <w:b/>
          <w:vertAlign w:val="superscript"/>
          <w:lang w:val="kk-KZ"/>
        </w:rPr>
        <w:t>1</w:t>
      </w:r>
      <w:r>
        <w:rPr>
          <w:rFonts w:cs="Times New Roman" w:ascii="Times New Roman" w:hAnsi="Times New Roman"/>
          <w:b/>
          <w:lang w:val="kk-KZ"/>
        </w:rPr>
        <w:t>И.Е. Кожамкулова</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xml:space="preserve">, </w:t>
      </w:r>
      <w:r>
        <w:rPr>
          <w:rFonts w:cs="Times New Roman" w:ascii="Times New Roman" w:hAnsi="Times New Roman"/>
          <w:b/>
          <w:vertAlign w:val="superscript"/>
          <w:lang w:val="kk-KZ"/>
        </w:rPr>
        <w:t>1</w:t>
      </w:r>
      <w:r>
        <w:rPr>
          <w:rFonts w:cs="Times New Roman" w:ascii="Times New Roman" w:hAnsi="Times New Roman"/>
          <w:b/>
          <w:lang w:val="kk-KZ"/>
        </w:rPr>
        <w:t xml:space="preserve">Г.Е. Мауленкулова, </w:t>
      </w:r>
      <w:r>
        <w:rPr>
          <w:rFonts w:cs="Times New Roman" w:ascii="Times New Roman" w:hAnsi="Times New Roman"/>
          <w:b/>
          <w:vertAlign w:val="superscript"/>
          <w:lang w:val="kk-KZ"/>
        </w:rPr>
        <w:t>2</w:t>
      </w:r>
      <w:r>
        <w:rPr>
          <w:rFonts w:cs="Times New Roman" w:ascii="Times New Roman" w:hAnsi="Times New Roman"/>
          <w:b/>
          <w:lang w:val="kk-KZ"/>
        </w:rPr>
        <w:t>Е.З.Онласынов</w:t>
      </w:r>
    </w:p>
    <w:p>
      <w:pPr>
        <w:pStyle w:val="Normal"/>
        <w:spacing w:lineRule="auto" w:line="240" w:before="0" w:after="0"/>
        <w:jc w:val="center"/>
        <w:rPr>
          <w:rFonts w:ascii="Times New Roman" w:hAnsi="Times New Roman" w:cs="Times New Roman"/>
          <w:i/>
          <w:i/>
          <w:sz w:val="20"/>
          <w:szCs w:val="20"/>
        </w:rPr>
      </w:pPr>
      <w:r>
        <w:rPr>
          <w:rFonts w:cs="Times New Roman" w:ascii="Times New Roman" w:hAnsi="Times New Roman"/>
          <w:i/>
          <w:sz w:val="20"/>
          <w:szCs w:val="20"/>
          <w:vertAlign w:val="superscript"/>
          <w:lang w:val="kk-KZ"/>
        </w:rPr>
        <w:t>1</w:t>
      </w:r>
      <w:r>
        <w:rPr>
          <w:rFonts w:cs="Times New Roman" w:ascii="Times New Roman" w:hAnsi="Times New Roman"/>
          <w:i/>
          <w:sz w:val="20"/>
          <w:szCs w:val="20"/>
          <w:lang w:val="kk-KZ"/>
        </w:rPr>
        <w:t>Южно-Казахстанский университет им. М.Ауэзова, Шымкент Казахстан,</w:t>
      </w:r>
    </w:p>
    <w:p>
      <w:pPr>
        <w:pStyle w:val="Normal"/>
        <w:spacing w:lineRule="auto" w:line="240" w:before="0" w:after="0"/>
        <w:jc w:val="center"/>
        <w:rPr>
          <w:rFonts w:ascii="Times New Roman" w:hAnsi="Times New Roman" w:cs="Times New Roman"/>
          <w:i/>
          <w:i/>
          <w:sz w:val="20"/>
          <w:szCs w:val="20"/>
          <w:lang w:val="kk-KZ"/>
        </w:rPr>
      </w:pPr>
      <w:r>
        <w:rPr>
          <w:rFonts w:cs="Times New Roman" w:ascii="Times New Roman" w:hAnsi="Times New Roman"/>
          <w:i/>
          <w:sz w:val="20"/>
          <w:szCs w:val="20"/>
          <w:vertAlign w:val="superscript"/>
          <w:lang w:val="kk-KZ"/>
        </w:rPr>
        <w:t>2</w:t>
      </w:r>
      <w:r>
        <w:rPr>
          <w:rFonts w:cs="Times New Roman" w:ascii="Times New Roman" w:hAnsi="Times New Roman"/>
          <w:i/>
          <w:sz w:val="20"/>
          <w:szCs w:val="20"/>
        </w:rPr>
        <w:t>Центрально-Азиатский инновационный университет</w:t>
      </w:r>
      <w:r>
        <w:rPr>
          <w:rFonts w:cs="Times New Roman" w:ascii="Times New Roman" w:hAnsi="Times New Roman"/>
          <w:i/>
          <w:sz w:val="20"/>
          <w:szCs w:val="20"/>
          <w:lang w:val="kk-KZ"/>
        </w:rPr>
        <w:t>,</w:t>
      </w:r>
      <w:r>
        <w:rPr>
          <w:rFonts w:eastAsia="Times New Roman" w:cs="Times New Roman" w:ascii="Times New Roman" w:hAnsi="Times New Roman"/>
          <w:i/>
          <w:sz w:val="20"/>
          <w:szCs w:val="20"/>
          <w:lang w:eastAsia="ru-RU"/>
        </w:rPr>
        <w:t xml:space="preserve">  Шымкент, Казахстан,</w:t>
      </w:r>
    </w:p>
    <w:p>
      <w:pPr>
        <w:pStyle w:val="Normal"/>
        <w:spacing w:lineRule="auto" w:line="240" w:before="0" w:after="0"/>
        <w:jc w:val="center"/>
        <w:rPr>
          <w:rFonts w:ascii="Times New Roman" w:hAnsi="Times New Roman" w:cs="Times New Roman"/>
          <w:sz w:val="20"/>
          <w:szCs w:val="20"/>
        </w:rPr>
      </w:pPr>
      <w:r>
        <w:rPr>
          <w:rFonts w:eastAsia="Wingdings" w:cs="Wingdings" w:ascii="Wingdings" w:hAnsi="Wingdings"/>
          <w:b/>
          <w:bCs/>
          <w:color w:val="1F497D"/>
          <w:vertAlign w:val="superscript"/>
        </w:rPr>
        <w:sym w:font="Wingdings" w:char="f02a"/>
      </w:r>
      <w:hyperlink r:id="rId221">
        <w:r>
          <w:rPr>
            <w:rStyle w:val="Hyperlink"/>
            <w:rFonts w:cs="Times New Roman" w:ascii="Times New Roman" w:hAnsi="Times New Roman"/>
            <w:color w:val="auto"/>
            <w:sz w:val="20"/>
            <w:szCs w:val="20"/>
            <w:u w:val="none"/>
            <w:lang w:val="en-US"/>
          </w:rPr>
          <w:t>e</w:t>
        </w:r>
        <w:r>
          <w:rPr>
            <w:rStyle w:val="Hyperlink"/>
            <w:rFonts w:cs="Times New Roman" w:ascii="Times New Roman" w:hAnsi="Times New Roman"/>
            <w:color w:val="auto"/>
            <w:sz w:val="20"/>
            <w:szCs w:val="20"/>
            <w:u w:val="none"/>
          </w:rPr>
          <w:t>-</w:t>
        </w:r>
        <w:r>
          <w:rPr>
            <w:rStyle w:val="Hyperlink"/>
            <w:rFonts w:cs="Times New Roman" w:ascii="Times New Roman" w:hAnsi="Times New Roman"/>
            <w:color w:val="auto"/>
            <w:sz w:val="20"/>
            <w:szCs w:val="20"/>
            <w:u w:val="none"/>
            <w:lang w:val="en-US"/>
          </w:rPr>
          <w:t>mail</w:t>
        </w:r>
        <w:r>
          <w:rPr>
            <w:rStyle w:val="Hyperlink"/>
            <w:rFonts w:cs="Times New Roman" w:ascii="Times New Roman" w:hAnsi="Times New Roman"/>
            <w:color w:val="auto"/>
            <w:sz w:val="20"/>
            <w:szCs w:val="20"/>
            <w:u w:val="none"/>
          </w:rPr>
          <w:t xml:space="preserve">: </w:t>
        </w:r>
        <w:r>
          <w:rPr>
            <w:rStyle w:val="Hyperlink"/>
            <w:rFonts w:cs="Times New Roman" w:ascii="Times New Roman" w:hAnsi="Times New Roman"/>
            <w:color w:val="auto"/>
            <w:sz w:val="20"/>
            <w:szCs w:val="20"/>
            <w:u w:val="none"/>
            <w:lang w:val="en-US"/>
          </w:rPr>
          <w:t>i</w:t>
        </w:r>
        <w:r>
          <w:rPr>
            <w:rStyle w:val="Hyperlink"/>
            <w:rFonts w:cs="Times New Roman" w:ascii="Times New Roman" w:hAnsi="Times New Roman"/>
            <w:color w:val="auto"/>
            <w:sz w:val="20"/>
            <w:szCs w:val="20"/>
            <w:u w:val="none"/>
            <w:lang w:val="kk-KZ"/>
          </w:rPr>
          <w:t>ndira76.00@mail.ru</w:t>
        </w:r>
      </w:hyperlink>
    </w:p>
    <w:p>
      <w:pPr>
        <w:pStyle w:val="Normal"/>
        <w:spacing w:lineRule="auto" w:line="240" w:before="0" w:after="0"/>
        <w:jc w:val="both"/>
        <w:rPr>
          <w:rFonts w:ascii="Times New Roman" w:hAnsi="Times New Roman" w:cs="Times New Roman"/>
          <w:sz w:val="24"/>
          <w:szCs w:val="24"/>
          <w:vertAlign w:val="superscript"/>
          <w:lang w:val="kk-KZ"/>
        </w:rPr>
      </w:pPr>
      <w:r>
        <w:rPr>
          <w:rFonts w:cs="Times New Roman" w:ascii="Times New Roman" w:hAnsi="Times New Roman"/>
          <w:sz w:val="24"/>
          <w:szCs w:val="24"/>
          <w:vertAlign w:val="superscript"/>
          <w:lang w:val="kk-KZ"/>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В статье всесторонне проанализирована роль искусственного интеллекта (ИИ) в формировании цифровой экономики Казахстана. Цель статьи-выявить влияние технологий ИИ на структурную модернизацию национальной экономики, оценить возможности и риски их внедрения и предложить эффективные регуляторные и институциональные модели, адаптированные к условиям Казахстана. В статье рассматриваются уровень цифровизации в Казахстане, эволюция государственной политики, распространение отраслевых решений и новые тренды динамики рынка на основе современных статистических данных. В заключении были оценены возможности инновационного роста экономики через ИИ, предложены пути снижения трансформационных рисков.</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Ключевые слова</w:t>
      </w:r>
      <w:r>
        <w:rPr>
          <w:rFonts w:eastAsia="Times New Roman" w:cs="Times New Roman" w:ascii="Times New Roman" w:hAnsi="Times New Roman"/>
          <w:sz w:val="24"/>
          <w:szCs w:val="24"/>
          <w:lang w:val="kk-KZ" w:eastAsia="ru-RU"/>
        </w:rPr>
        <w:t>: искусственный интеллект, цифровая экономика , инновации, риски цифровизации, инновационное развитие, технологическая трансформация, Казахстан.</w:t>
      </w:r>
    </w:p>
    <w:p>
      <w:pPr>
        <w:pStyle w:val="Normal"/>
        <w:spacing w:lineRule="auto" w:line="240" w:before="0" w:after="0"/>
        <w:rPr>
          <w:rStyle w:val="ezkurwreuab5ozgtqnkl"/>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jc w:val="center"/>
        <w:rPr>
          <w:rStyle w:val="ezkurwreuab5ozgtqnkl"/>
          <w:rFonts w:ascii="Times New Roman" w:hAnsi="Times New Roman" w:cs="Times New Roman"/>
          <w:b/>
          <w:lang w:val="en-US"/>
        </w:rPr>
      </w:pPr>
      <w:r>
        <w:rPr>
          <w:rStyle w:val="ezkurwreuab5ozgtqnkl"/>
          <w:rFonts w:cs="Times New Roman" w:ascii="Times New Roman" w:hAnsi="Times New Roman"/>
          <w:b/>
          <w:lang w:val="kk-KZ"/>
        </w:rPr>
        <w:t>THE ROLE OF ARTIFICIAL INTELLIGENCE IN SHAPING THE DIGITAL ECONOMY: MODERNIZATION OPPORTUNITIES AND TRANSFORMATION RISKS</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jc w:val="center"/>
        <w:rPr>
          <w:rFonts w:ascii="Times New Roman" w:hAnsi="Times New Roman" w:cs="Times New Roman"/>
          <w:b/>
          <w:vertAlign w:val="superscript"/>
          <w:lang w:val="kk-KZ"/>
        </w:rPr>
      </w:pPr>
      <w:r>
        <w:rPr>
          <w:rFonts w:cs="Times New Roman" w:ascii="Times New Roman" w:hAnsi="Times New Roman"/>
          <w:b/>
          <w:vertAlign w:val="superscript"/>
          <w:lang w:val="kk-KZ"/>
        </w:rPr>
        <w:t>1</w:t>
      </w:r>
      <w:r>
        <w:rPr>
          <w:rFonts w:cs="Times New Roman" w:ascii="Times New Roman" w:hAnsi="Times New Roman"/>
          <w:b/>
          <w:lang w:val="kk-KZ"/>
        </w:rPr>
        <w:t xml:space="preserve">G.H.Umarova, </w:t>
      </w:r>
      <w:r>
        <w:rPr>
          <w:rFonts w:cs="Times New Roman" w:ascii="Times New Roman" w:hAnsi="Times New Roman"/>
          <w:b/>
          <w:vertAlign w:val="superscript"/>
          <w:lang w:val="kk-KZ"/>
        </w:rPr>
        <w:t>1</w:t>
      </w:r>
      <w:r>
        <w:rPr>
          <w:rFonts w:cs="Times New Roman" w:ascii="Times New Roman" w:hAnsi="Times New Roman"/>
          <w:b/>
          <w:lang w:val="kk-KZ"/>
        </w:rPr>
        <w:t>I.E.Kozhamkulova</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xml:space="preserve">,  </w:t>
      </w:r>
      <w:r>
        <w:rPr>
          <w:rFonts w:cs="Times New Roman" w:ascii="Times New Roman" w:hAnsi="Times New Roman"/>
          <w:b/>
          <w:vertAlign w:val="superscript"/>
          <w:lang w:val="kk-KZ"/>
        </w:rPr>
        <w:t>1</w:t>
      </w:r>
      <w:r>
        <w:rPr>
          <w:rFonts w:cs="Times New Roman" w:ascii="Times New Roman" w:hAnsi="Times New Roman"/>
          <w:b/>
          <w:lang w:val="kk-KZ"/>
        </w:rPr>
        <w:t>G.E.Maulenkulova</w:t>
      </w:r>
      <w:r>
        <w:rPr>
          <w:rFonts w:cs="Times New Roman" w:ascii="Times New Roman" w:hAnsi="Times New Roman"/>
          <w:lang w:val="kk-KZ"/>
        </w:rPr>
        <w:t>,</w:t>
      </w:r>
      <w:r>
        <w:rPr>
          <w:rFonts w:cs="Times New Roman" w:ascii="Times New Roman" w:hAnsi="Times New Roman"/>
          <w:b/>
          <w:lang w:val="kk-KZ"/>
        </w:rPr>
        <w:t xml:space="preserve"> </w:t>
      </w:r>
      <w:r>
        <w:rPr>
          <w:rFonts w:cs="Times New Roman" w:ascii="Times New Roman" w:hAnsi="Times New Roman"/>
          <w:b/>
          <w:vertAlign w:val="superscript"/>
          <w:lang w:val="kk-KZ"/>
        </w:rPr>
        <w:t>2</w:t>
      </w:r>
      <w:r>
        <w:rPr>
          <w:rFonts w:cs="Times New Roman" w:ascii="Times New Roman" w:hAnsi="Times New Roman"/>
          <w:b/>
          <w:lang w:val="kk-KZ"/>
        </w:rPr>
        <w:t>E.Z.</w:t>
      </w:r>
      <w:r>
        <w:rPr>
          <w:rFonts w:cs="Times New Roman" w:ascii="Times New Roman" w:hAnsi="Times New Roman"/>
          <w:lang w:val="kk-KZ"/>
        </w:rPr>
        <w:t xml:space="preserve"> </w:t>
      </w:r>
      <w:r>
        <w:rPr>
          <w:rFonts w:cs="Times New Roman" w:ascii="Times New Roman" w:hAnsi="Times New Roman"/>
          <w:b/>
          <w:lang w:val="kk-KZ"/>
        </w:rPr>
        <w:t>Onlasynov</w:t>
      </w:r>
    </w:p>
    <w:p>
      <w:pPr>
        <w:pStyle w:val="Normal"/>
        <w:spacing w:lineRule="auto" w:line="240" w:before="0" w:after="0"/>
        <w:jc w:val="center"/>
        <w:rPr>
          <w:rFonts w:ascii="Times New Roman" w:hAnsi="Times New Roman" w:cs="Times New Roman"/>
          <w:i/>
          <w:i/>
          <w:sz w:val="20"/>
          <w:szCs w:val="20"/>
          <w:lang w:val="kk-KZ"/>
        </w:rPr>
      </w:pPr>
      <w:r>
        <w:rPr>
          <w:rFonts w:cs="Times New Roman" w:ascii="Times New Roman" w:hAnsi="Times New Roman"/>
          <w:i/>
          <w:sz w:val="20"/>
          <w:szCs w:val="20"/>
          <w:vertAlign w:val="superscript"/>
          <w:lang w:val="kk-KZ"/>
        </w:rPr>
        <w:t>1</w:t>
      </w:r>
      <w:r>
        <w:rPr>
          <w:rFonts w:cs="Times New Roman" w:ascii="Times New Roman" w:hAnsi="Times New Roman"/>
          <w:i/>
          <w:sz w:val="20"/>
          <w:szCs w:val="20"/>
          <w:lang w:val="kk-KZ"/>
        </w:rPr>
        <w:t xml:space="preserve">South Kazakhstan University named after M.Auezov, Shymkent,  Kazakhstan, </w:t>
      </w:r>
    </w:p>
    <w:p>
      <w:pPr>
        <w:pStyle w:val="Normal"/>
        <w:spacing w:lineRule="auto" w:line="240" w:before="0" w:after="0"/>
        <w:jc w:val="center"/>
        <w:rPr>
          <w:rFonts w:ascii="Times New Roman" w:hAnsi="Times New Roman" w:cs="Times New Roman"/>
          <w:i/>
          <w:i/>
          <w:sz w:val="20"/>
          <w:szCs w:val="20"/>
          <w:lang w:val="en-US"/>
        </w:rPr>
      </w:pPr>
      <w:r>
        <w:rPr>
          <w:rFonts w:cs="Times New Roman" w:ascii="Times New Roman" w:hAnsi="Times New Roman"/>
          <w:i/>
          <w:sz w:val="20"/>
          <w:szCs w:val="20"/>
          <w:vertAlign w:val="superscript"/>
          <w:lang w:val="kk-KZ"/>
        </w:rPr>
        <w:t>2</w:t>
      </w:r>
      <w:r>
        <w:rPr>
          <w:rFonts w:cs="Times New Roman" w:ascii="Times New Roman" w:hAnsi="Times New Roman"/>
          <w:i/>
          <w:sz w:val="20"/>
          <w:szCs w:val="20"/>
          <w:lang w:val="en-US"/>
        </w:rPr>
        <w:t>Central Asian Innovation University,</w:t>
      </w:r>
      <w:r>
        <w:rPr>
          <w:rFonts w:cs="Times New Roman" w:ascii="Times New Roman" w:hAnsi="Times New Roman"/>
          <w:i/>
          <w:sz w:val="20"/>
          <w:szCs w:val="20"/>
          <w:lang w:val="kk-KZ"/>
        </w:rPr>
        <w:t xml:space="preserve"> Shymkent Kazakhstan, </w:t>
      </w:r>
    </w:p>
    <w:p>
      <w:pPr>
        <w:pStyle w:val="Normal"/>
        <w:spacing w:lineRule="auto" w:line="240" w:before="0" w:after="0"/>
        <w:jc w:val="center"/>
        <w:rPr>
          <w:rStyle w:val="Hyperlink"/>
          <w:rFonts w:ascii="Times New Roman" w:hAnsi="Times New Roman" w:cs="Times New Roman"/>
          <w:color w:val="auto"/>
          <w:u w:val="none"/>
          <w:lang w:val="kk-KZ"/>
        </w:rPr>
      </w:pPr>
      <w:r>
        <w:rPr>
          <w:rFonts w:eastAsia="Wingdings" w:cs="Wingdings" w:ascii="Wingdings" w:hAnsi="Wingdings"/>
          <w:b/>
          <w:bCs/>
          <w:color w:val="1F497D"/>
          <w:vertAlign w:val="superscript"/>
        </w:rPr>
        <w:sym w:font="Wingdings" w:char="f02a"/>
      </w:r>
      <w:hyperlink r:id="rId222">
        <w:r>
          <w:rPr>
            <w:rStyle w:val="Hyperlink"/>
            <w:rFonts w:cs="Times New Roman" w:ascii="Times New Roman" w:hAnsi="Times New Roman"/>
            <w:color w:val="auto"/>
            <w:u w:val="none"/>
            <w:lang w:val="en-US"/>
          </w:rPr>
          <w:t>e-mail: i</w:t>
        </w:r>
        <w:r>
          <w:rPr>
            <w:rStyle w:val="Hyperlink"/>
            <w:rFonts w:cs="Times New Roman" w:ascii="Times New Roman" w:hAnsi="Times New Roman"/>
            <w:color w:val="auto"/>
            <w:u w:val="none"/>
            <w:lang w:val="kk-KZ"/>
          </w:rPr>
          <w:t>ndira76.00@mail.ru</w:t>
        </w:r>
      </w:hyperlink>
    </w:p>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The article comprehensively analyzes the role of artificial intelligence (AI) in shaping the digital economy of Kazakhstan. The purpose of the article is to identify the impact of AI technologies on the structural modernization of the national economy, assess the opportunities and risks of their implementation and propose effective regulatory and institutional models adapted to the conditions of Kazakhstan. The article examines the level of digitalization in Kazakhstan, the evolution of government policy, the spread of industry solutions and new trends in market dynamics based on modern statistical data. In conclusion, the possibilities of innovative economic growth through AI were assessed, and ways to reduce transformational risks were proposed.</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 xml:space="preserve">    </w:t>
      </w:r>
      <w:r>
        <w:rPr>
          <w:rFonts w:eastAsia="Times New Roman" w:cs="Times New Roman" w:ascii="Times New Roman" w:hAnsi="Times New Roman"/>
          <w:b/>
          <w:sz w:val="24"/>
          <w:szCs w:val="24"/>
          <w:lang w:val="kk-KZ" w:eastAsia="ru-RU"/>
        </w:rPr>
        <w:t>Keywords</w:t>
      </w:r>
      <w:r>
        <w:rPr>
          <w:rFonts w:eastAsia="Times New Roman" w:cs="Times New Roman" w:ascii="Times New Roman" w:hAnsi="Times New Roman"/>
          <w:sz w:val="24"/>
          <w:szCs w:val="24"/>
          <w:lang w:val="kk-KZ" w:eastAsia="ru-RU"/>
        </w:rPr>
        <w:t xml:space="preserve">: artificial intelligence, digital economy, innovation, risks of digitalization, innovative development, technological transformation, Kazakhstan. </w:t>
      </w:r>
    </w:p>
    <w:p>
      <w:pPr>
        <w:pStyle w:val="NormalWeb"/>
        <w:shd w:val="clear" w:color="auto" w:fill="FFFFFF"/>
        <w:spacing w:before="0" w:after="0"/>
        <w:rPr>
          <w:lang w:val="kk-KZ"/>
        </w:rPr>
      </w:pPr>
      <w:r>
        <w:rPr>
          <w:lang w:val="kk-KZ"/>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Кіріспе</w:t>
      </w:r>
      <w:r>
        <w:rPr>
          <w:rFonts w:eastAsia="Times New Roman" w:cs="Times New Roman" w:ascii="Times New Roman" w:hAnsi="Times New Roman"/>
          <w:sz w:val="24"/>
          <w:szCs w:val="24"/>
          <w:lang w:val="kk-KZ" w:eastAsia="ru-RU"/>
        </w:rPr>
        <w:t>. Президентіміз Қасым-Жомарт Тоқаев Астана қаласындағы «Digital Bridge 2023» халықаралық технологиялық форумында сөйлеген сөзінде «Жасанды интеллект енді ғылыми фантастика емес, пайда болған шындық. Біздің көз алдымызда жаңа дәуір өрбіді. Жасанды интеллект технологиясы бір кездері электр және Интернет сияқты революциялық болып табылады. Ол адамның өмір салтын түбегейлі өзгерте алады, көптеген жұмыс процестерін автоматтандырады және өзінің ауқымында айтарлықтай экономикалық құндылық жасай алады. Сарапшылардың бағалауы бойынша, әлемдік экономикаға жасанды интеллекттің әлеуетті үлесі жаһандық ЖІӨ-нің төрттен бір бөлігімен салыстырылады. Бұл технологияны кеңінен қолдану Қазақстанның үдемелі дамуының маңызды факторы бола алады»,-деді Мемлекет басшысы [1].</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Жасанды интеллект технологияларының қарқынды дамуы жаһандық цифрлық трансформацияның айқындаушы факторына айналуда. ЖИ деректерді өңдеудің, автоматтандырудың, шешім қабылдаудың және инновациялық өнімдерді жасаудың сапалы жаңа тәсілдерін қалыптастырады. Ол елдер мен компаниялардың бәсекеге қабілеттілігін айтарлықтай арттыруға қабілетті цифрлық экономиканың негізгі элементі ретінде қарастырылады.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Мақаланың өзектілігі ЖИ тек технологиялық құрал болмай, экономикалық дамудың жүйе құрушы факторына айналуымен байланысты. Салалық саясатқа ЖИ ықпалдастыратын мемлекеттер өнімділікте, экономикалық өсімде және инновацияларда артықшылықтарды қалыптастырады. Сонымен қатар, ЖИ-ні дамыту әлеуметтік, этикалық, құқықтық және ақпараттық тәуекелдерді тудырады.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Мақаланың мақсаты - цифрлық экономиканы қалыптастырудағы жасанды интеллекттің рөлін бағалау, оның экономиканы жаңғырту үшін мүмкіндіктерін анықтау және технологиялық трансформация жағдайында туындайтын тәуекелдерді талдау.</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 міндеттері:</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1. ЖИ дамытудың теориялық негіздерін ашу;</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3. Цифрлық трансформация тәуекелдерін зерттеу;</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4. ЖИ реттеудің әлемдік тәжірибесін зерделеу;</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5. Қазақстандағы ЖИ даму жағдайын бағалау.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Материалдар мен әдістер</w:t>
      </w:r>
      <w:r>
        <w:rPr>
          <w:rFonts w:eastAsia="Times New Roman" w:cs="Times New Roman" w:ascii="Times New Roman" w:hAnsi="Times New Roman"/>
          <w:sz w:val="24"/>
          <w:szCs w:val="24"/>
          <w:lang w:val="kk-KZ" w:eastAsia="ru-RU"/>
        </w:rPr>
        <w:t>. Мақала жазу барысында отандық, ресейлік,  шетелдік зерттеуші ғалымдардың көпшілікке жариялаған бірқатар жарияланымдары талданды.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Д.Р. Ахматованың мақаласында әлемдік тәжірибені, ресейлік тәжірибені және олардың ЕАЭО елдеріндегі даму перспективаларын талдау негізінде жасанды интеллект технологияларының экономикалық әлеуеті қаралады. Автор ЖИ-ні экономикада қолданудың негізгі бағыттарын, соның ішінде өнеркәсіп, мемлекеттік басқару, финтех және логистиканы анықтайды және экономикалық тиімділік өнімділіктің өсуі, цифрлық платформаларды масштабтау, процестерді автоматтандыру және жаңа нарықтарды құру есебінен қалыптасатынын көрсетеді. Автор ЕАЭО-да жүйелік цифрландыру және технологиялық стратегияларды үйлестіру ЖИ енгізудің экономикалық тиімділігін едәуір күшейтуі мүмкін деген қорытынды жасайды [2].</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Э.М.Проидаков өзінің «Жасанды интеллекттің қазіргі жағдайы» атты еңбегінде ЖИ саласына жан-жақты талдау ұсынады. Ол зерттеулер мен әзірлемелердің қазіргі жағдайын сипаттап қана қоймайды, сонымен қатар жасанды интеллект жүйелерінің, атап айтқанда, мемлекеттік басқарудағы негізгі бағыттарын, тенденциялары мен мүмкіндіктерін анықтайды [3].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И.В.Лукьянов  «Инновациялық экономика және жасанды интеллект Төртінші өнеркәсіптік революцияның қозғаушы факторлары ретінде» мақаласында жасанды интеллекттің үш негізгі түрін және төртінші өнеркәсіптік революцияның дамуының қазіргі қоғамға ықтимал салдарын қарастырады [4].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Щурина С.В. және Данилова А.С. өз зерттеулерінде"Жасанды интеллект экономиканың дамуын жеделдету үшін технологиялық инновация ретінде" жасанды интеллекттің трансформациялық әлеуетіне баса назар аударады. Авторлар ЖИ-ні бизнес-процестерге белсенді енгізу тиімділіктің айтарлықтай өсуіне, бәсекеге қабілеттіліктің артуына және нарықтардың дамуына әкелетінін дәлелдейді.Сонымен қатар, олар технологиялық прогресті ынталандырады, өнімнің сапасын арттырады, өндіріс көлемін арттырады және тұтастай алғанда елдің эконом/икалық өсуіне ықпал етеді, оны көшбасшылар қатарына қосады деп мәлімдейді [5].</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Soni N. үндістан зерттеушісі бизнес модельдеріндегі зерттеулерді, әзірлемелерді, енгізуді және болашақтағы өзгерістерді қарастыру арқылы бизнеске қандай әсер ететінін зерттеді. Олар инновацияны, білімді және кәсіпкерлікті ескеретін нео-шумпетериандық экономикаға негізделген үш өлшемді модельді қолданды [6].</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Мақала Қазақстандағы жасанды интеллекттің цифрлық экономиканы қалыптастырудағы рөлін кешенді ғылыми талдау мақсатында жүргізілді. Методология бірнеше өзара байланысты зерттеу әдістерінен тұрады.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Теориялық-әдіснамалық талдау-жасанды интеллекттің экономикалық әсері, цифрлық трансформация теориялары және инновациялық даму модельдері бойынша ғылыми әдебиеттерге шолу жасалды. Қазақстанның цифрландыру саясатына байланысты стратегиялық құжаттар кешені талданды.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Салыстырмалы талдау-Қазақстан көрсеткіштері халықаралық индекстермен  және алдыңғы қатарлы елдердің тәжірибелерімен салыстырылды.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Статистикалық және сандық талдау- Цифрлық экономика индикаторлары, ЖИ енгізу қарқыны деректері жинақталды.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Нәтижелер және талқылау</w:t>
      </w:r>
      <w:r>
        <w:rPr>
          <w:rFonts w:eastAsia="Times New Roman" w:cs="Times New Roman" w:ascii="Times New Roman" w:hAnsi="Times New Roman"/>
          <w:sz w:val="24"/>
          <w:szCs w:val="24"/>
          <w:lang w:val="kk-KZ" w:eastAsia="ru-RU"/>
        </w:rPr>
        <w:t>. Жасанды интеллект машиналарға адами интеллект талап ететін міндеттерді орындауға мүмкіндік беретін технологиялардың жиынтығы ретінде анықталады: оқыту, тану, болжау, шешім қабылдау. Цифрлық экономика құрылымында ЖИ үлкен деректер, бұлтты сервистер, заттар интернеті және автоматтандыру арасындағы байланыстырушы буын болып табылады.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ЖИ жай ғана құралға емес, экономикалық факторлардың салалық құрылымдары мен мінез-құлық үлгілерін өзгертетін платформалық технологияға айналады.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Жаһандық ЖИ индексі жасанды интеллект саласындағы елдердің даму деңгейін бағалау үшін жеті ішкі тірекке біріктірілген 122 көрсеткішті қолданады. Бұл ішкі тіректерге талант әлеуеті, инфрақұрылымның дамуы, операциялық орта, зерттеулер мен әзірлемелер, үкіметтің стратегиялық бағыты және коммерциялық экожүйенің қалыптасуы кіреді. Аталған көрсеткіштер кейін үш негізгі категорияға - енгізу (adoption), инновация (innovation) және инвестиция (investment) бағыттарына топтастырылған.</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1. АҚШ – жасанды интеллект саласындағы абсолютті көшбасшы.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Америка Құрама Штаттары индекс көрсеткіштерінің басым бөлігінде (талант, инфрақұрылым, зерттеу әлеуеті, коммерцияландыру) бірінші орынға ие. Елдің басты артықшылықтары - Кремний алқабының жоғары технологиялық экожүйесі, әлемдік деңгейдегі ғылыми орталықтар (MIT, Stanford, Harvard), сондай-ақ венчурлық капитал нарығының дамуы. АҚШ-ты ерекшелендіретін фактор - жасанды интеллект бойынша зерттеулерді ғана жүргізіп қоймай, олардың нәтижесін нарыққа тез енгізу қабілеті. ChatGPT, Tesla автономды жүйелері, OpenAI және Google DeepMind әзірлемелері осының айқын мысалы.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2. Қытай – көлемдік және институционалдық артықшылыққа негізделген жоғары қарқын.</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Қытай жалпы рейтингте АҚШ-тан кейінгі орында тұр. Дегенмен, жұмыс ортасы көрсеткіші бойынша (21-орын) әлсіз тұстары байқалады. Соған қарамастан, елдің AI саласындағы қарқыны орталықтандырылған мемлекеттік саясат, көлемді деректер қоры және қолданбалы технологиялардың кең ауқымда енгізілуімен түсіндіріледі. Huawei, Baidu және Alibaba Cloud сынды компаниялар Қытайды қолданбалы жасанды интеллекттің жаһандық көшбасшыларының біріне айналдыруда.</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3.Сингапур - шағын мемлекеттің стратегиялық басқаруға негізделген жетістігі.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Сингапурдың 3-орынға шығуы тиімді мемлекеттік басқару жасанды интеллект дамуында шешуші рөл атқаратынын дәлелдейді. Ел үкіметі AI инфрақұрылымын ұлттық экономиканың барлық негізгі секторына енгізуді мақсат еткен үйлесімді стратегия ұстанып келеді.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4-10 орындар арасындағы елдердің ерекшеліктері.Ұлыбритания, Франция және Германия ғылыми-зерттеу саласында ұзақ мерзімді дәстүрге ие болғанымен, коммерцияландыру бойынша АҚШ пен Қытайдан артта қалып отыр.</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Оңтүстік Корея чип өндіру және жоғары технологиялық өндірісте (Samsung, SK Hynix) озық орынға ие, бұл AI дамуы үшін стратегиялық база құрайды.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Израиль стартап экожүйесімен ерекшеленсе де, мемлекеттік стратегия көрсеткіші бойынша төмен рейтингке (31-орын) ие [7].</w:t>
      </w:r>
      <w:r>
        <w:rPr>
          <w:lang w:val="kk-KZ"/>
        </w:rPr>
        <w:t xml:space="preserve">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Үндістан талант көрсеткіші бойынша (2-орын) әлемдегі ең ауқымды IT кадрлар қорын көрсеткенімен, инфрақұрылымдық дамуда айтарлықтай артта қалып отыр.</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Жалпы алғанда, жаһандық зерттеулер AI технологияларын енгізген компаниялардың өнімділігі орта есеппен 20-30%-ға артқанын, денсаулық сақтау саласында диагноз қою жылдамдығы екі есеге дейін жоғарылағанын көрсетеді. Өнеркәсіпте роботтандыру өндіріс процесін оңтайландырып, адам еңбегінің интенсивтілігін төмендетіп келеді.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Жаһандық AI индексі елдердің жасанды интеллект саласындағы бәсекелік қабілетін жан-жақты бағалай отырып, қай мемлекеттердің алдыңғы қатарда екенін және қай елдердің артта қалып отырғанын айқын көрсетеді. 2024 жылғы рейтингке сәйкес, АҚШ жаһандық AI жарысында үздік позициясын сақтап отыр [7].</w:t>
      </w:r>
    </w:p>
    <w:p>
      <w:pPr>
        <w:pStyle w:val="Normal"/>
        <w:shd w:val="clear" w:color="auto" w:fill="FFFFFF"/>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hd w:val="clear" w:color="auto" w:fill="FFFFFF"/>
        <w:spacing w:lineRule="auto" w:line="240" w:before="0" w:after="0"/>
        <w:jc w:val="center"/>
        <w:rPr>
          <w:rFonts w:ascii="Times New Roman" w:hAnsi="Times New Roman" w:cs="Times New Roman"/>
          <w:b/>
          <w:lang w:val="kk-KZ"/>
        </w:rPr>
      </w:pPr>
      <w:r>
        <w:rPr>
          <w:rFonts w:cs="Times New Roman" w:ascii="Times New Roman" w:hAnsi="Times New Roman"/>
          <w:b/>
          <w:bCs/>
          <w:lang w:val="uk-UA"/>
        </w:rPr>
        <w:t>1-кесте</w:t>
      </w:r>
      <w:r>
        <w:rPr>
          <w:rFonts w:cs="Times New Roman" w:ascii="Times New Roman" w:hAnsi="Times New Roman"/>
          <w:b/>
          <w:bCs/>
          <w:lang w:val="kk-KZ"/>
        </w:rPr>
        <w:t>.</w:t>
      </w:r>
      <w:r>
        <w:rPr>
          <w:b/>
          <w:bCs/>
          <w:lang w:val="uk-UA"/>
        </w:rPr>
        <w:t xml:space="preserve"> </w:t>
      </w:r>
      <w:r>
        <w:rPr>
          <w:rFonts w:cs="Times New Roman" w:ascii="Times New Roman" w:hAnsi="Times New Roman"/>
          <w:b/>
          <w:lang w:val="kk-KZ"/>
        </w:rPr>
        <w:t xml:space="preserve"> Жаһандық AI Индексі 2024:Жаһандық рейтинг және қосалқы көрсеткіштер</w:t>
      </w:r>
    </w:p>
    <w:p>
      <w:pPr>
        <w:pStyle w:val="Normal"/>
        <w:shd w:val="clear" w:color="auto" w:fill="FFFFFF"/>
        <w:spacing w:lineRule="auto" w:line="240" w:before="0" w:after="0"/>
        <w:jc w:val="center"/>
        <w:rPr>
          <w:rFonts w:ascii="Times New Roman" w:hAnsi="Times New Roman" w:cs="Times New Roman"/>
          <w:color w:val="FF0000"/>
          <w:lang w:val="kk-KZ"/>
        </w:rPr>
      </w:pPr>
      <w:r>
        <w:rPr>
          <w:rFonts w:cs="Times New Roman" w:ascii="Times New Roman" w:hAnsi="Times New Roman"/>
          <w:color w:val="FF0000"/>
          <w:lang w:val="kk-KZ"/>
        </w:rPr>
      </w:r>
    </w:p>
    <w:tbl>
      <w:tblPr>
        <w:tblStyle w:val="ae"/>
        <w:tblW w:w="10207"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559"/>
        <w:gridCol w:w="1107"/>
        <w:gridCol w:w="1020"/>
        <w:gridCol w:w="992"/>
        <w:gridCol w:w="1134"/>
        <w:gridCol w:w="1134"/>
        <w:gridCol w:w="1417"/>
        <w:gridCol w:w="993"/>
        <w:gridCol w:w="850"/>
      </w:tblGrid>
      <w:tr>
        <w:trPr/>
        <w:tc>
          <w:tcPr>
            <w:tcW w:w="1559"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Ел</w:t>
            </w:r>
          </w:p>
        </w:tc>
        <w:tc>
          <w:tcPr>
            <w:tcW w:w="1107"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Жалпы рейтингі</w:t>
            </w:r>
          </w:p>
        </w:tc>
        <w:tc>
          <w:tcPr>
            <w:tcW w:w="1020"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 xml:space="preserve">Талант </w:t>
            </w:r>
          </w:p>
        </w:tc>
        <w:tc>
          <w:tcPr>
            <w:tcW w:w="992"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Жұмыс ортасы</w:t>
            </w:r>
          </w:p>
        </w:tc>
        <w:tc>
          <w:tcPr>
            <w:tcW w:w="1134"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Инфрақұрылым</w:t>
            </w:r>
          </w:p>
        </w:tc>
        <w:tc>
          <w:tcPr>
            <w:tcW w:w="1134"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Үкімет стратегиясы</w:t>
            </w:r>
          </w:p>
        </w:tc>
        <w:tc>
          <w:tcPr>
            <w:tcW w:w="1417"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Коммерция-лық әлеует</w:t>
            </w:r>
          </w:p>
        </w:tc>
        <w:tc>
          <w:tcPr>
            <w:tcW w:w="993"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 xml:space="preserve">Зерттеу </w:t>
            </w:r>
          </w:p>
        </w:tc>
        <w:tc>
          <w:tcPr>
            <w:tcW w:w="850" w:type="dxa"/>
            <w:tcBorders/>
          </w:tcPr>
          <w:p>
            <w:pPr>
              <w:pStyle w:val="Normal"/>
              <w:widowControl/>
              <w:spacing w:lineRule="auto" w:line="240" w:before="0" w:after="0"/>
              <w:jc w:val="left"/>
              <w:rPr>
                <w:rFonts w:ascii="Times New Roman" w:hAnsi="Times New Roman" w:eastAsia="Times New Roman"/>
                <w:b/>
                <w:sz w:val="22"/>
                <w:szCs w:val="22"/>
                <w:lang w:val="kk-KZ"/>
              </w:rPr>
            </w:pPr>
            <w:r>
              <w:rPr>
                <w:rFonts w:eastAsia="Times New Roman" w:cs="Times New Roman" w:ascii="Times New Roman" w:hAnsi="Times New Roman"/>
                <w:b/>
                <w:kern w:val="0"/>
                <w:sz w:val="22"/>
                <w:szCs w:val="22"/>
                <w:lang w:val="kk-KZ" w:eastAsia="ru-RU" w:bidi="ar-SA"/>
              </w:rPr>
              <w:t>Даму</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АҚШ</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Қытай</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9</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21</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5</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Сингапур</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48</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9</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5</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Ұлыбритания</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17</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5</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16</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Франция</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5</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10</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19</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14</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8</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8</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 xml:space="preserve">Оңт. Корея  </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13</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35</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4</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12</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13</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 xml:space="preserve">Германия    </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7</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8</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13</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7</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9</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8</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11</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Канада</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8</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8</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16</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18</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9</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10</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Израиль</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9</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7</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65</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26</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31</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7</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w:t>
            </w:r>
          </w:p>
        </w:tc>
      </w:tr>
      <w:tr>
        <w:trPr/>
        <w:tc>
          <w:tcPr>
            <w:tcW w:w="1559" w:type="dxa"/>
            <w:tcBorders/>
          </w:tcPr>
          <w:p>
            <w:pPr>
              <w:pStyle w:val="Normal"/>
              <w:widowControl/>
              <w:spacing w:lineRule="auto" w:line="240" w:before="0" w:after="0"/>
              <w:jc w:val="left"/>
              <w:rPr>
                <w:rFonts w:ascii="Times New Roman" w:hAnsi="Times New Roman" w:eastAsia="Times New Roman"/>
                <w:sz w:val="22"/>
                <w:szCs w:val="22"/>
                <w:lang w:val="kk-KZ"/>
              </w:rPr>
            </w:pPr>
            <w:r>
              <w:rPr>
                <w:rFonts w:eastAsia="Calibri" w:cs="Times New Roman" w:ascii="Times New Roman" w:hAnsi="Times New Roman"/>
                <w:kern w:val="0"/>
                <w:sz w:val="22"/>
                <w:szCs w:val="22"/>
                <w:lang w:val="kk-KZ" w:eastAsia="ru-RU" w:bidi="ar-SA"/>
              </w:rPr>
              <w:t>Үндістан</w:t>
            </w:r>
          </w:p>
        </w:tc>
        <w:tc>
          <w:tcPr>
            <w:tcW w:w="110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10</w:t>
            </w:r>
          </w:p>
        </w:tc>
        <w:tc>
          <w:tcPr>
            <w:tcW w:w="102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2</w:t>
            </w:r>
          </w:p>
        </w:tc>
        <w:tc>
          <w:tcPr>
            <w:tcW w:w="992"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3</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68</w:t>
            </w:r>
          </w:p>
        </w:tc>
        <w:tc>
          <w:tcPr>
            <w:tcW w:w="1134"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10</w:t>
            </w:r>
          </w:p>
        </w:tc>
        <w:tc>
          <w:tcPr>
            <w:tcW w:w="1417"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w:t>
            </w:r>
          </w:p>
        </w:tc>
        <w:tc>
          <w:tcPr>
            <w:tcW w:w="993"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w:t>
            </w:r>
          </w:p>
        </w:tc>
        <w:tc>
          <w:tcPr>
            <w:tcW w:w="850" w:type="dxa"/>
            <w:tcBorders/>
          </w:tcPr>
          <w:p>
            <w:pPr>
              <w:pStyle w:val="Normal"/>
              <w:widowControl/>
              <w:spacing w:lineRule="auto" w:line="240" w:before="0" w:after="0"/>
              <w:jc w:val="center"/>
              <w:rPr>
                <w:rFonts w:ascii="Times New Roman" w:hAnsi="Times New Roman" w:eastAsia="Times New Roman"/>
                <w:sz w:val="22"/>
                <w:szCs w:val="22"/>
                <w:lang w:val="kk-KZ"/>
              </w:rPr>
            </w:pPr>
            <w:r>
              <w:rPr>
                <w:rFonts w:eastAsia="Times New Roman" w:cs="Times New Roman" w:ascii="Times New Roman" w:hAnsi="Times New Roman"/>
                <w:kern w:val="0"/>
                <w:sz w:val="22"/>
                <w:szCs w:val="22"/>
                <w:lang w:val="kk-KZ" w:eastAsia="ru-RU" w:bidi="ar-SA"/>
              </w:rPr>
              <w:t>-</w:t>
            </w:r>
          </w:p>
        </w:tc>
      </w:tr>
      <w:tr>
        <w:trPr/>
        <w:tc>
          <w:tcPr>
            <w:tcW w:w="10206" w:type="dxa"/>
            <w:gridSpan w:val="9"/>
            <w:tcBorders/>
          </w:tcPr>
          <w:p>
            <w:pPr>
              <w:pStyle w:val="Normal"/>
              <w:widowControl/>
              <w:spacing w:lineRule="auto" w:line="240" w:before="0" w:after="0"/>
              <w:jc w:val="left"/>
              <w:rPr>
                <w:rFonts w:ascii="Times New Roman" w:hAnsi="Times New Roman" w:eastAsia="Times New Roman"/>
                <w:i/>
                <w:i/>
                <w:sz w:val="22"/>
                <w:szCs w:val="22"/>
                <w:lang w:val="kk-KZ"/>
              </w:rPr>
            </w:pPr>
            <w:r>
              <w:rPr>
                <w:rFonts w:eastAsia="Times New Roman" w:cs="Times New Roman" w:ascii="Times New Roman" w:hAnsi="Times New Roman"/>
                <w:i/>
                <w:kern w:val="0"/>
                <w:sz w:val="22"/>
                <w:szCs w:val="22"/>
                <w:lang w:val="kk-KZ" w:eastAsia="ru-RU" w:bidi="ar-SA"/>
              </w:rPr>
              <w:t xml:space="preserve">Дерккөз: </w:t>
            </w:r>
            <w:r>
              <w:rPr>
                <w:rFonts w:eastAsia="Times New Roman" w:cs="Times New Roman" w:ascii="Times New Roman" w:hAnsi="Times New Roman"/>
                <w:i/>
                <w:kern w:val="0"/>
                <w:sz w:val="22"/>
                <w:szCs w:val="22"/>
                <w:lang w:val="en-US" w:eastAsia="ru-RU" w:bidi="ar-SA"/>
              </w:rPr>
              <w:t>AI Index report 2024</w:t>
            </w:r>
            <w:r>
              <w:rPr>
                <w:rFonts w:eastAsia="Calibri" w:cs="Times New Roman" w:ascii="Times New Roman" w:hAnsi="Times New Roman"/>
                <w:i/>
                <w:kern w:val="0"/>
                <w:sz w:val="22"/>
                <w:szCs w:val="22"/>
                <w:lang w:val="kk-KZ" w:eastAsia="ru-RU" w:bidi="ar-SA"/>
              </w:rPr>
              <w:t>[8]</w:t>
            </w:r>
          </w:p>
        </w:tc>
      </w:tr>
    </w:tbl>
    <w:p>
      <w:pPr>
        <w:pStyle w:val="Normal"/>
        <w:shd w:val="clear" w:color="auto" w:fill="FFFFFF"/>
        <w:spacing w:lineRule="auto" w:line="240" w:before="0" w:after="0"/>
        <w:rPr>
          <w:rFonts w:ascii="Times New Roman" w:hAnsi="Times New Roman" w:eastAsia="Times New Roman" w:cs="Times New Roman"/>
          <w:i/>
          <w:i/>
          <w:color w:val="FF0000"/>
          <w:sz w:val="20"/>
          <w:szCs w:val="20"/>
          <w:lang w:val="kk-KZ" w:eastAsia="ru-RU"/>
        </w:rPr>
      </w:pP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kk-KZ" w:eastAsia="ru-RU"/>
        </w:rPr>
        <w:t xml:space="preserve">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Қазақстанның жасанды интеллект саласындағы институционалдық дамуы соңғы үш жылда айтарлықтай жеделдеді.2 024 жылы қабылданған «Жасанды интеллектті дамыту концепциясы (2024–2029)» елдің технологиялық модернизациясының негізгі нормативтік құжатына айналды. Концепцияның басты бағыттары:</w:t>
      </w:r>
    </w:p>
    <w:p>
      <w:pPr>
        <w:pStyle w:val="Normal"/>
        <w:spacing w:lineRule="auto" w:line="240" w:before="0" w:after="0"/>
        <w:ind w:firstLine="567"/>
        <w:jc w:val="both"/>
        <w:rPr>
          <w:rFonts w:ascii="Times New Roman" w:hAnsi="Times New Roman" w:cs="Times New Roman"/>
          <w:i/>
          <w:i/>
          <w:sz w:val="24"/>
          <w:szCs w:val="24"/>
          <w:lang w:val="kk-KZ"/>
        </w:rPr>
      </w:pPr>
      <w:r>
        <w:rPr>
          <w:rFonts w:cs="Times New Roman" w:ascii="Times New Roman" w:hAnsi="Times New Roman"/>
          <w:sz w:val="24"/>
          <w:szCs w:val="24"/>
          <w:lang w:val="kk-KZ"/>
        </w:rPr>
        <w:t>1</w:t>
      </w:r>
      <w:r>
        <w:rPr>
          <w:rFonts w:cs="Times New Roman" w:ascii="Times New Roman" w:hAnsi="Times New Roman"/>
          <w:i/>
          <w:sz w:val="24"/>
          <w:szCs w:val="24"/>
          <w:lang w:val="kk-KZ"/>
        </w:rPr>
        <w:t xml:space="preserve">) </w:t>
      </w:r>
      <w:r>
        <w:rPr>
          <w:rFonts w:cs="Times New Roman" w:ascii="Times New Roman" w:hAnsi="Times New Roman"/>
          <w:b/>
          <w:i/>
          <w:sz w:val="24"/>
          <w:szCs w:val="24"/>
          <w:lang w:val="kk-KZ"/>
        </w:rPr>
        <w:t>институционалдық экожүйе құру:</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ұлттық AI органы немесе үйлестіру кеңесін қалыптастыру;</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xml:space="preserve">- </w:t>
      </w:r>
      <w:r>
        <w:rPr>
          <w:rFonts w:cs="Times New Roman" w:ascii="Times New Roman" w:hAnsi="Times New Roman"/>
          <w:sz w:val="24"/>
          <w:szCs w:val="24"/>
        </w:rPr>
        <w:t>AI стандарттарын, этикалық нормаларды енгізу;</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мемлекеттік деректерді цифрландыру және ашық деректер көлемін арттыру;</w:t>
      </w:r>
    </w:p>
    <w:p>
      <w:pPr>
        <w:pStyle w:val="Normal"/>
        <w:spacing w:lineRule="auto" w:line="240" w:before="0" w:after="0"/>
        <w:ind w:firstLine="567"/>
        <w:jc w:val="both"/>
        <w:rPr>
          <w:rFonts w:ascii="Times New Roman" w:hAnsi="Times New Roman" w:cs="Times New Roman"/>
          <w:i/>
          <w:i/>
          <w:sz w:val="24"/>
          <w:szCs w:val="24"/>
          <w:lang w:val="kk-KZ"/>
        </w:rPr>
      </w:pPr>
      <w:r>
        <w:rPr>
          <w:rFonts w:cs="Times New Roman" w:ascii="Times New Roman" w:hAnsi="Times New Roman"/>
          <w:sz w:val="24"/>
          <w:szCs w:val="24"/>
          <w:lang w:val="kk-KZ"/>
        </w:rPr>
        <w:t xml:space="preserve">2) </w:t>
      </w:r>
      <w:r>
        <w:rPr>
          <w:rFonts w:cs="Times New Roman" w:ascii="Times New Roman" w:hAnsi="Times New Roman"/>
          <w:b/>
          <w:i/>
          <w:sz w:val="24"/>
          <w:szCs w:val="24"/>
          <w:lang w:val="kk-KZ"/>
        </w:rPr>
        <w:t>экономиканы ЖИ арқылы трансформациялау:</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өнеркәсіп, ауыл шаруашылығы, энергетика, көлік салалары үшін таргеттелген AI-жетекші жобалар;</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«Цифрлық үкімет 2.0», автоматталған аналитикалық жүйелер енгізу;</w:t>
      </w:r>
    </w:p>
    <w:p>
      <w:pPr>
        <w:pStyle w:val="Normal"/>
        <w:spacing w:lineRule="auto" w:line="240" w:before="0" w:after="0"/>
        <w:ind w:firstLine="567"/>
        <w:jc w:val="both"/>
        <w:rPr>
          <w:rFonts w:ascii="Times New Roman" w:hAnsi="Times New Roman" w:cs="Times New Roman"/>
          <w:b/>
          <w:i/>
          <w:i/>
          <w:sz w:val="24"/>
          <w:szCs w:val="24"/>
          <w:lang w:val="kk-KZ"/>
        </w:rPr>
      </w:pPr>
      <w:r>
        <w:rPr>
          <w:rFonts w:cs="Times New Roman" w:ascii="Times New Roman" w:hAnsi="Times New Roman"/>
          <w:sz w:val="24"/>
          <w:szCs w:val="24"/>
          <w:lang w:val="kk-KZ"/>
        </w:rPr>
        <w:t xml:space="preserve">3) </w:t>
      </w:r>
      <w:r>
        <w:rPr>
          <w:rFonts w:cs="Times New Roman" w:ascii="Times New Roman" w:hAnsi="Times New Roman"/>
          <w:b/>
          <w:i/>
          <w:sz w:val="24"/>
          <w:szCs w:val="24"/>
        </w:rPr>
        <w:t>таланттар нарығы және кадрлық потенциал:</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- 20 мыңға дейін жоғары білікті IT мамандар даярлау;</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xml:space="preserve">- </w:t>
      </w:r>
      <w:r>
        <w:rPr>
          <w:rFonts w:cs="Times New Roman" w:ascii="Times New Roman" w:hAnsi="Times New Roman"/>
          <w:sz w:val="24"/>
          <w:szCs w:val="24"/>
        </w:rPr>
        <w:t>AI бойынша магистратура/PhD тректерін көбейту;</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rPr>
        <w:t xml:space="preserve"> </w:t>
      </w:r>
      <w:r>
        <w:rPr>
          <w:rFonts w:cs="Times New Roman" w:ascii="Times New Roman" w:hAnsi="Times New Roman"/>
          <w:sz w:val="24"/>
          <w:szCs w:val="24"/>
        </w:rPr>
        <w:t>- STEM бағытында мектеп бағдарламасын жаңарту [</w:t>
      </w:r>
      <w:r>
        <w:rPr>
          <w:rFonts w:cs="Times New Roman" w:ascii="Times New Roman" w:hAnsi="Times New Roman"/>
          <w:sz w:val="24"/>
          <w:szCs w:val="24"/>
          <w:lang w:val="kk-KZ"/>
        </w:rPr>
        <w:t>9</w:t>
      </w:r>
      <w:r>
        <w:rPr>
          <w:rFonts w:cs="Times New Roman" w:ascii="Times New Roman" w:hAnsi="Times New Roman"/>
          <w:sz w:val="24"/>
          <w:szCs w:val="24"/>
        </w:rPr>
        <w:t>].</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Институционалдық база қалыптасқанымен, негізгі мәселе - жүзеге асыру мүмкіндігінің жеткіліксіздігі, әсіресе кадр тапшылығы мен деректердің сапасыздығы. Сондықтан Концепцияны талап деңгейінде іске асыру үшін қаржыландырудың тұрақты моделі және бизнес-процестердің нақты KPI-лары қажет.</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экономикасының ЖИ-ді енгізуге дайындық деңгейі.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i/>
          <w:sz w:val="24"/>
          <w:szCs w:val="24"/>
          <w:lang w:val="kk-KZ"/>
        </w:rPr>
        <w:t>Цифрлық инфрақұрылым:</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- 5G желісі Астана мен Алматыда енгізілген, бірақ аймақтарда қамту деңгейі төмен;</w:t>
      </w:r>
    </w:p>
    <w:p>
      <w:pPr>
        <w:pStyle w:val="Normal"/>
        <w:spacing w:lineRule="auto" w:line="240" w:before="0" w:after="0"/>
        <w:ind w:firstLine="567"/>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Data center </w:t>
      </w:r>
      <w:r>
        <w:rPr>
          <w:rFonts w:cs="Times New Roman" w:ascii="Times New Roman" w:hAnsi="Times New Roman"/>
          <w:sz w:val="24"/>
          <w:szCs w:val="24"/>
        </w:rPr>
        <w:t>қуаттылығы</w:t>
      </w:r>
      <w:r>
        <w:rPr>
          <w:rFonts w:cs="Times New Roman" w:ascii="Times New Roman" w:hAnsi="Times New Roman"/>
          <w:sz w:val="24"/>
          <w:szCs w:val="24"/>
          <w:lang w:val="en-US"/>
        </w:rPr>
        <w:t xml:space="preserve"> </w:t>
      </w:r>
      <w:r>
        <w:rPr>
          <w:rFonts w:cs="Times New Roman" w:ascii="Times New Roman" w:hAnsi="Times New Roman"/>
          <w:sz w:val="24"/>
          <w:szCs w:val="24"/>
        </w:rPr>
        <w:t>артуда</w:t>
      </w:r>
      <w:r>
        <w:rPr>
          <w:rFonts w:cs="Times New Roman" w:ascii="Times New Roman" w:hAnsi="Times New Roman"/>
          <w:sz w:val="24"/>
          <w:szCs w:val="24"/>
          <w:lang w:val="en-US"/>
        </w:rPr>
        <w:t xml:space="preserve"> (IXC, Kazteleport, AstanaHub DCL);</w:t>
      </w:r>
    </w:p>
    <w:p>
      <w:pPr>
        <w:pStyle w:val="Normal"/>
        <w:spacing w:lineRule="auto" w:line="240" w:before="0" w:after="0"/>
        <w:ind w:firstLine="567"/>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Cloud adoption </w:t>
      </w:r>
      <w:r>
        <w:rPr>
          <w:rFonts w:cs="Times New Roman" w:ascii="Times New Roman" w:hAnsi="Times New Roman"/>
          <w:sz w:val="24"/>
          <w:szCs w:val="24"/>
        </w:rPr>
        <w:t>деңгейі</w:t>
      </w:r>
      <w:r>
        <w:rPr>
          <w:rFonts w:cs="Times New Roman" w:ascii="Times New Roman" w:hAnsi="Times New Roman"/>
          <w:sz w:val="24"/>
          <w:szCs w:val="24"/>
          <w:lang w:val="en-US"/>
        </w:rPr>
        <w:t xml:space="preserve"> </w:t>
      </w:r>
      <w:r>
        <w:rPr>
          <w:rFonts w:cs="Times New Roman" w:ascii="Times New Roman" w:hAnsi="Times New Roman"/>
          <w:sz w:val="24"/>
          <w:szCs w:val="24"/>
        </w:rPr>
        <w:t>халықаралық</w:t>
      </w:r>
      <w:r>
        <w:rPr>
          <w:rFonts w:cs="Times New Roman" w:ascii="Times New Roman" w:hAnsi="Times New Roman"/>
          <w:sz w:val="24"/>
          <w:szCs w:val="24"/>
          <w:lang w:val="en-US"/>
        </w:rPr>
        <w:t xml:space="preserve"> </w:t>
      </w:r>
      <w:r>
        <w:rPr>
          <w:rFonts w:cs="Times New Roman" w:ascii="Times New Roman" w:hAnsi="Times New Roman"/>
          <w:sz w:val="24"/>
          <w:szCs w:val="24"/>
        </w:rPr>
        <w:t>стандартпен</w:t>
      </w:r>
      <w:r>
        <w:rPr>
          <w:rFonts w:cs="Times New Roman" w:ascii="Times New Roman" w:hAnsi="Times New Roman"/>
          <w:sz w:val="24"/>
          <w:szCs w:val="24"/>
          <w:lang w:val="en-US"/>
        </w:rPr>
        <w:t xml:space="preserve"> </w:t>
      </w:r>
      <w:r>
        <w:rPr>
          <w:rFonts w:cs="Times New Roman" w:ascii="Times New Roman" w:hAnsi="Times New Roman"/>
          <w:sz w:val="24"/>
          <w:szCs w:val="24"/>
        </w:rPr>
        <w:t>салыстырғанда</w:t>
      </w:r>
      <w:r>
        <w:rPr>
          <w:rFonts w:cs="Times New Roman" w:ascii="Times New Roman" w:hAnsi="Times New Roman"/>
          <w:sz w:val="24"/>
          <w:szCs w:val="24"/>
          <w:lang w:val="en-US"/>
        </w:rPr>
        <w:t xml:space="preserve"> </w:t>
      </w:r>
      <w:r>
        <w:rPr>
          <w:rFonts w:cs="Times New Roman" w:ascii="Times New Roman" w:hAnsi="Times New Roman"/>
          <w:sz w:val="24"/>
          <w:szCs w:val="24"/>
        </w:rPr>
        <w:t>төмен</w:t>
      </w:r>
      <w:r>
        <w:rPr>
          <w:rFonts w:cs="Times New Roman" w:ascii="Times New Roman" w:hAnsi="Times New Roman"/>
          <w:sz w:val="24"/>
          <w:szCs w:val="24"/>
          <w:lang w:val="en-US"/>
        </w:rPr>
        <w:t xml:space="preserve"> (30–35%).</w:t>
      </w:r>
    </w:p>
    <w:p>
      <w:pPr>
        <w:pStyle w:val="Normal"/>
        <w:spacing w:lineRule="auto" w:line="240" w:before="0" w:after="0"/>
        <w:ind w:firstLine="567"/>
        <w:jc w:val="both"/>
        <w:rPr>
          <w:rFonts w:ascii="Times New Roman" w:hAnsi="Times New Roman" w:cs="Times New Roman"/>
          <w:sz w:val="24"/>
          <w:szCs w:val="24"/>
          <w:lang w:val="en-US"/>
        </w:rPr>
      </w:pPr>
      <w:r>
        <w:rPr>
          <w:rFonts w:cs="Times New Roman" w:ascii="Times New Roman" w:hAnsi="Times New Roman"/>
          <w:sz w:val="24"/>
          <w:szCs w:val="24"/>
        </w:rPr>
        <w:t>Инфрақұрылым</w:t>
      </w:r>
      <w:r>
        <w:rPr>
          <w:rFonts w:cs="Times New Roman" w:ascii="Times New Roman" w:hAnsi="Times New Roman"/>
          <w:sz w:val="24"/>
          <w:szCs w:val="24"/>
          <w:lang w:val="en-US"/>
        </w:rPr>
        <w:t xml:space="preserve"> </w:t>
      </w:r>
      <w:r>
        <w:rPr>
          <w:rFonts w:cs="Times New Roman" w:ascii="Times New Roman" w:hAnsi="Times New Roman"/>
          <w:sz w:val="24"/>
          <w:szCs w:val="24"/>
        </w:rPr>
        <w:t>жеткілікті</w:t>
      </w:r>
      <w:r>
        <w:rPr>
          <w:rFonts w:cs="Times New Roman" w:ascii="Times New Roman" w:hAnsi="Times New Roman"/>
          <w:sz w:val="24"/>
          <w:szCs w:val="24"/>
          <w:lang w:val="en-US"/>
        </w:rPr>
        <w:t xml:space="preserve">, </w:t>
      </w:r>
      <w:r>
        <w:rPr>
          <w:rFonts w:cs="Times New Roman" w:ascii="Times New Roman" w:hAnsi="Times New Roman"/>
          <w:sz w:val="24"/>
          <w:szCs w:val="24"/>
        </w:rPr>
        <w:t>бірақ</w:t>
      </w:r>
      <w:r>
        <w:rPr>
          <w:rFonts w:cs="Times New Roman" w:ascii="Times New Roman" w:hAnsi="Times New Roman"/>
          <w:sz w:val="24"/>
          <w:szCs w:val="24"/>
          <w:lang w:val="en-US"/>
        </w:rPr>
        <w:t xml:space="preserve"> </w:t>
      </w:r>
      <w:r>
        <w:rPr>
          <w:rFonts w:cs="Times New Roman" w:ascii="Times New Roman" w:hAnsi="Times New Roman"/>
          <w:sz w:val="24"/>
          <w:szCs w:val="24"/>
        </w:rPr>
        <w:t>ЖИ</w:t>
      </w:r>
      <w:r>
        <w:rPr>
          <w:rFonts w:cs="Times New Roman" w:ascii="Times New Roman" w:hAnsi="Times New Roman"/>
          <w:sz w:val="24"/>
          <w:szCs w:val="24"/>
          <w:lang w:val="en-US"/>
        </w:rPr>
        <w:t>-</w:t>
      </w:r>
      <w:r>
        <w:rPr>
          <w:rFonts w:cs="Times New Roman" w:ascii="Times New Roman" w:hAnsi="Times New Roman"/>
          <w:sz w:val="24"/>
          <w:szCs w:val="24"/>
        </w:rPr>
        <w:t>ді</w:t>
      </w:r>
      <w:r>
        <w:rPr>
          <w:rFonts w:cs="Times New Roman" w:ascii="Times New Roman" w:hAnsi="Times New Roman"/>
          <w:sz w:val="24"/>
          <w:szCs w:val="24"/>
          <w:lang w:val="en-US"/>
        </w:rPr>
        <w:t xml:space="preserve"> </w:t>
      </w:r>
      <w:r>
        <w:rPr>
          <w:rFonts w:cs="Times New Roman" w:ascii="Times New Roman" w:hAnsi="Times New Roman"/>
          <w:sz w:val="24"/>
          <w:szCs w:val="24"/>
        </w:rPr>
        <w:t>масштабтау</w:t>
      </w:r>
      <w:r>
        <w:rPr>
          <w:rFonts w:cs="Times New Roman" w:ascii="Times New Roman" w:hAnsi="Times New Roman"/>
          <w:sz w:val="24"/>
          <w:szCs w:val="24"/>
          <w:lang w:val="en-US"/>
        </w:rPr>
        <w:t xml:space="preserve"> </w:t>
      </w:r>
      <w:r>
        <w:rPr>
          <w:rFonts w:cs="Times New Roman" w:ascii="Times New Roman" w:hAnsi="Times New Roman"/>
          <w:sz w:val="24"/>
          <w:szCs w:val="24"/>
        </w:rPr>
        <w:t>үшін</w:t>
      </w:r>
      <w:r>
        <w:rPr>
          <w:rFonts w:cs="Times New Roman" w:ascii="Times New Roman" w:hAnsi="Times New Roman"/>
          <w:sz w:val="24"/>
          <w:szCs w:val="24"/>
          <w:lang w:val="en-US"/>
        </w:rPr>
        <w:t xml:space="preserve"> </w:t>
      </w:r>
      <w:r>
        <w:rPr>
          <w:rFonts w:cs="Times New Roman" w:ascii="Times New Roman" w:hAnsi="Times New Roman"/>
          <w:sz w:val="24"/>
          <w:szCs w:val="24"/>
        </w:rPr>
        <w:t>аймақтық</w:t>
      </w:r>
      <w:r>
        <w:rPr>
          <w:rFonts w:cs="Times New Roman" w:ascii="Times New Roman" w:hAnsi="Times New Roman"/>
          <w:sz w:val="24"/>
          <w:szCs w:val="24"/>
          <w:lang w:val="en-US"/>
        </w:rPr>
        <w:t xml:space="preserve"> </w:t>
      </w:r>
      <w:r>
        <w:rPr>
          <w:rFonts w:cs="Times New Roman" w:ascii="Times New Roman" w:hAnsi="Times New Roman"/>
          <w:sz w:val="24"/>
          <w:szCs w:val="24"/>
        </w:rPr>
        <w:t>цифрлық</w:t>
      </w:r>
      <w:r>
        <w:rPr>
          <w:rFonts w:cs="Times New Roman" w:ascii="Times New Roman" w:hAnsi="Times New Roman"/>
          <w:sz w:val="24"/>
          <w:szCs w:val="24"/>
          <w:lang w:val="en-US"/>
        </w:rPr>
        <w:t xml:space="preserve"> </w:t>
      </w:r>
      <w:r>
        <w:rPr>
          <w:rFonts w:cs="Times New Roman" w:ascii="Times New Roman" w:hAnsi="Times New Roman"/>
          <w:sz w:val="24"/>
          <w:szCs w:val="24"/>
        </w:rPr>
        <w:t>теңсіздікті</w:t>
      </w:r>
      <w:r>
        <w:rPr>
          <w:rFonts w:cs="Times New Roman" w:ascii="Times New Roman" w:hAnsi="Times New Roman"/>
          <w:sz w:val="24"/>
          <w:szCs w:val="24"/>
          <w:lang w:val="en-US"/>
        </w:rPr>
        <w:t xml:space="preserve"> </w:t>
      </w:r>
      <w:r>
        <w:rPr>
          <w:rFonts w:cs="Times New Roman" w:ascii="Times New Roman" w:hAnsi="Times New Roman"/>
          <w:sz w:val="24"/>
          <w:szCs w:val="24"/>
        </w:rPr>
        <w:t>азайту</w:t>
      </w:r>
      <w:r>
        <w:rPr>
          <w:rFonts w:cs="Times New Roman" w:ascii="Times New Roman" w:hAnsi="Times New Roman"/>
          <w:sz w:val="24"/>
          <w:szCs w:val="24"/>
          <w:lang w:val="en-US"/>
        </w:rPr>
        <w:t xml:space="preserve"> </w:t>
      </w:r>
      <w:r>
        <w:rPr>
          <w:rFonts w:cs="Times New Roman" w:ascii="Times New Roman" w:hAnsi="Times New Roman"/>
          <w:sz w:val="24"/>
          <w:szCs w:val="24"/>
        </w:rPr>
        <w:t>қажет</w:t>
      </w:r>
      <w:r>
        <w:rPr>
          <w:rFonts w:cs="Times New Roman" w:ascii="Times New Roman" w:hAnsi="Times New Roman"/>
          <w:sz w:val="24"/>
          <w:szCs w:val="24"/>
          <w:lang w:val="en-US"/>
        </w:rPr>
        <w:t>.</w:t>
      </w:r>
    </w:p>
    <w:p>
      <w:pPr>
        <w:pStyle w:val="Normal"/>
        <w:spacing w:lineRule="auto" w:line="24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center"/>
        <w:rPr>
          <w:rFonts w:ascii="Times New Roman" w:hAnsi="Times New Roman" w:cs="Times New Roman"/>
          <w:b/>
        </w:rPr>
      </w:pPr>
      <w:r>
        <w:rPr>
          <w:rFonts w:cs="Times New Roman" w:ascii="Times New Roman" w:hAnsi="Times New Roman"/>
          <w:b/>
          <w:bCs/>
          <w:lang w:val="uk-UA"/>
        </w:rPr>
        <w:t>2-кесте</w:t>
      </w:r>
      <w:r>
        <w:rPr>
          <w:rFonts w:cs="Times New Roman" w:ascii="Times New Roman" w:hAnsi="Times New Roman"/>
          <w:b/>
          <w:bCs/>
        </w:rPr>
        <w:t>.</w:t>
      </w:r>
      <w:r>
        <w:rPr>
          <w:rFonts w:cs="Times New Roman" w:ascii="Times New Roman" w:hAnsi="Times New Roman"/>
          <w:b/>
          <w:bCs/>
          <w:lang w:val="uk-UA"/>
        </w:rPr>
        <w:t xml:space="preserve"> </w:t>
      </w:r>
      <w:r>
        <w:rPr>
          <w:rFonts w:cs="Times New Roman" w:ascii="Times New Roman" w:hAnsi="Times New Roman"/>
          <w:b/>
        </w:rPr>
        <w:t xml:space="preserve"> </w:t>
      </w:r>
      <w:r>
        <w:rPr>
          <w:rFonts w:cs="Times New Roman" w:ascii="Times New Roman" w:hAnsi="Times New Roman"/>
          <w:b/>
          <w:lang w:val="kk-KZ"/>
        </w:rPr>
        <w:t xml:space="preserve"> </w:t>
      </w:r>
      <w:r>
        <w:rPr>
          <w:rFonts w:cs="Times New Roman" w:ascii="Times New Roman" w:hAnsi="Times New Roman"/>
          <w:b/>
        </w:rPr>
        <w:t>Жасанды интеллект</w:t>
      </w:r>
      <w:r>
        <w:rPr>
          <w:rFonts w:cs="Times New Roman" w:ascii="Times New Roman" w:hAnsi="Times New Roman"/>
          <w:b/>
          <w:lang w:val="kk-KZ"/>
        </w:rPr>
        <w:t>і</w:t>
      </w:r>
      <w:r>
        <w:rPr>
          <w:rFonts w:cs="Times New Roman" w:ascii="Times New Roman" w:hAnsi="Times New Roman"/>
          <w:b/>
        </w:rPr>
        <w:t>н</w:t>
      </w:r>
      <w:r>
        <w:rPr>
          <w:rFonts w:cs="Times New Roman" w:ascii="Times New Roman" w:hAnsi="Times New Roman"/>
          <w:b/>
          <w:lang w:val="kk-KZ"/>
        </w:rPr>
        <w:t>і</w:t>
      </w:r>
      <w:r>
        <w:rPr>
          <w:rFonts w:cs="Times New Roman" w:ascii="Times New Roman" w:hAnsi="Times New Roman"/>
          <w:b/>
        </w:rPr>
        <w:t xml:space="preserve"> енгізуге дайын салалар</w:t>
      </w:r>
    </w:p>
    <w:p>
      <w:pPr>
        <w:pStyle w:val="Normal"/>
        <w:spacing w:lineRule="auto" w:line="240" w:before="0" w:after="0"/>
        <w:jc w:val="center"/>
        <w:rPr>
          <w:rFonts w:ascii="Times New Roman" w:hAnsi="Times New Roman" w:cs="Times New Roman"/>
          <w:b/>
        </w:rPr>
      </w:pPr>
      <w:r>
        <w:rPr>
          <w:rFonts w:cs="Times New Roman" w:ascii="Times New Roman" w:hAnsi="Times New Roman"/>
          <w:b/>
        </w:rPr>
      </w:r>
    </w:p>
    <w:tbl>
      <w:tblPr>
        <w:tblStyle w:val="ae"/>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4"/>
        <w:gridCol w:w="2552"/>
        <w:gridCol w:w="4111"/>
      </w:tblGrid>
      <w:tr>
        <w:trPr/>
        <w:tc>
          <w:tcPr>
            <w:tcW w:w="2404"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b/>
                <w:kern w:val="0"/>
                <w:sz w:val="22"/>
                <w:szCs w:val="22"/>
                <w:lang w:val="ru-RU" w:eastAsia="ru-RU" w:bidi="ar-SA"/>
              </w:rPr>
              <w:t>Сала</w:t>
            </w:r>
          </w:p>
        </w:tc>
        <w:tc>
          <w:tcPr>
            <w:tcW w:w="2552"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b/>
                <w:kern w:val="0"/>
                <w:sz w:val="22"/>
                <w:szCs w:val="22"/>
                <w:lang w:val="ru-RU" w:eastAsia="ru-RU" w:bidi="ar-SA"/>
              </w:rPr>
              <w:t>Дайындық</w:t>
            </w:r>
            <w:r>
              <w:rPr>
                <w:rFonts w:eastAsia="Calibri" w:cs="Times New Roman" w:ascii="Times New Roman" w:hAnsi="Times New Roman"/>
                <w:b/>
                <w:kern w:val="0"/>
                <w:sz w:val="22"/>
                <w:szCs w:val="22"/>
                <w:lang w:val="en-US" w:eastAsia="ru-RU" w:bidi="ar-SA"/>
              </w:rPr>
              <w:t xml:space="preserve"> </w:t>
            </w:r>
            <w:r>
              <w:rPr>
                <w:rFonts w:eastAsia="Calibri" w:cs="Times New Roman" w:ascii="Times New Roman" w:hAnsi="Times New Roman"/>
                <w:b/>
                <w:kern w:val="0"/>
                <w:sz w:val="22"/>
                <w:szCs w:val="22"/>
                <w:lang w:val="ru-RU" w:eastAsia="ru-RU" w:bidi="ar-SA"/>
              </w:rPr>
              <w:t>деңгейі</w:t>
            </w:r>
          </w:p>
        </w:tc>
        <w:tc>
          <w:tcPr>
            <w:tcW w:w="411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b/>
                <w:kern w:val="0"/>
                <w:sz w:val="22"/>
                <w:szCs w:val="22"/>
                <w:lang w:val="ru-RU" w:eastAsia="ru-RU" w:bidi="ar-SA"/>
              </w:rPr>
              <w:t>Нақты</w:t>
            </w:r>
            <w:r>
              <w:rPr>
                <w:rFonts w:eastAsia="Calibri" w:cs="Times New Roman" w:ascii="Times New Roman" w:hAnsi="Times New Roman"/>
                <w:b/>
                <w:kern w:val="0"/>
                <w:sz w:val="22"/>
                <w:szCs w:val="22"/>
                <w:lang w:val="en-US" w:eastAsia="ru-RU" w:bidi="ar-SA"/>
              </w:rPr>
              <w:t xml:space="preserve"> </w:t>
            </w:r>
            <w:r>
              <w:rPr>
                <w:rFonts w:eastAsia="Calibri" w:cs="Times New Roman" w:ascii="Times New Roman" w:hAnsi="Times New Roman"/>
                <w:b/>
                <w:kern w:val="0"/>
                <w:sz w:val="22"/>
                <w:szCs w:val="22"/>
                <w:lang w:val="ru-RU" w:eastAsia="ru-RU" w:bidi="ar-SA"/>
              </w:rPr>
              <w:t>ілгерілеу</w:t>
            </w:r>
            <w:r>
              <w:rPr>
                <w:rFonts w:eastAsia="Calibri" w:cs="Times New Roman" w:ascii="Times New Roman" w:hAnsi="Times New Roman"/>
                <w:b/>
                <w:kern w:val="0"/>
                <w:sz w:val="22"/>
                <w:szCs w:val="22"/>
                <w:lang w:val="en-US" w:eastAsia="ru-RU" w:bidi="ar-SA"/>
              </w:rPr>
              <w:t xml:space="preserve">                                         </w:t>
            </w:r>
          </w:p>
        </w:tc>
      </w:tr>
      <w:tr>
        <w:trPr/>
        <w:tc>
          <w:tcPr>
            <w:tcW w:w="2404" w:type="dxa"/>
            <w:tcBorders/>
          </w:tcPr>
          <w:p>
            <w:pPr>
              <w:pStyle w:val="Normal"/>
              <w:widowControl/>
              <w:spacing w:lineRule="auto" w:line="240" w:before="0" w:after="0"/>
              <w:jc w:val="left"/>
              <w:rPr>
                <w:rFonts w:ascii="Times New Roman" w:hAnsi="Times New Roman"/>
                <w:b/>
                <w:sz w:val="22"/>
                <w:szCs w:val="22"/>
                <w:lang w:val="kk-KZ"/>
              </w:rPr>
            </w:pPr>
            <w:r>
              <w:rPr>
                <w:rFonts w:eastAsia="Calibri" w:cs="Times New Roman" w:ascii="Times New Roman" w:hAnsi="Times New Roman"/>
                <w:kern w:val="0"/>
                <w:sz w:val="22"/>
                <w:szCs w:val="22"/>
                <w:lang w:val="ru-RU" w:eastAsia="ru-RU" w:bidi="ar-SA"/>
              </w:rPr>
              <w:t>Қаржы</w:t>
            </w:r>
          </w:p>
        </w:tc>
        <w:tc>
          <w:tcPr>
            <w:tcW w:w="2552"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ru-RU" w:eastAsia="ru-RU" w:bidi="ar-SA"/>
              </w:rPr>
              <w:t>Өте</w:t>
            </w:r>
            <w:r>
              <w:rPr>
                <w:rFonts w:eastAsia="Calibri" w:cs="Times New Roman" w:ascii="Times New Roman" w:hAnsi="Times New Roman"/>
                <w:kern w:val="0"/>
                <w:sz w:val="22"/>
                <w:szCs w:val="22"/>
                <w:lang w:val="en-US" w:eastAsia="ru-RU" w:bidi="ar-SA"/>
              </w:rPr>
              <w:t xml:space="preserve"> </w:t>
            </w:r>
            <w:r>
              <w:rPr>
                <w:rFonts w:eastAsia="Calibri" w:cs="Times New Roman" w:ascii="Times New Roman" w:hAnsi="Times New Roman"/>
                <w:kern w:val="0"/>
                <w:sz w:val="22"/>
                <w:szCs w:val="22"/>
                <w:lang w:val="ru-RU" w:eastAsia="ru-RU" w:bidi="ar-SA"/>
              </w:rPr>
              <w:t>жоғары</w:t>
            </w:r>
            <w:r>
              <w:rPr>
                <w:rFonts w:eastAsia="Calibri" w:cs="Times New Roman" w:ascii="Times New Roman" w:hAnsi="Times New Roman"/>
                <w:kern w:val="0"/>
                <w:sz w:val="22"/>
                <w:szCs w:val="22"/>
                <w:lang w:val="en-US" w:eastAsia="ru-RU" w:bidi="ar-SA"/>
              </w:rPr>
              <w:t xml:space="preserve">       </w:t>
            </w:r>
          </w:p>
        </w:tc>
        <w:tc>
          <w:tcPr>
            <w:tcW w:w="411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Fintech, антифрод, автоматтандырылған скоринг жүйелері  </w:t>
            </w:r>
          </w:p>
        </w:tc>
      </w:tr>
      <w:tr>
        <w:trPr/>
        <w:tc>
          <w:tcPr>
            <w:tcW w:w="2404" w:type="dxa"/>
            <w:tcBorders/>
          </w:tcPr>
          <w:p>
            <w:pPr>
              <w:pStyle w:val="Normal"/>
              <w:widowControl/>
              <w:spacing w:lineRule="auto" w:line="240" w:before="0" w:after="0"/>
              <w:jc w:val="left"/>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Сауда және логистика</w:t>
            </w:r>
          </w:p>
        </w:tc>
        <w:tc>
          <w:tcPr>
            <w:tcW w:w="2552"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Жоғары</w:t>
            </w:r>
          </w:p>
        </w:tc>
        <w:tc>
          <w:tcPr>
            <w:tcW w:w="411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Маршрутты оңтайландыру, сұраныс болжамы                 </w:t>
            </w:r>
          </w:p>
        </w:tc>
      </w:tr>
      <w:tr>
        <w:trPr/>
        <w:tc>
          <w:tcPr>
            <w:tcW w:w="2404" w:type="dxa"/>
            <w:tcBorders/>
          </w:tcPr>
          <w:p>
            <w:pPr>
              <w:pStyle w:val="Normal"/>
              <w:widowControl/>
              <w:spacing w:lineRule="auto" w:line="240" w:before="0" w:after="0"/>
              <w:jc w:val="left"/>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Өнеркәсіп    </w:t>
            </w:r>
          </w:p>
        </w:tc>
        <w:tc>
          <w:tcPr>
            <w:tcW w:w="2552"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Орта</w:t>
            </w:r>
          </w:p>
        </w:tc>
        <w:tc>
          <w:tcPr>
            <w:tcW w:w="411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Predictive maintenance жобалары енді дамып келеді       </w:t>
            </w:r>
          </w:p>
        </w:tc>
      </w:tr>
      <w:tr>
        <w:trPr/>
        <w:tc>
          <w:tcPr>
            <w:tcW w:w="2404" w:type="dxa"/>
            <w:tcBorders/>
          </w:tcPr>
          <w:p>
            <w:pPr>
              <w:pStyle w:val="Normal"/>
              <w:widowControl/>
              <w:spacing w:lineRule="auto" w:line="240" w:before="0" w:after="0"/>
              <w:jc w:val="left"/>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Мұнай-газ            </w:t>
            </w:r>
          </w:p>
        </w:tc>
        <w:tc>
          <w:tcPr>
            <w:tcW w:w="2552"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Орта-жоғары      </w:t>
            </w:r>
          </w:p>
        </w:tc>
        <w:tc>
          <w:tcPr>
            <w:tcW w:w="411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Барлау, бұрғылау оптимизациясы, қауіпсіздік мониторингі</w:t>
            </w:r>
          </w:p>
        </w:tc>
      </w:tr>
      <w:tr>
        <w:trPr/>
        <w:tc>
          <w:tcPr>
            <w:tcW w:w="2404" w:type="dxa"/>
            <w:tcBorders/>
          </w:tcPr>
          <w:p>
            <w:pPr>
              <w:pStyle w:val="Normal"/>
              <w:widowControl/>
              <w:spacing w:lineRule="auto" w:line="240" w:before="0" w:after="0"/>
              <w:jc w:val="left"/>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Ауыл шаруашылығы     </w:t>
            </w:r>
          </w:p>
        </w:tc>
        <w:tc>
          <w:tcPr>
            <w:tcW w:w="2552"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Төмен</w:t>
            </w:r>
          </w:p>
        </w:tc>
        <w:tc>
          <w:tcPr>
            <w:tcW w:w="411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kern w:val="0"/>
                <w:sz w:val="22"/>
                <w:szCs w:val="22"/>
                <w:lang w:val="kk-KZ" w:eastAsia="ru-RU" w:bidi="ar-SA"/>
              </w:rPr>
              <w:t xml:space="preserve">Smart farming пилоттық қана жобалар                     </w:t>
            </w:r>
          </w:p>
        </w:tc>
      </w:tr>
      <w:tr>
        <w:trPr/>
        <w:tc>
          <w:tcPr>
            <w:tcW w:w="2404" w:type="dxa"/>
            <w:tcBorders/>
          </w:tcPr>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ru-RU" w:eastAsia="ru-RU" w:bidi="ar-SA"/>
              </w:rPr>
              <w:t xml:space="preserve">Денсаулық сақтау     </w:t>
            </w:r>
          </w:p>
        </w:tc>
        <w:tc>
          <w:tcPr>
            <w:tcW w:w="2552" w:type="dxa"/>
            <w:tcBorders/>
          </w:tcPr>
          <w:p>
            <w:pPr>
              <w:pStyle w:val="Normal"/>
              <w:widowControl/>
              <w:spacing w:lineRule="auto" w:line="240" w:before="0" w:after="0"/>
              <w:jc w:val="center"/>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Орта</w:t>
            </w:r>
          </w:p>
        </w:tc>
        <w:tc>
          <w:tcPr>
            <w:tcW w:w="4111" w:type="dxa"/>
            <w:tcBorders/>
          </w:tcPr>
          <w:p>
            <w:pPr>
              <w:pStyle w:val="Normal"/>
              <w:widowControl/>
              <w:spacing w:lineRule="auto" w:line="240" w:before="0" w:after="0"/>
              <w:jc w:val="center"/>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 xml:space="preserve">Диагностикада ЖИ қолданылуда, бірақ масштаб төмен       </w:t>
            </w:r>
          </w:p>
        </w:tc>
      </w:tr>
      <w:tr>
        <w:trPr/>
        <w:tc>
          <w:tcPr>
            <w:tcW w:w="9067" w:type="dxa"/>
            <w:gridSpan w:val="3"/>
            <w:tcBorders/>
          </w:tcPr>
          <w:p>
            <w:pPr>
              <w:pStyle w:val="Normal"/>
              <w:widowControl/>
              <w:spacing w:lineRule="auto" w:line="240" w:before="0" w:after="0"/>
              <w:jc w:val="left"/>
              <w:rPr>
                <w:rFonts w:ascii="Times New Roman" w:hAnsi="Times New Roman"/>
                <w:i/>
                <w:i/>
                <w:sz w:val="22"/>
                <w:szCs w:val="22"/>
                <w:lang w:val="kk-KZ"/>
              </w:rPr>
            </w:pPr>
            <w:r>
              <w:rPr>
                <w:rFonts w:eastAsia="Calibri" w:cs="Times New Roman" w:ascii="Times New Roman" w:hAnsi="Times New Roman"/>
                <w:i/>
                <w:kern w:val="0"/>
                <w:sz w:val="22"/>
                <w:szCs w:val="22"/>
                <w:lang w:val="kk-KZ" w:eastAsia="ru-RU" w:bidi="ar-SA"/>
              </w:rPr>
              <w:t>Авторлармен құрастырылан</w:t>
            </w:r>
          </w:p>
        </w:tc>
      </w:tr>
    </w:tbl>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Қазақстанның цифрлық экономикасы мен жасанды интеллект экожүйесінің дамуына тікелей әсер ететін стратегиялық факторлардың бірі - кадрлық әлеует. Қазіргі қолда бар бағалауларға сәйкес, елде IT мамандарының тапшылығы шамамен 30 мың адамды құрайды (ҚР ЦДИАӨМ деректері). Бұл тапшылық әсіресе жасанды интеллект, машиналық оқыту, деректер инженериясы және жоғары өнімді есептеу салаларында айқын сезілуде. Жалпы ІТ кадрларының ішінде AI және ML бағытындағы жоғары білікті мамандардың үлесі небәрі 3–5% деңгейінде қалып отыр, бұл дамыған цифрлық экономикалармен салыстырғанда айтарлықтай төмен көрсеткіш [10].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Отын-энергетика, қаржы және өндірістік секторлардағы ЖИ жобаларының дамуы университеттерден бастап ғылыми ұйымдарға дейінгі білім беру экожүйесінің сапасына тәуелді. Қазақстан университеттерінде жасанды интеллект, big data analytics, робототехника бағыттары бойынша білім беру бағдарламалары ашылғанымен, зерттеу базасының жеткіліксіздігі, зертханалық инфрақұрылымның ақсауы, халықаралық зерттеу коллаборацияларының аздығы байқалады. Ғылыми нәтижелердің өнімділігі де шектеулі: Қазақстан Scopus және Web of Science базалары бойынша Орталық Азия өңірінде орта деңгейде орналасқанымен, AI саласындағы жарияланымдардың цитатталу индексі әлі де төмен. Бұл өз кезегінде ЖИ технологияларын ұлттық инновациялық экожүйеге енгізу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Қазақстанда ЖИ технологиялары салаларға әркелкі енгізілуде. Қаржы, телеком және электрондық коммерция секторлары ЖИ-ді белсенді пайдаланса, дәстүрлі индустриялар мен энергетикалық кешенде енгізу қарқыны баяу.</w:t>
      </w:r>
    </w:p>
    <w:p>
      <w:pPr>
        <w:pStyle w:val="Normal"/>
        <w:spacing w:lineRule="auto" w:line="240" w:before="0" w:after="0"/>
        <w:ind w:firstLine="567"/>
        <w:jc w:val="both"/>
        <w:rPr>
          <w:rFonts w:ascii="Times New Roman" w:hAnsi="Times New Roman" w:cs="Times New Roman"/>
          <w:b/>
          <w:sz w:val="24"/>
          <w:szCs w:val="24"/>
          <w:lang w:val="kk-KZ"/>
        </w:rPr>
      </w:pPr>
      <w:r>
        <w:rPr>
          <w:rFonts w:cs="Times New Roman" w:ascii="Times New Roman" w:hAnsi="Times New Roman"/>
          <w:sz w:val="24"/>
          <w:szCs w:val="24"/>
          <w:lang w:val="kk-KZ"/>
        </w:rPr>
        <w:t xml:space="preserve">1) </w:t>
      </w:r>
      <w:r>
        <w:rPr>
          <w:rFonts w:cs="Times New Roman" w:ascii="Times New Roman" w:hAnsi="Times New Roman"/>
          <w:b/>
          <w:i/>
          <w:sz w:val="24"/>
          <w:szCs w:val="24"/>
          <w:lang w:val="kk-KZ"/>
        </w:rPr>
        <w:t>Қаржы секторы.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финтех инновациялары бойынша ТМД кеңістігінде алдыңғы қатарда. Елдің жетекші институттары - Kaspi.kz, Halyk Bank, Freedom Bank, Jusan - клиенттік сервисті автоматтандыру, транзакциялық мониторинг, антифрод жүйелері, жекелендірілген ұсыныстар мен robo-advisors сияқты ЖИ шешімдерін кеңінен қолданады.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Қаржы секторында ЖИ бизнес-процестердің тиімділігін арттырып, операциялық шығындарды азайтуда. Алайда деректер қауіпсіздігі, инфрақұрылымдық тәуелсіздік және деректермен жұмыс стандарттарын кодификациялау мәселелері күрделі күйінде қалуда. Саланың қарқынды цифрлануы реттеушілік саясаттың артта қалуына алып келіп отыр [11].</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2) </w:t>
      </w:r>
      <w:r>
        <w:rPr>
          <w:rFonts w:cs="Times New Roman" w:ascii="Times New Roman" w:hAnsi="Times New Roman"/>
          <w:b/>
          <w:i/>
          <w:sz w:val="24"/>
          <w:szCs w:val="24"/>
          <w:lang w:val="kk-KZ"/>
        </w:rPr>
        <w:t>Мұнай-газ секторы.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экономикасының тірек салаларының бірі - мұнай-газ кешені - AI технологияларын енгізуді кезең-кезеңімен жүзеге асыруда. Теңізшевройл, Қарашығанақ, ҚазМұнайГаз компаниялары скважина өнімділігін модельдеу, жабдық тозуын болжау, сейсмикалық деректерді интерпретациялау сияқты бағыттарда пилоттық жобалар іске асырып жатыр.</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Бұл салада ЖИ енгізудің әлеуеті өте жоғары: predictive analytics өндірістік шығындарды миллиардтаған теңгеге қысқартуға мүмкіндік береді. Дегенмен, мұнай-газ саласының капитал сыйымдылығы мен жабдықтардың күрделілігі енгізу қарқынын баяулатып отыр.</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3) </w:t>
      </w:r>
      <w:r>
        <w:rPr>
          <w:rFonts w:cs="Times New Roman" w:ascii="Times New Roman" w:hAnsi="Times New Roman"/>
          <w:b/>
          <w:sz w:val="24"/>
          <w:szCs w:val="24"/>
          <w:lang w:val="kk-KZ"/>
        </w:rPr>
        <w:t>Өнеркәсіп және өңдеу секторы.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Индустрия 4.0 элементтерін енгізу - сенсорлық жүйелер, цифрлық егіздер, смарт-логистика, автоматтандырылған сапа бақылауы - ERG, Kazminerals, ArcelorMittal кәсіпорындарында басталғанымен, сала бойынша толық ауқымды цифрлық трансформация әлі жүріп жатқан жоқ.</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Өнеркәсіп секторында негізгі проблемалар: өндірістік жабдықтардың жоғары тозуы, датчиктердің жеткіліксіздігі, өндірістік деректердің құрылымданбауы және олардың сапасының төмендігі. Бұл ЖИ модельдерінің дәлдігі мен коммерциялық тиімділігін шектейді.</w:t>
      </w:r>
    </w:p>
    <w:p>
      <w:pPr>
        <w:pStyle w:val="Normal"/>
        <w:spacing w:lineRule="auto" w:line="240" w:before="0" w:after="0"/>
        <w:ind w:firstLine="567"/>
        <w:jc w:val="both"/>
        <w:rPr>
          <w:rFonts w:ascii="Times New Roman" w:hAnsi="Times New Roman" w:cs="Times New Roman"/>
          <w:b/>
          <w:i/>
          <w:i/>
          <w:sz w:val="24"/>
          <w:szCs w:val="24"/>
          <w:lang w:val="kk-KZ"/>
        </w:rPr>
      </w:pPr>
      <w:r>
        <w:rPr>
          <w:rFonts w:cs="Times New Roman" w:ascii="Times New Roman" w:hAnsi="Times New Roman"/>
          <w:sz w:val="24"/>
          <w:szCs w:val="24"/>
          <w:lang w:val="kk-KZ"/>
        </w:rPr>
        <w:t xml:space="preserve">4) </w:t>
      </w:r>
      <w:r>
        <w:rPr>
          <w:rFonts w:cs="Times New Roman" w:ascii="Times New Roman" w:hAnsi="Times New Roman"/>
          <w:b/>
          <w:i/>
          <w:sz w:val="24"/>
          <w:szCs w:val="24"/>
          <w:lang w:val="kk-KZ"/>
        </w:rPr>
        <w:t>Денсаулық сақтау.</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денсаулық сақтау жүйесі ЖИ-ді диагностиканы автоматтандыру (рентген, КТ, МРТ), клиникалық шешім қабылдау жүйелері, телемедицина және электрондық денсаулық сақтау платформалары арқылы енгізуде.</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ЖИ енгізу диагностикалық дәлдікті  20-40%  арттыруы мүмкін. Алайда деректерді сақтау, өңдеу және интеграциялау мәселелері – әсіресе eHealth жүйесінде – шешілмеген күйінде қалып отыр. Біртұтас деректер архитектурасының жоқтығы ЖИ шешімдерінің масштабталуын тежейді.</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3</w:t>
      </w:r>
      <w:r>
        <w:rPr>
          <w:rFonts w:cs="Times New Roman" w:ascii="Times New Roman" w:hAnsi="Times New Roman"/>
          <w:b/>
          <w:bCs/>
          <w:lang w:val="uk-UA"/>
        </w:rPr>
        <w:t>-кесте</w:t>
      </w:r>
      <w:r>
        <w:rPr>
          <w:rFonts w:cs="Times New Roman" w:ascii="Times New Roman" w:hAnsi="Times New Roman"/>
          <w:b/>
          <w:bCs/>
          <w:lang w:val="kk-KZ"/>
        </w:rPr>
        <w:t>.</w:t>
      </w:r>
      <w:r>
        <w:rPr>
          <w:rFonts w:cs="Times New Roman" w:ascii="Times New Roman" w:hAnsi="Times New Roman"/>
          <w:b/>
          <w:bCs/>
          <w:lang w:val="uk-UA"/>
        </w:rPr>
        <w:t xml:space="preserve"> </w:t>
      </w:r>
      <w:r>
        <w:rPr>
          <w:rFonts w:cs="Times New Roman" w:ascii="Times New Roman" w:hAnsi="Times New Roman"/>
          <w:b/>
          <w:lang w:val="kk-KZ"/>
        </w:rPr>
        <w:t xml:space="preserve"> SWOT талдау Қазақстандағы ЖИ дамуы</w:t>
      </w:r>
    </w:p>
    <w:p>
      <w:pPr>
        <w:pStyle w:val="Normal"/>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tbl>
      <w:tblPr>
        <w:tblStyle w:val="ae"/>
        <w:tblW w:w="918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961"/>
        <w:gridCol w:w="4223"/>
      </w:tblGrid>
      <w:tr>
        <w:trPr/>
        <w:tc>
          <w:tcPr>
            <w:tcW w:w="4961"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b/>
                <w:kern w:val="0"/>
                <w:sz w:val="22"/>
                <w:szCs w:val="22"/>
                <w:lang w:val="kk-KZ" w:eastAsia="ru-RU" w:bidi="ar-SA"/>
              </w:rPr>
              <w:t>Күшті жақтары (Strengths)</w:t>
            </w:r>
          </w:p>
        </w:tc>
        <w:tc>
          <w:tcPr>
            <w:tcW w:w="4223"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b/>
                <w:kern w:val="0"/>
                <w:sz w:val="22"/>
                <w:szCs w:val="22"/>
                <w:lang w:val="kk-KZ" w:eastAsia="ru-RU" w:bidi="ar-SA"/>
              </w:rPr>
              <w:t>Әлсіз жақтары (Weaknesses)</w:t>
            </w:r>
          </w:p>
        </w:tc>
      </w:tr>
      <w:tr>
        <w:trPr/>
        <w:tc>
          <w:tcPr>
            <w:tcW w:w="4961" w:type="dxa"/>
            <w:tcBorders/>
          </w:tcPr>
          <w:p>
            <w:pPr>
              <w:pStyle w:val="Normal"/>
              <w:widowControl/>
              <w:spacing w:lineRule="auto" w:line="240" w:before="0" w:after="0"/>
              <w:jc w:val="left"/>
              <w:rPr>
                <w:rFonts w:ascii="Times New Roman" w:hAnsi="Times New Roman"/>
                <w:sz w:val="22"/>
                <w:szCs w:val="22"/>
              </w:rPr>
            </w:pPr>
            <w:r>
              <w:rPr>
                <w:rFonts w:eastAsia="Calibri" w:cs="Times New Roman" w:ascii="Times New Roman" w:hAnsi="Times New Roman"/>
                <w:kern w:val="0"/>
                <w:sz w:val="22"/>
                <w:szCs w:val="22"/>
                <w:lang w:val="kk-KZ" w:eastAsia="ru-RU" w:bidi="ar-SA"/>
              </w:rPr>
              <w:t xml:space="preserve"> </w:t>
            </w:r>
            <w:r>
              <w:rPr>
                <w:rFonts w:eastAsia="Calibri" w:cs="Times New Roman" w:ascii="Times New Roman" w:hAnsi="Times New Roman"/>
                <w:kern w:val="0"/>
                <w:sz w:val="22"/>
                <w:szCs w:val="22"/>
                <w:lang w:val="ru-RU" w:eastAsia="ru-RU" w:bidi="ar-SA"/>
              </w:rPr>
              <w:t>Мемлекеттік қолдау және нақты стратегия</w:t>
            </w:r>
          </w:p>
          <w:p>
            <w:pPr>
              <w:pStyle w:val="Normal"/>
              <w:widowControl/>
              <w:spacing w:lineRule="auto" w:line="240" w:before="0" w:after="0"/>
              <w:jc w:val="left"/>
              <w:rPr>
                <w:rFonts w:ascii="Times New Roman" w:hAnsi="Times New Roman"/>
                <w:sz w:val="22"/>
                <w:szCs w:val="22"/>
              </w:rPr>
            </w:pPr>
            <w:r>
              <w:rPr>
                <w:rFonts w:eastAsia="Calibri" w:cs="Times New Roman" w:ascii="Times New Roman" w:hAnsi="Times New Roman"/>
                <w:kern w:val="0"/>
                <w:sz w:val="22"/>
                <w:szCs w:val="22"/>
                <w:lang w:val="kk-KZ" w:eastAsia="ru-RU" w:bidi="ar-SA"/>
              </w:rPr>
              <w:t xml:space="preserve"> </w:t>
            </w:r>
            <w:r>
              <w:rPr>
                <w:rFonts w:eastAsia="Calibri" w:cs="Times New Roman" w:ascii="Times New Roman" w:hAnsi="Times New Roman"/>
                <w:kern w:val="0"/>
                <w:sz w:val="22"/>
                <w:szCs w:val="22"/>
                <w:lang w:val="ru-RU" w:eastAsia="ru-RU" w:bidi="ar-SA"/>
              </w:rPr>
              <w:t>ТМД ішінде финтех саласында көшбасшылық</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 xml:space="preserve">  </w:t>
            </w:r>
            <w:r>
              <w:rPr>
                <w:rFonts w:eastAsia="Calibri" w:cs="Times New Roman" w:ascii="Times New Roman" w:hAnsi="Times New Roman"/>
                <w:kern w:val="0"/>
                <w:sz w:val="22"/>
                <w:szCs w:val="22"/>
                <w:lang w:val="kk-KZ" w:eastAsia="ru-RU" w:bidi="ar-SA"/>
              </w:rPr>
              <w:t xml:space="preserve">Инфрақұрылымның салыстырмалы дамуы </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 xml:space="preserve">  </w:t>
            </w:r>
            <w:r>
              <w:rPr>
                <w:rFonts w:eastAsia="Calibri" w:cs="Times New Roman" w:ascii="Times New Roman" w:hAnsi="Times New Roman"/>
                <w:kern w:val="0"/>
                <w:sz w:val="22"/>
                <w:szCs w:val="22"/>
                <w:lang w:val="kk-KZ" w:eastAsia="ru-RU" w:bidi="ar-SA"/>
              </w:rPr>
              <w:t>Astana Hub – аймақтағы ең ірі технопарк</w:t>
            </w:r>
          </w:p>
        </w:tc>
        <w:tc>
          <w:tcPr>
            <w:tcW w:w="4223" w:type="dxa"/>
            <w:tcBorders/>
          </w:tcPr>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Кадр тапшылығы Ғылыми-зерттеу базасының әлсіздігі</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Деректердің төмен сапасы</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Аймақтық цифрлық теңсіздік</w:t>
            </w:r>
          </w:p>
          <w:p>
            <w:pPr>
              <w:pStyle w:val="Normal"/>
              <w:widowControl/>
              <w:spacing w:lineRule="auto" w:line="240" w:before="0" w:after="0"/>
              <w:jc w:val="both"/>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r>
          </w:p>
        </w:tc>
      </w:tr>
      <w:tr>
        <w:trPr/>
        <w:tc>
          <w:tcPr>
            <w:tcW w:w="4961" w:type="dxa"/>
            <w:tcBorders/>
          </w:tcPr>
          <w:p>
            <w:pPr>
              <w:pStyle w:val="Normal"/>
              <w:widowControl/>
              <w:numPr>
                <w:ilvl w:val="0"/>
                <w:numId w:val="0"/>
              </w:numPr>
              <w:spacing w:lineRule="auto" w:line="240" w:before="0" w:after="0"/>
              <w:jc w:val="center"/>
              <w:outlineLvl w:val="3"/>
              <w:rPr>
                <w:rFonts w:ascii="Times New Roman" w:hAnsi="Times New Roman" w:eastAsia="Times New Roman"/>
                <w:b/>
                <w:bCs/>
                <w:sz w:val="22"/>
                <w:szCs w:val="22"/>
                <w:lang w:val="kk-KZ"/>
              </w:rPr>
            </w:pPr>
            <w:r>
              <w:rPr>
                <w:rFonts w:eastAsia="Calibri" w:cs="Times New Roman" w:ascii="Times New Roman" w:hAnsi="Times New Roman"/>
                <w:b/>
                <w:kern w:val="0"/>
                <w:sz w:val="22"/>
                <w:szCs w:val="22"/>
                <w:lang w:val="kk-KZ" w:eastAsia="ru-RU" w:bidi="ar-SA"/>
              </w:rPr>
              <w:t xml:space="preserve">Мүмкіндіктер </w:t>
            </w:r>
            <w:r>
              <w:rPr>
                <w:rFonts w:eastAsia="Times New Roman" w:cs="Times New Roman" w:ascii="Times New Roman" w:hAnsi="Times New Roman"/>
                <w:b/>
                <w:bCs/>
                <w:kern w:val="0"/>
                <w:sz w:val="22"/>
                <w:szCs w:val="22"/>
                <w:lang w:val="ru-RU" w:eastAsia="ru-RU" w:bidi="ar-SA"/>
              </w:rPr>
              <w:t>(Opportunities)</w:t>
            </w:r>
          </w:p>
        </w:tc>
        <w:tc>
          <w:tcPr>
            <w:tcW w:w="4223" w:type="dxa"/>
            <w:tcBorders/>
          </w:tcPr>
          <w:p>
            <w:pPr>
              <w:pStyle w:val="Normal"/>
              <w:widowControl/>
              <w:spacing w:lineRule="auto" w:line="240" w:before="0" w:after="0"/>
              <w:jc w:val="center"/>
              <w:rPr>
                <w:rFonts w:ascii="Times New Roman" w:hAnsi="Times New Roman"/>
                <w:b/>
                <w:sz w:val="22"/>
                <w:szCs w:val="22"/>
                <w:lang w:val="kk-KZ"/>
              </w:rPr>
            </w:pPr>
            <w:r>
              <w:rPr>
                <w:rFonts w:eastAsia="Calibri" w:cs="Times New Roman" w:ascii="Times New Roman" w:hAnsi="Times New Roman"/>
                <w:b/>
                <w:kern w:val="0"/>
                <w:sz w:val="22"/>
                <w:szCs w:val="22"/>
                <w:lang w:val="kk-KZ" w:eastAsia="ru-RU" w:bidi="ar-SA"/>
              </w:rPr>
              <w:t>Қауіптер (Threats)</w:t>
            </w:r>
          </w:p>
        </w:tc>
      </w:tr>
      <w:tr>
        <w:trPr/>
        <w:tc>
          <w:tcPr>
            <w:tcW w:w="4961" w:type="dxa"/>
            <w:tcBorders/>
          </w:tcPr>
          <w:p>
            <w:pPr>
              <w:pStyle w:val="Normal"/>
              <w:widowControl/>
              <w:spacing w:lineRule="auto" w:line="240" w:before="0" w:after="0"/>
              <w:jc w:val="left"/>
              <w:rPr>
                <w:rFonts w:ascii="Times New Roman" w:hAnsi="Times New Roman"/>
                <w:sz w:val="22"/>
                <w:szCs w:val="22"/>
              </w:rPr>
            </w:pPr>
            <w:r>
              <w:rPr>
                <w:rFonts w:eastAsia="Calibri" w:cs="Times New Roman" w:ascii="Times New Roman" w:hAnsi="Times New Roman"/>
                <w:kern w:val="0"/>
                <w:sz w:val="22"/>
                <w:szCs w:val="22"/>
                <w:lang w:val="ru-RU" w:eastAsia="ru-RU" w:bidi="ar-SA"/>
              </w:rPr>
              <w:t xml:space="preserve">  </w:t>
            </w:r>
            <w:r>
              <w:rPr>
                <w:rFonts w:eastAsia="Calibri" w:cs="Times New Roman" w:ascii="Times New Roman" w:hAnsi="Times New Roman"/>
                <w:kern w:val="0"/>
                <w:sz w:val="22"/>
                <w:szCs w:val="22"/>
                <w:lang w:val="ru-RU" w:eastAsia="ru-RU" w:bidi="ar-SA"/>
              </w:rPr>
              <w:t>Экономиканы әртараптандыру</w:t>
            </w:r>
          </w:p>
          <w:p>
            <w:pPr>
              <w:pStyle w:val="Normal"/>
              <w:widowControl/>
              <w:spacing w:lineRule="auto" w:line="240" w:before="0" w:after="0"/>
              <w:jc w:val="left"/>
              <w:rPr>
                <w:rFonts w:ascii="Times New Roman" w:hAnsi="Times New Roman"/>
                <w:sz w:val="22"/>
                <w:szCs w:val="22"/>
              </w:rPr>
            </w:pPr>
            <w:r>
              <w:rPr>
                <w:rFonts w:eastAsia="Calibri" w:cs="Times New Roman" w:ascii="Times New Roman" w:hAnsi="Times New Roman"/>
                <w:kern w:val="0"/>
                <w:sz w:val="22"/>
                <w:szCs w:val="22"/>
                <w:lang w:val="ru-RU" w:eastAsia="ru-RU" w:bidi="ar-SA"/>
              </w:rPr>
              <w:t xml:space="preserve"> </w:t>
            </w:r>
            <w:r>
              <w:rPr>
                <w:rFonts w:eastAsia="Calibri" w:cs="Times New Roman" w:ascii="Times New Roman" w:hAnsi="Times New Roman"/>
                <w:kern w:val="0"/>
                <w:sz w:val="22"/>
                <w:szCs w:val="22"/>
                <w:lang w:val="en-US" w:eastAsia="ru-RU" w:bidi="ar-SA"/>
              </w:rPr>
              <w:t>AI</w:t>
            </w:r>
            <w:r>
              <w:rPr>
                <w:rFonts w:eastAsia="Calibri" w:cs="Times New Roman" w:ascii="Times New Roman" w:hAnsi="Times New Roman"/>
                <w:kern w:val="0"/>
                <w:sz w:val="22"/>
                <w:szCs w:val="22"/>
                <w:lang w:val="ru-RU" w:eastAsia="ru-RU" w:bidi="ar-SA"/>
              </w:rPr>
              <w:t>-</w:t>
            </w:r>
            <w:r>
              <w:rPr>
                <w:rFonts w:eastAsia="Calibri" w:cs="Times New Roman" w:ascii="Times New Roman" w:hAnsi="Times New Roman"/>
                <w:kern w:val="0"/>
                <w:sz w:val="22"/>
                <w:szCs w:val="22"/>
                <w:lang w:val="en-US" w:eastAsia="ru-RU" w:bidi="ar-SA"/>
              </w:rPr>
              <w:t>driven</w:t>
            </w:r>
            <w:r>
              <w:rPr>
                <w:rFonts w:eastAsia="Calibri" w:cs="Times New Roman" w:ascii="Times New Roman" w:hAnsi="Times New Roman"/>
                <w:kern w:val="0"/>
                <w:sz w:val="22"/>
                <w:szCs w:val="22"/>
                <w:lang w:val="ru-RU" w:eastAsia="ru-RU" w:bidi="ar-SA"/>
              </w:rPr>
              <w:t xml:space="preserve"> өнеркәсіптік секіріс</w:t>
            </w:r>
          </w:p>
          <w:p>
            <w:pPr>
              <w:pStyle w:val="Normal"/>
              <w:widowControl/>
              <w:spacing w:lineRule="auto" w:line="240" w:before="0" w:after="0"/>
              <w:jc w:val="left"/>
              <w:rPr>
                <w:rFonts w:ascii="Times New Roman" w:hAnsi="Times New Roman"/>
                <w:sz w:val="22"/>
                <w:szCs w:val="22"/>
              </w:rPr>
            </w:pPr>
            <w:r>
              <w:rPr>
                <w:rFonts w:eastAsia="Calibri" w:cs="Times New Roman" w:ascii="Times New Roman" w:hAnsi="Times New Roman"/>
                <w:kern w:val="0"/>
                <w:sz w:val="22"/>
                <w:szCs w:val="22"/>
                <w:lang w:val="ru-RU" w:eastAsia="ru-RU" w:bidi="ar-SA"/>
              </w:rPr>
              <w:t xml:space="preserve"> </w:t>
            </w:r>
            <w:r>
              <w:rPr>
                <w:rFonts w:eastAsia="Calibri" w:cs="Times New Roman" w:ascii="Times New Roman" w:hAnsi="Times New Roman"/>
                <w:kern w:val="0"/>
                <w:sz w:val="22"/>
                <w:szCs w:val="22"/>
                <w:lang w:val="ru-RU" w:eastAsia="ru-RU" w:bidi="ar-SA"/>
              </w:rPr>
              <w:t>Халықаралық серіктестік (Оңтүстік Корея, Сингапур, ЕО, АҚШ)</w:t>
            </w:r>
          </w:p>
          <w:p>
            <w:pPr>
              <w:pStyle w:val="Normal"/>
              <w:widowControl/>
              <w:spacing w:lineRule="auto" w:line="240" w:before="0" w:after="0"/>
              <w:jc w:val="left"/>
              <w:rPr>
                <w:rFonts w:ascii="Times New Roman" w:hAnsi="Times New Roman"/>
                <w:sz w:val="22"/>
                <w:szCs w:val="22"/>
              </w:rPr>
            </w:pPr>
            <w:r>
              <w:rPr>
                <w:rFonts w:eastAsia="Calibri" w:cs="Times New Roman" w:ascii="Times New Roman" w:hAnsi="Times New Roman"/>
                <w:kern w:val="0"/>
                <w:sz w:val="22"/>
                <w:szCs w:val="22"/>
                <w:lang w:val="ru-RU" w:eastAsia="ru-RU" w:bidi="ar-SA"/>
              </w:rPr>
              <w:t>ЖИ экспортын дамыту</w:t>
            </w:r>
          </w:p>
          <w:p>
            <w:pPr>
              <w:pStyle w:val="Normal"/>
              <w:widowControl/>
              <w:numPr>
                <w:ilvl w:val="0"/>
                <w:numId w:val="0"/>
              </w:numPr>
              <w:spacing w:lineRule="auto" w:line="240" w:before="0" w:after="0"/>
              <w:jc w:val="both"/>
              <w:outlineLvl w:val="3"/>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r>
          </w:p>
        </w:tc>
        <w:tc>
          <w:tcPr>
            <w:tcW w:w="4223" w:type="dxa"/>
            <w:tcBorders/>
          </w:tcPr>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Кибершабуылдар</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Технологиялық тәуелділік (шетелдік платформаларға)</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 xml:space="preserve"> </w:t>
            </w:r>
            <w:r>
              <w:rPr>
                <w:rFonts w:eastAsia="Calibri" w:cs="Times New Roman" w:ascii="Times New Roman" w:hAnsi="Times New Roman"/>
                <w:kern w:val="0"/>
                <w:sz w:val="22"/>
                <w:szCs w:val="22"/>
                <w:lang w:val="kk-KZ" w:eastAsia="ru-RU" w:bidi="ar-SA"/>
              </w:rPr>
              <w:t>Еңбек нарығындағы әлеуметтік тәуекелдер</w:t>
            </w:r>
          </w:p>
          <w:p>
            <w:pPr>
              <w:pStyle w:val="Normal"/>
              <w:widowControl/>
              <w:spacing w:lineRule="auto" w:line="240" w:before="0" w:after="0"/>
              <w:jc w:val="left"/>
              <w:rPr>
                <w:rFonts w:ascii="Times New Roman" w:hAnsi="Times New Roman"/>
                <w:sz w:val="22"/>
                <w:szCs w:val="22"/>
                <w:lang w:val="kk-KZ"/>
              </w:rPr>
            </w:pPr>
            <w:r>
              <w:rPr>
                <w:rFonts w:eastAsia="Calibri" w:cs="Times New Roman" w:ascii="Times New Roman" w:hAnsi="Times New Roman"/>
                <w:kern w:val="0"/>
                <w:sz w:val="22"/>
                <w:szCs w:val="22"/>
                <w:lang w:val="kk-KZ" w:eastAsia="ru-RU" w:bidi="ar-SA"/>
              </w:rPr>
              <w:t>ЖИ жүйелерінің этикалық және құқықтық проблемалары</w:t>
            </w:r>
          </w:p>
        </w:tc>
      </w:tr>
    </w:tbl>
    <w:p>
      <w:pPr>
        <w:pStyle w:val="Default"/>
        <w:jc w:val="both"/>
        <w:rPr>
          <w:color w:val="auto"/>
          <w:lang w:val="kk-KZ"/>
        </w:rPr>
      </w:pPr>
      <w:r>
        <w:rPr>
          <w:color w:val="auto"/>
          <w:lang w:val="kk-KZ"/>
        </w:rPr>
      </w:r>
    </w:p>
    <w:p>
      <w:pPr>
        <w:pStyle w:val="Default"/>
        <w:ind w:firstLine="567"/>
        <w:jc w:val="both"/>
        <w:rPr>
          <w:color w:val="auto"/>
          <w:lang w:val="kk-KZ"/>
        </w:rPr>
      </w:pPr>
      <w:r>
        <w:rPr>
          <w:color w:val="auto"/>
          <w:lang w:val="kk-KZ"/>
        </w:rPr>
        <w:t xml:space="preserve">Жасанды Интеллект бойынша көшбасшы елдер АҚШ жасанды интеллект технологияларын әзірлеу мен енгізуде ең белсенді. 2023 жылы АҚШ-та ЖИ-ке 67,2 миллиард доллар инвестицияланды, бұл ЖИ бағдарланған елдер рейтингінде екінші орын алған Қытайдан шамамен ,7 есе көп. Қытай АҚШ-ты тез қуып жетеді, әсіресе өнеркәсіптік роботтарды орнату және жаңа ЖИ үлгілерін әзірлеу саласында. Сонымен, 2021 жылы Қытай барлық басқа елдерге қарағанда өнеркәсіптік роботтарды көбірек орнатты. Ұлыбритания сонымен қатар ЖИ инвестициялары мен дамуы бойынша көшбасшылардың үштігіне кіреді, әсіресе ЖИ-ке қатысты құқықтық бастамалар мен заңнамада ерекше көзге түседі.ЖИ нарығы 2024 жылдың соңына қарай ол жыл сайын 826,70 млрд-қы жетеді, жыл сайын 28,46%-ға артады.  </w:t>
      </w:r>
    </w:p>
    <w:p>
      <w:pPr>
        <w:pStyle w:val="Default"/>
        <w:ind w:firstLine="567"/>
        <w:jc w:val="both"/>
        <w:rPr>
          <w:lang w:val="kk-KZ"/>
        </w:rPr>
      </w:pPr>
      <w:r>
        <w:rPr>
          <w:rStyle w:val="anegp0gi0b9av8jahpyh"/>
          <w:lang w:val="kk-KZ"/>
        </w:rPr>
        <w:t>2024</w:t>
      </w:r>
      <w:r>
        <w:rPr>
          <w:lang w:val="kk-KZ"/>
        </w:rPr>
        <w:t xml:space="preserve"> </w:t>
      </w:r>
      <w:r>
        <w:rPr>
          <w:rStyle w:val="anegp0gi0b9av8jahpyh"/>
          <w:lang w:val="kk-KZ"/>
        </w:rPr>
        <w:t>жылға</w:t>
      </w:r>
      <w:r>
        <w:rPr>
          <w:lang w:val="kk-KZ"/>
        </w:rPr>
        <w:t xml:space="preserve"> </w:t>
      </w:r>
      <w:r>
        <w:rPr>
          <w:rStyle w:val="anegp0gi0b9av8jahpyh"/>
          <w:lang w:val="kk-KZ"/>
        </w:rPr>
        <w:t>арналған</w:t>
      </w:r>
      <w:r>
        <w:rPr>
          <w:lang w:val="kk-KZ"/>
        </w:rPr>
        <w:t xml:space="preserve"> </w:t>
      </w:r>
      <w:r>
        <w:rPr>
          <w:rStyle w:val="anegp0gi0b9av8jahpyh"/>
          <w:lang w:val="kk-KZ"/>
        </w:rPr>
        <w:t>статистика</w:t>
      </w:r>
      <w:r>
        <w:rPr>
          <w:lang w:val="kk-KZ"/>
        </w:rPr>
        <w:t xml:space="preserve"> </w:t>
      </w:r>
      <w:r>
        <w:rPr>
          <w:rStyle w:val="anegp0gi0b9av8jahpyh"/>
          <w:lang w:val="kk-KZ"/>
        </w:rPr>
        <w:t>2023</w:t>
      </w:r>
      <w:r>
        <w:rPr>
          <w:lang w:val="kk-KZ"/>
        </w:rPr>
        <w:t xml:space="preserve"> </w:t>
      </w:r>
      <w:r>
        <w:rPr>
          <w:rStyle w:val="anegp0gi0b9av8jahpyh"/>
          <w:lang w:val="kk-KZ"/>
        </w:rPr>
        <w:t>жылы</w:t>
      </w:r>
      <w:r>
        <w:rPr>
          <w:lang w:val="kk-KZ"/>
        </w:rPr>
        <w:t xml:space="preserve"> </w:t>
      </w:r>
      <w:r>
        <w:rPr>
          <w:rStyle w:val="anegp0gi0b9av8jahpyh"/>
          <w:lang w:val="kk-KZ"/>
        </w:rPr>
        <w:t>ЖИ саласындағы</w:t>
      </w:r>
      <w:r>
        <w:rPr>
          <w:lang w:val="kk-KZ"/>
        </w:rPr>
        <w:t xml:space="preserve"> </w:t>
      </w:r>
      <w:r>
        <w:rPr>
          <w:rStyle w:val="anegp0gi0b9av8jahpyh"/>
          <w:lang w:val="kk-KZ"/>
        </w:rPr>
        <w:t>стартаптарды</w:t>
      </w:r>
      <w:r>
        <w:rPr>
          <w:lang w:val="kk-KZ"/>
        </w:rPr>
        <w:t xml:space="preserve"> </w:t>
      </w:r>
      <w:r>
        <w:rPr>
          <w:rStyle w:val="anegp0gi0b9av8jahpyh"/>
          <w:lang w:val="kk-KZ"/>
        </w:rPr>
        <w:t>қаржыландырудың</w:t>
      </w:r>
      <w:r>
        <w:rPr>
          <w:lang w:val="kk-KZ"/>
        </w:rPr>
        <w:t xml:space="preserve"> </w:t>
      </w:r>
      <w:r>
        <w:rPr>
          <w:rStyle w:val="anegp0gi0b9av8jahpyh"/>
          <w:lang w:val="kk-KZ"/>
        </w:rPr>
        <w:t>жалпы</w:t>
      </w:r>
      <w:r>
        <w:rPr>
          <w:lang w:val="kk-KZ"/>
        </w:rPr>
        <w:t xml:space="preserve"> </w:t>
      </w:r>
      <w:r>
        <w:rPr>
          <w:rStyle w:val="anegp0gi0b9av8jahpyh"/>
          <w:lang w:val="kk-KZ"/>
        </w:rPr>
        <w:t>көлемі</w:t>
      </w:r>
      <w:r>
        <w:rPr>
          <w:lang w:val="kk-KZ"/>
        </w:rPr>
        <w:t xml:space="preserve"> 4 </w:t>
      </w:r>
      <w:r>
        <w:rPr>
          <w:rStyle w:val="anegp0gi0b9av8jahpyh"/>
          <w:lang w:val="kk-KZ"/>
        </w:rPr>
        <w:t>42,5</w:t>
      </w:r>
      <w:r>
        <w:rPr>
          <w:lang w:val="kk-KZ"/>
        </w:rPr>
        <w:t xml:space="preserve"> </w:t>
      </w:r>
      <w:r>
        <w:rPr>
          <w:rStyle w:val="anegp0gi0b9av8jahpyh"/>
          <w:lang w:val="kk-KZ"/>
        </w:rPr>
        <w:t>млрд</w:t>
      </w:r>
      <w:r>
        <w:rPr>
          <w:lang w:val="kk-KZ"/>
        </w:rPr>
        <w:t xml:space="preserve"> құрады, </w:t>
      </w:r>
      <w:r>
        <w:rPr>
          <w:rStyle w:val="anegp0gi0b9av8jahpyh"/>
          <w:lang w:val="kk-KZ"/>
        </w:rPr>
        <w:t>ол</w:t>
      </w:r>
      <w:r>
        <w:rPr>
          <w:lang w:val="kk-KZ"/>
        </w:rPr>
        <w:t xml:space="preserve"> </w:t>
      </w:r>
      <w:r>
        <w:rPr>
          <w:rStyle w:val="anegp0gi0b9av8jahpyh"/>
          <w:lang w:val="kk-KZ"/>
        </w:rPr>
        <w:t>2022</w:t>
      </w:r>
      <w:r>
        <w:rPr>
          <w:lang w:val="kk-KZ"/>
        </w:rPr>
        <w:t xml:space="preserve"> </w:t>
      </w:r>
      <w:r>
        <w:rPr>
          <w:rStyle w:val="anegp0gi0b9av8jahpyh"/>
          <w:lang w:val="kk-KZ"/>
        </w:rPr>
        <w:t>жылғы</w:t>
      </w:r>
      <w:r>
        <w:rPr>
          <w:lang w:val="kk-KZ"/>
        </w:rPr>
        <w:t xml:space="preserve"> 4 </w:t>
      </w:r>
      <w:r>
        <w:rPr>
          <w:rStyle w:val="anegp0gi0b9av8jahpyh"/>
          <w:lang w:val="kk-KZ"/>
        </w:rPr>
        <w:t>47,3</w:t>
      </w:r>
      <w:r>
        <w:rPr>
          <w:lang w:val="kk-KZ"/>
        </w:rPr>
        <w:t xml:space="preserve"> </w:t>
      </w:r>
      <w:r>
        <w:rPr>
          <w:rStyle w:val="anegp0gi0b9av8jahpyh"/>
          <w:lang w:val="kk-KZ"/>
        </w:rPr>
        <w:t>млрд</w:t>
      </w:r>
      <w:r>
        <w:rPr>
          <w:lang w:val="kk-KZ"/>
        </w:rPr>
        <w:t xml:space="preserve">-тан </w:t>
      </w:r>
      <w:r>
        <w:rPr>
          <w:rStyle w:val="anegp0gi0b9av8jahpyh"/>
          <w:lang w:val="kk-KZ"/>
        </w:rPr>
        <w:t>сәл</w:t>
      </w:r>
      <w:r>
        <w:rPr>
          <w:lang w:val="kk-KZ"/>
        </w:rPr>
        <w:t xml:space="preserve"> </w:t>
      </w:r>
      <w:r>
        <w:rPr>
          <w:rStyle w:val="anegp0gi0b9av8jahpyh"/>
          <w:lang w:val="kk-KZ"/>
        </w:rPr>
        <w:t>төмендеді.</w:t>
      </w:r>
      <w:r>
        <w:rPr>
          <w:lang w:val="kk-KZ"/>
        </w:rPr>
        <w:t xml:space="preserve"> </w:t>
      </w:r>
    </w:p>
    <w:p>
      <w:pPr>
        <w:pStyle w:val="Default"/>
        <w:jc w:val="center"/>
        <w:rPr>
          <w:rStyle w:val="ypks7kbdpwfgdykd3qb9"/>
          <w:b/>
          <w:lang w:val="kk-KZ"/>
        </w:rPr>
      </w:pPr>
      <w:r>
        <w:rPr>
          <w:b/>
          <w:lang w:val="kk-KZ"/>
        </w:rPr>
      </w:r>
    </w:p>
    <w:p>
      <w:pPr>
        <w:pStyle w:val="Default"/>
        <w:jc w:val="center"/>
        <w:rPr>
          <w:rStyle w:val="ypks7kbdpwfgdykd3qb9"/>
          <w:b/>
          <w:sz w:val="22"/>
          <w:szCs w:val="22"/>
          <w:lang w:val="kk-KZ"/>
        </w:rPr>
      </w:pPr>
      <w:r>
        <w:rPr>
          <w:b/>
          <w:bCs/>
          <w:sz w:val="22"/>
          <w:szCs w:val="22"/>
          <w:lang w:val="uk-UA"/>
        </w:rPr>
        <w:t>4-кесте</w:t>
      </w:r>
      <w:r>
        <w:rPr>
          <w:b/>
          <w:bCs/>
          <w:sz w:val="22"/>
          <w:szCs w:val="22"/>
          <w:lang w:val="kk-KZ"/>
        </w:rPr>
        <w:t>.</w:t>
      </w:r>
      <w:r>
        <w:rPr>
          <w:b/>
          <w:bCs/>
          <w:sz w:val="22"/>
          <w:szCs w:val="22"/>
          <w:lang w:val="uk-UA"/>
        </w:rPr>
        <w:t xml:space="preserve"> </w:t>
      </w:r>
      <w:r>
        <w:rPr>
          <w:rStyle w:val="ypks7kbdpwfgdykd3qb9"/>
          <w:b/>
          <w:sz w:val="22"/>
          <w:szCs w:val="22"/>
          <w:lang w:val="kk-KZ"/>
        </w:rPr>
        <w:t>ЖИ</w:t>
      </w:r>
      <w:r>
        <w:rPr>
          <w:b/>
          <w:sz w:val="22"/>
          <w:szCs w:val="22"/>
          <w:lang w:val="kk-KZ"/>
        </w:rPr>
        <w:t xml:space="preserve"> </w:t>
      </w:r>
      <w:r>
        <w:rPr>
          <w:rStyle w:val="ypks7kbdpwfgdykd3qb9"/>
          <w:b/>
          <w:sz w:val="22"/>
          <w:szCs w:val="22"/>
          <w:lang w:val="kk-KZ"/>
        </w:rPr>
        <w:t>енгізуге</w:t>
      </w:r>
      <w:r>
        <w:rPr>
          <w:b/>
          <w:sz w:val="22"/>
          <w:szCs w:val="22"/>
          <w:lang w:val="kk-KZ"/>
        </w:rPr>
        <w:t xml:space="preserve"> </w:t>
      </w:r>
      <w:r>
        <w:rPr>
          <w:rStyle w:val="ypks7kbdpwfgdykd3qb9"/>
          <w:b/>
          <w:sz w:val="22"/>
          <w:szCs w:val="22"/>
          <w:lang w:val="kk-KZ"/>
        </w:rPr>
        <w:t>ең</w:t>
      </w:r>
      <w:r>
        <w:rPr>
          <w:b/>
          <w:sz w:val="22"/>
          <w:szCs w:val="22"/>
          <w:lang w:val="kk-KZ"/>
        </w:rPr>
        <w:t xml:space="preserve"> </w:t>
      </w:r>
      <w:r>
        <w:rPr>
          <w:rStyle w:val="ypks7kbdpwfgdykd3qb9"/>
          <w:b/>
          <w:sz w:val="22"/>
          <w:szCs w:val="22"/>
          <w:lang w:val="kk-KZ"/>
        </w:rPr>
        <w:t>дайын</w:t>
      </w:r>
      <w:r>
        <w:rPr>
          <w:b/>
          <w:sz w:val="22"/>
          <w:szCs w:val="22"/>
          <w:lang w:val="kk-KZ"/>
        </w:rPr>
        <w:t xml:space="preserve"> </w:t>
      </w:r>
      <w:r>
        <w:rPr>
          <w:rStyle w:val="ypks7kbdpwfgdykd3qb9"/>
          <w:b/>
          <w:sz w:val="22"/>
          <w:szCs w:val="22"/>
          <w:lang w:val="kk-KZ"/>
        </w:rPr>
        <w:t>10</w:t>
      </w:r>
      <w:r>
        <w:rPr>
          <w:b/>
          <w:sz w:val="22"/>
          <w:szCs w:val="22"/>
          <w:lang w:val="kk-KZ"/>
        </w:rPr>
        <w:t xml:space="preserve"> </w:t>
      </w:r>
      <w:r>
        <w:rPr>
          <w:rStyle w:val="ypks7kbdpwfgdykd3qb9"/>
          <w:b/>
          <w:sz w:val="22"/>
          <w:szCs w:val="22"/>
          <w:lang w:val="kk-KZ"/>
        </w:rPr>
        <w:t xml:space="preserve">ел рейтингі </w:t>
      </w:r>
    </w:p>
    <w:p>
      <w:pPr>
        <w:pStyle w:val="Default"/>
        <w:jc w:val="center"/>
        <w:rPr>
          <w:i/>
          <w:i/>
          <w:lang w:val="kk-KZ"/>
        </w:rPr>
      </w:pPr>
      <w:r>
        <w:rPr>
          <w:i/>
          <w:lang w:val="kk-KZ"/>
        </w:rPr>
      </w:r>
    </w:p>
    <w:tbl>
      <w:tblPr>
        <w:tblStyle w:val="ae"/>
        <w:tblW w:w="7088"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93"/>
        <w:gridCol w:w="3230"/>
        <w:gridCol w:w="2865"/>
      </w:tblGrid>
      <w:tr>
        <w:trPr/>
        <w:tc>
          <w:tcPr>
            <w:tcW w:w="993" w:type="dxa"/>
            <w:tcBorders/>
            <w:shd w:color="auto" w:fill="E7E6E6" w:themeFill="background2" w:val="clear"/>
          </w:tcPr>
          <w:p>
            <w:pPr>
              <w:pStyle w:val="Default"/>
              <w:widowControl/>
              <w:spacing w:before="0" w:after="0"/>
              <w:jc w:val="center"/>
              <w:rPr>
                <w:b/>
                <w:color w:val="auto"/>
                <w:sz w:val="22"/>
                <w:szCs w:val="22"/>
                <w:lang w:val="kk-KZ"/>
              </w:rPr>
            </w:pPr>
            <w:r>
              <w:rPr>
                <w:rFonts w:eastAsia="Calibri"/>
                <w:b/>
                <w:color w:val="auto"/>
                <w:kern w:val="0"/>
                <w:sz w:val="22"/>
                <w:szCs w:val="22"/>
                <w:lang w:val="kk-KZ" w:eastAsia="ru-RU" w:bidi="ar-SA"/>
              </w:rPr>
              <w:t>Орын</w:t>
            </w:r>
          </w:p>
        </w:tc>
        <w:tc>
          <w:tcPr>
            <w:tcW w:w="3230" w:type="dxa"/>
            <w:tcBorders/>
            <w:shd w:color="auto" w:fill="E7E6E6" w:themeFill="background2" w:val="clear"/>
          </w:tcPr>
          <w:p>
            <w:pPr>
              <w:pStyle w:val="Default"/>
              <w:widowControl/>
              <w:spacing w:before="0" w:after="0"/>
              <w:jc w:val="center"/>
              <w:rPr>
                <w:b/>
                <w:color w:val="auto"/>
                <w:sz w:val="22"/>
                <w:szCs w:val="22"/>
                <w:lang w:val="kk-KZ"/>
              </w:rPr>
            </w:pPr>
            <w:r>
              <w:rPr>
                <w:rFonts w:eastAsia="Calibri"/>
                <w:b/>
                <w:color w:val="auto"/>
                <w:kern w:val="0"/>
                <w:sz w:val="22"/>
                <w:szCs w:val="22"/>
                <w:lang w:val="kk-KZ" w:eastAsia="ru-RU" w:bidi="ar-SA"/>
              </w:rPr>
              <w:t>Елдер</w:t>
            </w:r>
          </w:p>
        </w:tc>
        <w:tc>
          <w:tcPr>
            <w:tcW w:w="2865" w:type="dxa"/>
            <w:tcBorders/>
            <w:shd w:color="auto" w:fill="E7E6E6" w:themeFill="background2" w:val="clear"/>
          </w:tcPr>
          <w:p>
            <w:pPr>
              <w:pStyle w:val="Default"/>
              <w:widowControl/>
              <w:spacing w:before="0" w:after="0"/>
              <w:jc w:val="center"/>
              <w:rPr>
                <w:b/>
                <w:color w:val="auto"/>
                <w:sz w:val="22"/>
                <w:szCs w:val="22"/>
                <w:lang w:val="kk-KZ"/>
              </w:rPr>
            </w:pPr>
            <w:r>
              <w:rPr>
                <w:rFonts w:eastAsia="Calibri"/>
                <w:b/>
                <w:color w:val="auto"/>
                <w:kern w:val="0"/>
                <w:sz w:val="22"/>
                <w:szCs w:val="22"/>
                <w:lang w:val="kk-KZ" w:eastAsia="ru-RU" w:bidi="ar-SA"/>
              </w:rPr>
              <w:t>Индекс</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1</w:t>
            </w:r>
          </w:p>
        </w:tc>
        <w:tc>
          <w:tcPr>
            <w:tcW w:w="3230"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Сингапур</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0,80</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2</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Дания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0,78</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3</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АҚШ</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0,77</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4</w:t>
            </w:r>
          </w:p>
        </w:tc>
        <w:tc>
          <w:tcPr>
            <w:tcW w:w="3230"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Нидерланды</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0,77</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5</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Эстония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0,76</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6</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Финляндия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0,76</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7</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Швейцария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0,76</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8</w:t>
            </w:r>
          </w:p>
        </w:tc>
        <w:tc>
          <w:tcPr>
            <w:tcW w:w="3230"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Жаңа Зеландия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0,75</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9</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Германия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0,75</w:t>
            </w:r>
          </w:p>
        </w:tc>
      </w:tr>
      <w:tr>
        <w:trPr/>
        <w:tc>
          <w:tcPr>
            <w:tcW w:w="993"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10</w:t>
            </w:r>
          </w:p>
        </w:tc>
        <w:tc>
          <w:tcPr>
            <w:tcW w:w="3230" w:type="dxa"/>
            <w:tcBorders/>
            <w:shd w:color="auto" w:fill="E7E6E6" w:themeFill="background2" w:val="clear"/>
          </w:tcPr>
          <w:p>
            <w:pPr>
              <w:pStyle w:val="Default"/>
              <w:widowControl/>
              <w:spacing w:before="0" w:after="0"/>
              <w:jc w:val="left"/>
              <w:rPr>
                <w:color w:val="auto"/>
                <w:sz w:val="22"/>
                <w:szCs w:val="22"/>
                <w:lang w:val="kk-KZ"/>
              </w:rPr>
            </w:pPr>
            <w:r>
              <w:rPr>
                <w:rFonts w:eastAsia="Calibri"/>
                <w:color w:val="auto"/>
                <w:kern w:val="0"/>
                <w:sz w:val="22"/>
                <w:szCs w:val="22"/>
                <w:lang w:val="kk-KZ" w:eastAsia="ru-RU" w:bidi="ar-SA"/>
              </w:rPr>
              <w:t xml:space="preserve">                </w:t>
            </w:r>
            <w:r>
              <w:rPr>
                <w:rFonts w:eastAsia="Calibri"/>
                <w:color w:val="auto"/>
                <w:kern w:val="0"/>
                <w:sz w:val="22"/>
                <w:szCs w:val="22"/>
                <w:lang w:val="kk-KZ" w:eastAsia="ru-RU" w:bidi="ar-SA"/>
              </w:rPr>
              <w:t>Швеция</w:t>
            </w:r>
          </w:p>
        </w:tc>
        <w:tc>
          <w:tcPr>
            <w:tcW w:w="2865" w:type="dxa"/>
            <w:tcBorders/>
            <w:shd w:color="auto" w:fill="E7E6E6" w:themeFill="background2" w:val="clear"/>
          </w:tcPr>
          <w:p>
            <w:pPr>
              <w:pStyle w:val="Default"/>
              <w:widowControl/>
              <w:spacing w:before="0" w:after="0"/>
              <w:jc w:val="center"/>
              <w:rPr>
                <w:color w:val="auto"/>
                <w:sz w:val="22"/>
                <w:szCs w:val="22"/>
                <w:lang w:val="kk-KZ"/>
              </w:rPr>
            </w:pPr>
            <w:r>
              <w:rPr>
                <w:rFonts w:eastAsia="Calibri"/>
                <w:color w:val="auto"/>
                <w:kern w:val="0"/>
                <w:sz w:val="22"/>
                <w:szCs w:val="22"/>
                <w:lang w:val="kk-KZ" w:eastAsia="ru-RU" w:bidi="ar-SA"/>
              </w:rPr>
              <w:t>0,75</w:t>
            </w:r>
          </w:p>
        </w:tc>
      </w:tr>
    </w:tbl>
    <w:p>
      <w:pPr>
        <w:pStyle w:val="Default"/>
        <w:jc w:val="both"/>
        <w:rPr>
          <w:color w:val="auto"/>
          <w:sz w:val="22"/>
          <w:szCs w:val="22"/>
          <w:lang w:val="kk-KZ"/>
        </w:rPr>
      </w:pPr>
      <w:r>
        <w:rPr>
          <w:rStyle w:val="ypks7kbdpwfgdykd3qb9"/>
          <w:i/>
          <w:sz w:val="22"/>
          <w:szCs w:val="22"/>
          <w:lang w:val="kk-KZ"/>
        </w:rPr>
        <w:t xml:space="preserve">           </w:t>
      </w:r>
      <w:r>
        <w:rPr>
          <w:rStyle w:val="ypks7kbdpwfgdykd3qb9"/>
          <w:i/>
          <w:sz w:val="22"/>
          <w:szCs w:val="22"/>
          <w:lang w:val="kk-KZ"/>
        </w:rPr>
        <w:t>Деркекөз:[7]</w:t>
      </w:r>
    </w:p>
    <w:p>
      <w:pPr>
        <w:pStyle w:val="Default"/>
        <w:jc w:val="both"/>
        <w:rPr>
          <w:color w:val="auto"/>
          <w:sz w:val="22"/>
          <w:szCs w:val="22"/>
          <w:lang w:val="kk-KZ"/>
        </w:rPr>
      </w:pPr>
      <w:r>
        <w:rPr>
          <w:color w:val="auto"/>
          <w:sz w:val="22"/>
          <w:szCs w:val="22"/>
          <w:lang w:val="kk-KZ"/>
        </w:rPr>
      </w:r>
    </w:p>
    <w:p>
      <w:pPr>
        <w:pStyle w:val="Default"/>
        <w:ind w:firstLine="567"/>
        <w:jc w:val="both"/>
        <w:rPr>
          <w:color w:val="FF0000"/>
          <w:lang w:val="kk-KZ"/>
        </w:rPr>
      </w:pPr>
      <w:r>
        <w:rPr>
          <w:color w:val="auto"/>
          <w:lang w:val="kk-KZ"/>
        </w:rPr>
        <w:t xml:space="preserve">Қазақстан АИ енгізуге дайындығы бойынша топ-50 елдің қатарына енді. ОА және ЕАЭО мемлекеттері арасында ҚР 0,56 балл индексімен 47-ші орынға ие болған Ресейден кейін екінші орында. Қазақстан тиісінше 0,55 балл индексімен 48-ші орынды иеленді. McKinsey &amp; Company халықаралық консалтингтік агенттігінің мәліметі бойынша, біздің еліміздегі АИ-нің ең перспективалы қолданыстарының бірі ретінде географиялық ақпараттық жүйелер мен кеңістіктік деректер арқылы мемлекеттік қызметтерді трансформациялау белгіленді. Атап айтқанда, географиялық, демографиялық және экономикалық деректерді аналитикалық әдістермен біріктіретін статистикалық модельді пайдалана отырып, ауылдық елді мекендердегі инфрақұрылымды анықтау мен дамытудағы Қазақстанның тәжірибесі атап өтілді. Бұл модель 6293 ауылды талдап, ауыл халқының 90% - ы тұратын ең жоғары даму әлеуеті бар 3500-ді таңдады. Нәтижесінде Қазақстан Үкіметі ауылдық аудандарға негізгі қызметтер мен инфрақұрылымды тиімдірек және дәл ұсына алады [12].    </w:t>
      </w:r>
    </w:p>
    <w:p>
      <w:pPr>
        <w:pStyle w:val="Default"/>
        <w:jc w:val="both"/>
        <w:rPr>
          <w:color w:val="auto"/>
          <w:lang w:val="kk-KZ"/>
        </w:rPr>
      </w:pPr>
      <w:r>
        <w:rPr>
          <w:color w:val="auto"/>
          <w:lang w:val="kk-KZ"/>
        </w:rPr>
      </w:r>
    </w:p>
    <w:p>
      <w:pPr>
        <w:pStyle w:val="Default"/>
        <w:jc w:val="both"/>
        <w:rPr>
          <w:color w:val="auto"/>
          <w:lang w:val="kk-KZ"/>
        </w:rPr>
      </w:pPr>
      <w:r>
        <w:rPr/>
        <w:drawing>
          <wp:inline distT="0" distB="0" distL="0" distR="0">
            <wp:extent cx="5353050" cy="3200400"/>
            <wp:effectExtent l="0" t="0" r="0" b="0"/>
            <wp:docPr id="40" name="Диаграмма 2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inline>
        </w:drawing>
      </w:r>
    </w:p>
    <w:p>
      <w:pPr>
        <w:pStyle w:val="Default"/>
        <w:jc w:val="center"/>
        <w:rPr>
          <w:b/>
          <w:color w:val="auto"/>
          <w:lang w:val="kk-KZ"/>
        </w:rPr>
      </w:pPr>
      <w:r>
        <w:rPr>
          <w:b/>
          <w:color w:val="auto"/>
          <w:lang w:val="kk-KZ"/>
        </w:rPr>
      </w:r>
    </w:p>
    <w:p>
      <w:pPr>
        <w:pStyle w:val="Default"/>
        <w:jc w:val="center"/>
        <w:rPr>
          <w:b/>
          <w:color w:val="auto"/>
          <w:sz w:val="20"/>
          <w:szCs w:val="20"/>
          <w:lang w:val="kk-KZ"/>
        </w:rPr>
      </w:pPr>
      <w:r>
        <w:rPr>
          <w:b/>
          <w:bCs/>
          <w:sz w:val="20"/>
          <w:lang w:val="kk-KZ" w:eastAsia="ru-RU"/>
        </w:rPr>
        <w:t xml:space="preserve">1- сурет. </w:t>
      </w:r>
      <w:r>
        <w:rPr>
          <w:b/>
          <w:color w:val="auto"/>
          <w:sz w:val="20"/>
          <w:szCs w:val="20"/>
          <w:lang w:val="kk-KZ"/>
        </w:rPr>
        <w:t xml:space="preserve">ЖИ енгізуге дайындығы бойынша ОА және ЕАЭО елдерінің рейтингі, 2025ж </w:t>
      </w:r>
    </w:p>
    <w:p>
      <w:pPr>
        <w:pStyle w:val="Default"/>
        <w:ind w:firstLine="709"/>
        <w:jc w:val="both"/>
        <w:rPr>
          <w:i/>
          <w:i/>
          <w:color w:val="auto"/>
          <w:sz w:val="20"/>
          <w:szCs w:val="20"/>
          <w:lang w:val="kk-KZ"/>
        </w:rPr>
      </w:pPr>
      <w:r>
        <w:rPr>
          <w:i/>
          <w:color w:val="auto"/>
          <w:sz w:val="20"/>
          <w:szCs w:val="20"/>
          <w:lang w:val="kk-KZ"/>
        </w:rPr>
        <w:t>Дереккөз [7].</w:t>
      </w:r>
    </w:p>
    <w:p>
      <w:pPr>
        <w:pStyle w:val="Default"/>
        <w:ind w:firstLine="709"/>
        <w:jc w:val="both"/>
        <w:rPr>
          <w:b/>
          <w:color w:val="auto"/>
          <w:sz w:val="20"/>
          <w:szCs w:val="20"/>
          <w:lang w:val="kk-KZ"/>
        </w:rPr>
      </w:pPr>
      <w:r>
        <w:rPr>
          <w:b/>
          <w:color w:val="auto"/>
          <w:sz w:val="20"/>
          <w:szCs w:val="20"/>
          <w:lang w:val="kk-KZ"/>
        </w:rPr>
      </w:r>
    </w:p>
    <w:p>
      <w:pPr>
        <w:pStyle w:val="Default"/>
        <w:ind w:firstLine="567"/>
        <w:jc w:val="both"/>
        <w:rPr>
          <w:color w:val="auto"/>
          <w:lang w:val="kk-KZ"/>
        </w:rPr>
      </w:pPr>
      <w:r>
        <w:rPr>
          <w:color w:val="auto"/>
          <w:lang w:val="kk-KZ"/>
        </w:rPr>
        <w:t xml:space="preserve">Армения (71-ші орын және 0,49 балл), Беларусь (82-ші орын және 0,47 балл) және Қырғызстан (99-шы орын және 0,43 балл) артта қалып отыр. Тәжікстан 0,37 балл индексімен 123-орында, ал көрші Өзбекстан 0,35 балл индексімен 131-орында ОА және ЕАЭО елдерінің рейтингін жауып тастады. Айта кету керек, Түркіменстан ХВҚ индексінде ұсынылмаған [7].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Экономистердің есептеулеріне сәйкес, жасанды интеллектті қолдану 2030 жылға қарай жаһандық ЖІӨ-ні 14% - ға арттыруы мүмкін. Бүгінгі таңда Қазақстанда 93 ақпараттық база қосылған Smart Data Ufiles-те мемлекеттік органдардың деректерін жинау бойынша шаралар кешені іске асырылуда. Ұлттық инфрақұрылымды дамыту үшін суперкомпьютерлік қуаттарды орналастыруды, заманауи деректер орталықтарын құруды, ұлттық жасанды интеллект платформасын іске қосуды және талшықты-оптикалық байланыс желісін кеңейтуді қамтитын бірқатар ауқымды жобалар жоспарланған.  Сонымен қатар, кадрлық әлеуетті дамыту бойынша жұмыстар жүргізілуде: білім беру және акселерациялық бағдарламалар іске асырылуда. Қазірдің өзінде еліміздің 17 ЖОО-да Жасанды Интеллект саласында оқытудың 15 бағыты ашылды, онда екі мыңнан астам студент білім алады.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Сонымен қатар, ғылым және жоғары білім министрлігі мәдени және тілдік мұраны дамыту үшін заманауи үлкен тіл моделін (LLM) құру бойынша жұмыс жүргізуде. Бүгінгі таңда бірнеше білім беру ұйымдарынан - ақпараттық және есептеу технологиялары институтынан, Сәтбаев университетінен, Назарбаев Университетінен, «Тіл-Қазына» ҰҒПО-дан консорциум құрылды. Ш.Шаяхметова, тіл білімі институты. А.Байтұрсынов және ҚазҰУ. Мамандар шамамен 6 миллиард сөз жинады, бұлтты шешімдер арқылы суперкомпьютерді қолдана отырып, LLM моделін оқыту жүргізілуде.</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Деректер жасанды интеллект дамуының негізгі және негізгі элементтерінің бірі болып табылады. Бұл бағыттағы жұмысты «ҰАТ» АҚ жүргізеді. Smart Data Ukimet (SDU) жүйесі көптеген ақпарат көздерінен алынған ақпаратты біріктіреді: мемлекеттік органдар, квазимемлекеттік сектор, жеке бизнес, банктер, университеттер және ғылыми-зерттеу орталықтары. Барлығы 93 дерекқор SDU-ға қосылған.</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Жасанды интеллект саласындағы зерттеулерді дамыту үшін екі негізгі бағыт анықталды. Бұл Nazarbayev University және «ҰАТ» АҚ күштерімен қазақ тілінде үлкен тілдік модель (KazLLM) құру. Бұл модель 100 млрд. таңбалауышқа негізделетін болады. Модельдің жоғары сапасын қамтамасыз ету үшін қазақ тіліндегі деректердің ең көп санын жинау өте маңызды. Осы мақсаттар үшін машиналық оқыту саласындағы көшбасшы болып табылатын және зерттеулер алмасуға арналған «Hugging Face» платформасында ауқымды деректер жинау жүргізіледі, оның негізінде пайдаланушылар құралдарды әзірлеп, ЖИ модельдерін жасай алады. Платформада ашық көздермен өзара әрекеттесу жасанды интеллектті қол жетімді етеді және білім мен прогресс алмасу мәдениетін ынталандырады.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Екінші бағыт шеңберінде халықаралық компаниялармен бірлесіп «KazLLM» үлкен тілдік моделі әзірленетін болады. Бұл модель ашық көздерден алынған мәліметтер негізінде 30-40 млрд таңбалауышқа негізделетін болады. Жоба өтеусіз негізде іске асырылатын болады. Kazllm-дің алғашқы нұсқасын ағымдағы жылдың желтоқсан айында ұсыну жоспарлануда. Ведомствоның жоспарында 2029 жылға қарай ЖИ саласындағы патенттер санын жылына 20-ға дейін жеткізу көзделген [13].</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Саладағы реттеу жасанды интеллект қауіпсіз, жауапкершілікпен және этикалық нормаларды сақтай отырып пайдаланылатын ортаны қалыптастыруға бағытталған. Қазақстанда әлемдік озық тәжірибелерге сүйене отырып, Мәжіліс депутаттарымен бірлесіп "Жасанды интеллект туралы" заң жобасы әзірленді.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Заң жобасы әдеп нормаларын қабылдауды, мемлекеттік реттеуді, ЖИ-объектілердің жұмыс істеуінің құқықтық режимін, оларды жіктеуді, мемлекеттік қолдау шараларын және саладағы стандарттауды көздейді.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Жаңа технологияларды енгізудің барынша тиімділігіне қол жеткізу үшін Қазақстанға тиісті құзыреттері бар мамандардың болуын қамтамасыз ету қажет. 2030 жылға қарай елде 5-тен 10 мыңға дейін деректер талдаушылары, 20-дан 25 мыңға дейін деректер жүйесін жасаушылар және 2-ден 5 мыңға дейін деректер зерттеушілері құрылады деп күтілуде. Қазірдің өзінде мамандардың бұл санаты еңбек нарығында маңызды және сұранысқа ие екені белгілі.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жасанды интеллект пен терең талдау технологияларының әлеуетін толық көлемде іске асыруы үшін мемлекеттің, жеке сектордың және азаматтардың күш-жігерін біріктіру қажет. Мемлекет технологиялық инновацияларға ықпал ететін тиісті инфрақұрылым мен жағдайлар жасауға тиіс. Өз кезегінде, жеке сектор ірі тапсырыс беруші ретінде әрекет ете отырып, жаңа технологиялар мен терең аналитиканы белсенді түрде енгізуі керек.</w:t>
      </w:r>
    </w:p>
    <w:p>
      <w:pPr>
        <w:pStyle w:val="Normal"/>
        <w:spacing w:lineRule="auto" w:line="240" w:before="0" w:after="0"/>
        <w:ind w:firstLine="567"/>
        <w:jc w:val="both"/>
        <w:rPr>
          <w:rFonts w:ascii="Times New Roman" w:hAnsi="Times New Roman" w:cs="Times New Roman"/>
          <w:b/>
          <w:sz w:val="24"/>
          <w:szCs w:val="24"/>
          <w:lang w:val="kk-KZ"/>
        </w:rPr>
      </w:pPr>
      <w:r>
        <w:rPr>
          <w:rFonts w:cs="Times New Roman" w:ascii="Times New Roman" w:hAnsi="Times New Roman"/>
          <w:sz w:val="24"/>
          <w:szCs w:val="24"/>
          <w:lang w:val="kk-KZ"/>
        </w:rPr>
        <w:t>Сонымен қатар, мемлекеттің аналитикалық шешімдерді әзірлеуді қолдаудағы рөлі маңызды. Жасанды интеллекттің дамуына байланысты күшті және әлсіз жақтарын, мүмкіндіктері мен қауіптерін бағалау үшін SWOT талдауын қолдануға болады.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Қорытынды.</w:t>
      </w:r>
      <w:r>
        <w:rPr>
          <w:rFonts w:cs="Times New Roman" w:ascii="Times New Roman" w:hAnsi="Times New Roman"/>
          <w:sz w:val="24"/>
          <w:szCs w:val="24"/>
          <w:lang w:val="kk-KZ"/>
        </w:rPr>
        <w:t xml:space="preserve"> Жасанды интеллектті (ЖИ) цифрлық экономиканың өзегіне айналдыру бүгінде экономикалық өсудің, өндірістік тиімділіктің және мемлекеттік басқару сапасының басты драйверлерінің бірі болып отыр. Ғылыми-теориялық талдаулар, халықаралық салыстырмалар және Қазақстан бойынша жүргізілген аналитикалық зерттеу нәтижелері ЖИ технологияларының ұлттық экономиканы жаңғыртуда шешуші рөл атқаратынын дәлелдеді. ЖИ тек цифрлық өнім емес, оның әсері экономиканың барлық секторларын -өнеркәсіптен қаржыға, көлік-логистикадан мемлекеттік қызметтерге дейін -жүйелі трансформациялаумен сипатталады.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үшін ЖИ дамуы екі бағытта өзекті: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экономиканы технологиялық жаңғырту құралы ретінде;</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жаһандық бәсекеге қабілеттілікті арттыру факторы ретінде.</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Елдің цифрлық инфрақұрылымы мен мемлекеттік платформалардың едәуір дамығаны (eGov, Open Data, Smart Data) ЖИ енгізу үшін институционалдық негіз қалыптастырса, кадрлық ресурстар, ғылыми зерттеулер мен жеке сектордың инновациялық белсенділігі әлі де күшейтуді қажет етеді. Соңғы жылдары ЖИ-ға инвестициялар көлемінің артуы, стартап-экожүйенің жандануы және ұлттық деңгейде қабылданған стратегиялық құжаттар (ЖИ концепциясы 2024-2029) экономиканың сандық трансформациясы үшін маңызды алғышарттар жасады.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Сонымен бірге зерттеу ЖИ дамуына байланысты бірқатар  тәуекелдерді анықтады: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еңбек нарығында құрылымдық өзгерістер және кәсіби теңсіздік;</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деректер қауіпсіздігі мен құпиялылық қатері;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алгоритмдік бұрмаланулар және реттеудің жеткіліксіздігі;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технологиялық тәуелділік пен сыртқы платформаларға жоғары тәуелділік;</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бизнес-сектордың ЖИ енгізу шығындарына дайын еместігі.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жағдайында бұл тәуекелдерді тиімді басқару үшін адам капиталын күшейту, ғылыми зерттеулерді қаржыландыруды арттыру, деректердің қолжетімділігін және сапасын қамтамасыз ету, этикалық-құқықтық нормаларды қалыптастыру және ашық инновациялық экожүйе құру маңызды.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Жалпы алғанда, ЖИ-дың экономикалық тиімділігі оның жекелеген технологиялық шешімдерінен емес, жүйелі интеграция, деректермен жұмыс мәдениеті және инновациялық басқару моделінің қалыптасуынан көрінеді. Қазақстан осы бағытта айтарлықтай әлеуетке ие және стратегиялық жоспарлау жағдайында ЖИ елдің ұзақ мерзімді экономикалық өсімін қамтамасыз ететін негізгі факторлардың біріне айнала алады.</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sz w:val="24"/>
          <w:szCs w:val="24"/>
          <w:lang w:val="kk-KZ"/>
        </w:rPr>
      </w:pPr>
      <w:r>
        <w:rPr>
          <w:rFonts w:cs="Times New Roman" w:ascii="Times New Roman" w:hAnsi="Times New Roman"/>
          <w:b/>
          <w:sz w:val="24"/>
          <w:szCs w:val="24"/>
          <w:lang w:val="kk-KZ"/>
        </w:rPr>
        <w:t>Әдебиеттер</w:t>
      </w:r>
    </w:p>
    <w:p>
      <w:pPr>
        <w:pStyle w:val="Normal"/>
        <w:spacing w:lineRule="auto" w:line="240" w:before="0" w:after="0"/>
        <w:jc w:val="center"/>
        <w:rPr>
          <w:rFonts w:ascii="Times New Roman" w:hAnsi="Times New Roman" w:cs="Times New Roman"/>
          <w:b/>
          <w:sz w:val="24"/>
          <w:szCs w:val="24"/>
          <w:lang w:val="kk-KZ"/>
        </w:rPr>
      </w:pPr>
      <w:r>
        <w:rPr>
          <w:rFonts w:cs="Times New Roman" w:ascii="Times New Roman" w:hAnsi="Times New Roman"/>
          <w:b/>
          <w:sz w:val="24"/>
          <w:szCs w:val="24"/>
          <w:lang w:val="kk-KZ"/>
        </w:rPr>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 Глава государства принял участие в международном форуме Digital Bridge 2023.</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12 октября 2023 года. Официальный сайт Президента РК. https://www.akorda.kz/ru/glava-gosudarstva-prinyal-uchastie-v-mezhdunarodnom-forume-digital-bridge-2023-1294242. -Қаралан күні: 04.06.2025.</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2.</w:t>
      </w:r>
      <w:r>
        <w:rPr>
          <w:rFonts w:cs="Times New Roman" w:ascii="Times New Roman" w:hAnsi="Times New Roman"/>
          <w:sz w:val="24"/>
          <w:szCs w:val="24"/>
        </w:rPr>
        <w:t xml:space="preserve"> </w:t>
      </w:r>
      <w:r>
        <w:rPr>
          <w:rFonts w:cs="Times New Roman" w:ascii="Times New Roman" w:hAnsi="Times New Roman"/>
          <w:sz w:val="24"/>
          <w:szCs w:val="24"/>
          <w:lang w:val="kk-KZ"/>
        </w:rPr>
        <w:t>Ахматова Д.Р. Экономический потенциал искусственного интеллекта: мировой опыт, российская практика и перспективы стран ЕАЭС // Экономика и управление инновациями. -2023. -№ 3 (26). -С. 15-24. DOI 10.26730/2587-5574-2023-3-15-24.</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3.</w:t>
      </w:r>
      <w:r>
        <w:rPr>
          <w:rFonts w:cs="Times New Roman" w:ascii="Times New Roman" w:hAnsi="Times New Roman"/>
          <w:sz w:val="24"/>
          <w:szCs w:val="24"/>
        </w:rPr>
        <w:t xml:space="preserve"> </w:t>
      </w:r>
      <w:r>
        <w:rPr>
          <w:rFonts w:cs="Times New Roman" w:ascii="Times New Roman" w:hAnsi="Times New Roman"/>
          <w:sz w:val="24"/>
          <w:szCs w:val="24"/>
          <w:lang w:val="kk-KZ"/>
        </w:rPr>
        <w:t>Пройдаков Э.М. Современное состояние искусственного интеллекта //Науковедческие исследования. -2018. - С.129-153. DOI 10.31249/scis/2018.00.09.</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4. Лукьянов И.В. Инновационная экономика и искусственный интеллект как движущие факторы четвертой промышленной революции // Экономика: вчера, сегодня, завтра. -2019. –Т.9(7.А). - С.215-224.</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5. Щурина С.В., Данилов А.С. Искусственный интеллект как технологическая инновация для ускорения развития экономики // Экономика. Налоги. Право. -2019. -Т. 12(3). - С.125-133. DOI 10.26794/1999-849X</w:t>
        <w:noBreakHyphen/>
        <w:t>2019-12-3-125-133.</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6. Soni N. et al.Impact of artificial intelligence on businesses: from research, innovation, market deployment to future shifts in business models //arXiv preprint arXiv. -2019: 1905.02092. </w:t>
      </w:r>
      <w:hyperlink r:id="rId224">
        <w:r>
          <w:rPr>
            <w:rStyle w:val="Style3"/>
            <w:rFonts w:cs="Times New Roman" w:ascii="Times New Roman" w:hAnsi="Times New Roman"/>
            <w:sz w:val="24"/>
            <w:szCs w:val="24"/>
            <w:lang w:val="kk-KZ"/>
          </w:rPr>
          <w:br/>
          <w:t>DOI 10.48550/arXiv.1905.02092</w:t>
        </w:r>
      </w:hyperlink>
      <w:r>
        <w:rPr>
          <w:rFonts w:cs="Times New Roman" w:ascii="Times New Roman" w:hAnsi="Times New Roman"/>
          <w:sz w:val="24"/>
          <w:szCs w:val="24"/>
          <w:lang w:val="kk-KZ"/>
        </w:rPr>
        <w:t>.</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7. Казахстан вошёл в топ-50 стран, наиболее подготовленных к внедрению ИИ/Ranking.kz. -2024.URL:https://ranking.kz/reviews/world/kazahstan-voshyol-v-top-50-stran-naibolee-podgotovlennyh-k-vnedreniyu-ii.html. -Қаралан күні: 04.06.2025. </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8. Perrault R., Clark J. Artificial Intelligence Index Report 2024. </w:t>
      </w:r>
      <w:hyperlink r:id="rId225">
        <w:r>
          <w:rPr>
            <w:rStyle w:val="Style3"/>
            <w:rFonts w:cs="Times New Roman" w:ascii="Times New Roman" w:hAnsi="Times New Roman"/>
            <w:sz w:val="24"/>
            <w:szCs w:val="24"/>
            <w:lang w:val="kk-KZ"/>
          </w:rPr>
          <w:t>URL:https://hai.stanford.edu/assets/files/hai_ai-index-report-2024-smaller2.pdf</w:t>
        </w:r>
      </w:hyperlink>
      <w:r>
        <w:rPr>
          <w:rFonts w:cs="Times New Roman" w:ascii="Times New Roman" w:hAnsi="Times New Roman"/>
          <w:sz w:val="24"/>
          <w:szCs w:val="24"/>
          <w:lang w:val="kk-KZ"/>
        </w:rPr>
        <w:t>. - Қаралан күні 04.06.2025.</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9. 2023 - 2029 жылдарға арналған цифрлық трансформация, ақпараттық-коммуникациялық технологиялар саласын және киберқауіпсіздікті дамыту тұжырымдамасын бекіту туралы</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Республикасы Үкіметінің 2023 жылғы 28 наурыздағы № 269 қаулысы</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10. ҚР ЦДИАӨМ мақсаты - 2025 жылға дейін 100 мың ІТ-маманын дайындау. -2022.URL:https://primeminister.kz/news/kr-cdiaom-maksaty-2025-zhylga-deyin-100-myn-it-mamanyn-dayyndau-2541033. -Қаралан күні 04.06.2025.</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11. </w:t>
      </w:r>
      <w:hyperlink r:id="rId226">
        <w:r>
          <w:rPr>
            <w:rStyle w:val="Style3"/>
            <w:rFonts w:cs="Times New Roman" w:ascii="Times New Roman" w:hAnsi="Times New Roman"/>
            <w:sz w:val="24"/>
            <w:szCs w:val="24"/>
            <w:lang w:val="kk-KZ"/>
          </w:rPr>
          <w:t>Omirgazy</w:t>
        </w:r>
      </w:hyperlink>
      <w:r>
        <w:rPr>
          <w:rFonts w:cs="Times New Roman" w:ascii="Times New Roman" w:hAnsi="Times New Roman"/>
          <w:sz w:val="24"/>
          <w:szCs w:val="24"/>
          <w:lang w:val="kk-KZ"/>
        </w:rPr>
        <w:t xml:space="preserve"> D. Kazakhstan’s Digital Revolution: From e-Government to AI Superpower/ The Astana Times. -2025. </w:t>
      </w:r>
      <w:r>
        <w:rPr>
          <w:rFonts w:cs="Times New Roman" w:ascii="Times New Roman" w:hAnsi="Times New Roman"/>
          <w:sz w:val="24"/>
          <w:szCs w:val="24"/>
          <w:lang w:val="en-US"/>
        </w:rPr>
        <w:t>URL:</w:t>
      </w:r>
      <w:r>
        <w:rPr>
          <w:rFonts w:cs="Times New Roman" w:ascii="Times New Roman" w:hAnsi="Times New Roman"/>
          <w:sz w:val="24"/>
          <w:szCs w:val="24"/>
          <w:lang w:val="kk-KZ"/>
        </w:rPr>
        <w:t xml:space="preserve"> https://astanatimes.com/2025/07/kazakhstans-digital-revolution-from-e-government-to-ai-superpower/ Date of access: 04.06.2025). [in Russian]</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12. Готовность Казахстана к внедрению ИИ в структуры экономики оценивается как высокая – Жаслан Мадиев/ Официальный информацтонный ресурс Премьер министра РК. -2024. URL: </w:t>
      </w:r>
      <w:hyperlink r:id="rId227">
        <w:r>
          <w:rPr>
            <w:rStyle w:val="Style3"/>
            <w:rFonts w:cs="Times New Roman" w:ascii="Times New Roman" w:hAnsi="Times New Roman"/>
            <w:sz w:val="24"/>
            <w:szCs w:val="24"/>
            <w:lang w:val="kk-KZ"/>
          </w:rPr>
          <w:t>https://primeminister.kz/ru/news/gotovnost-kazakhstana-k-vnedreniyu-ii-v-struktury-ekonomiki-otsenivaetsya-kak-vysokaya-zhaslan-madiev-28790</w:t>
        </w:r>
      </w:hyperlink>
      <w:r>
        <w:rPr>
          <w:rFonts w:cs="Times New Roman" w:ascii="Times New Roman" w:hAnsi="Times New Roman"/>
          <w:sz w:val="24"/>
          <w:szCs w:val="24"/>
          <w:lang w:val="kk-KZ"/>
        </w:rPr>
        <w:t>. -Қаралан күні: 04.06.2025.</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13.Гельманова З.С., Мажитова С. К. Оценка вклада цифровизации в экономический рост // Вестник КазЭУФМТ. -2022. -№1(46). -С. 100-112. DOI 10.52260/2304-7216.2022.1(46).13.</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p>
    <w:p>
      <w:pPr>
        <w:pStyle w:val="Normal"/>
        <w:spacing w:lineRule="auto" w:line="240" w:before="0" w:after="0"/>
        <w:jc w:val="center"/>
        <w:rPr>
          <w:rFonts w:ascii="Times New Roman" w:hAnsi="Times New Roman" w:cs="Times New Roman"/>
          <w:b/>
          <w:sz w:val="24"/>
          <w:szCs w:val="24"/>
          <w:lang w:val="kk-KZ"/>
        </w:rPr>
      </w:pPr>
      <w:r>
        <w:rPr>
          <w:rFonts w:cs="Times New Roman" w:ascii="Times New Roman" w:hAnsi="Times New Roman"/>
          <w:b/>
          <w:sz w:val="24"/>
          <w:szCs w:val="24"/>
          <w:lang w:val="kk-KZ"/>
        </w:rPr>
        <w:t>References</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 Glava gosudarstva prinäl uchastie v mejdunarodnom forume Digital Bridge 2023. 12 oktäbrä 2023 goda. Ofisiälnyi sait Prezidenta RK.URL:https://www.akorda.kz/ru/glava-gosudarstva-prinyal-uchastie-v-mezhdunarodnom-forume-digital-bridge-2023-1294242. Date of access: 04.06.2025). [in Russian]</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2.Ahmatova D.R. Ekonomicheski potensial iskustvennogo intelekta: mirovoi opyt, rosiskaia praktika i perspektivy stran EAES // Ekonomika i upravlenie innovasiami. -2023. -№ 3(26). -S. 15-24. DOI 10.26730/2587-5574-2023-3-15-24. [in Russian]</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xml:space="preserve">3.Proidakov E.M.Sovremennoe sostoianie iskustvennogo intelekta//Naukovedcheskie issledovania. - 2018. -S.129-153. DOI 10.31249/scis/2018.00.09. [in Russian] </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r>
        <w:rPr>
          <w:rFonts w:cs="Times New Roman" w:ascii="Times New Roman" w:hAnsi="Times New Roman"/>
          <w:sz w:val="24"/>
          <w:szCs w:val="24"/>
          <w:lang w:val="kk-KZ"/>
        </w:rPr>
        <w:t xml:space="preserve">4.Lükänov İ.V. İnnovasionnaya ekonomika i iskustvennyi intellekt kak dvijuşie faktory chetvertoi promyşlennoi revolüsii//Ekonomika:vchera, segodnä, zavtra. -2019. -T.9 (7-1). -S.215-224.[in Russian] </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5.Şurina S.V., Danilov A.S.İskustvennyi intellekt kak tehnologicheskaya innovasia dlä uskorenia razvitia ekonomiki //Ekonomika. Nalogi. Pravo.-2019.-T.12 (3).-S.125-133. DOI 10.26794/1999-849X</w:t>
        <w:noBreakHyphen/>
        <w:t>2019-12-3-125-133. [in Russian]</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6. Soni N. et al. Impact of artificial intelligence on businesses: from research, innovation, market deployment to future shifts in business models //arXiv preprint arXiv:1905.02092.- 2019. </w:t>
      </w:r>
      <w:hyperlink r:id="rId228">
        <w:r>
          <w:rPr>
            <w:rStyle w:val="Style3"/>
            <w:rFonts w:cs="Times New Roman" w:ascii="Times New Roman" w:hAnsi="Times New Roman"/>
            <w:sz w:val="24"/>
            <w:szCs w:val="24"/>
            <w:lang w:val="kk-KZ"/>
          </w:rPr>
          <w:br/>
          <w:t>DOI 10.48550/arXiv.1905.02092</w:t>
        </w:r>
      </w:hyperlink>
      <w:r>
        <w:rPr>
          <w:rFonts w:cs="Times New Roman" w:ascii="Times New Roman" w:hAnsi="Times New Roman"/>
          <w:sz w:val="24"/>
          <w:szCs w:val="24"/>
          <w:lang w:val="kk-KZ"/>
        </w:rPr>
        <w:t>.</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7.Kazahstan voşöl v top-50 stran, naibolee podgotovlennyh k vnedreniu İİ/ Ranking.kz. -2024.   </w:t>
      </w:r>
      <w:hyperlink r:id="rId229">
        <w:r>
          <w:rPr>
            <w:rStyle w:val="Style3"/>
            <w:rFonts w:cs="Times New Roman" w:ascii="Times New Roman" w:hAnsi="Times New Roman"/>
            <w:sz w:val="24"/>
            <w:szCs w:val="24"/>
            <w:lang w:val="kk-KZ"/>
          </w:rPr>
          <w:t>URL:https://ranking.kz/reviews/world/kazahstan-voshyol-v-top-50-stran-naibolee-podgotovlennyh-k-vnedreniyu-ii.html</w:t>
        </w:r>
      </w:hyperlink>
      <w:r>
        <w:rPr>
          <w:rFonts w:cs="Times New Roman" w:ascii="Times New Roman" w:hAnsi="Times New Roman"/>
          <w:sz w:val="24"/>
          <w:szCs w:val="24"/>
          <w:lang w:val="kk-KZ"/>
        </w:rPr>
        <w:t>. –Date of access: 04.06.2025. [in Russian]</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8. Perrault R., Clark J. Artificial Intelligence Index Report 2024. </w:t>
      </w:r>
      <w:hyperlink r:id="rId230">
        <w:r>
          <w:rPr>
            <w:rStyle w:val="Style3"/>
            <w:rFonts w:cs="Times New Roman" w:ascii="Times New Roman" w:hAnsi="Times New Roman"/>
            <w:sz w:val="24"/>
            <w:szCs w:val="24"/>
            <w:lang w:val="kk-KZ"/>
          </w:rPr>
          <w:t>URL:https://hai.stanford.edu/assets/files/hai_ai-index-report-2024-smaller2.pdf</w:t>
        </w:r>
      </w:hyperlink>
      <w:r>
        <w:rPr>
          <w:rFonts w:cs="Times New Roman" w:ascii="Times New Roman" w:hAnsi="Times New Roman"/>
          <w:sz w:val="24"/>
          <w:szCs w:val="24"/>
          <w:lang w:val="kk-KZ"/>
        </w:rPr>
        <w:t>. -Date of access: 04.06.2025.</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9. 2023 - 2029 jyldarğa arnalğan sifrlyq transformasia, aqparattyq-komunikasialyq tehnologialar salasyn jäne kiberqauıpsızdıktı damytu tūjyrymdamasyn bekıtu turaly Qazaqstan Respublikasy Ükımetınıñ 2023 jylğy 28 nauryzdağy № 269 qaulysy [in Kazakh]</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10.QR SDİAÖM maqsaty - 2025 jylğa deiın 100 myñ IT-mamanyn daiyndau.24 mamyr 2022.URL:https://primeminister.kz/news/kr-cdiaom-maksaty-2025-zhylga-deyin-100-myn-it-mamanyn-dayyndau-2541033. – Date of access: 04.06.2025. (in Kazakh].</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11. </w:t>
      </w:r>
      <w:hyperlink r:id="rId231">
        <w:r>
          <w:rPr>
            <w:rStyle w:val="Style3"/>
            <w:rFonts w:cs="Times New Roman" w:ascii="Times New Roman" w:hAnsi="Times New Roman"/>
            <w:sz w:val="24"/>
            <w:szCs w:val="24"/>
            <w:lang w:val="kk-KZ"/>
          </w:rPr>
          <w:t>Omirgazy</w:t>
        </w:r>
      </w:hyperlink>
      <w:r>
        <w:rPr>
          <w:rFonts w:cs="Times New Roman" w:ascii="Times New Roman" w:hAnsi="Times New Roman"/>
          <w:sz w:val="24"/>
          <w:szCs w:val="24"/>
          <w:lang w:val="kk-KZ"/>
        </w:rPr>
        <w:t xml:space="preserve"> D. Kazakhstan’s Digital Revolution: From e-Government to AI Superpower/ The Astana Times. -2025. </w:t>
      </w:r>
      <w:r>
        <w:rPr>
          <w:rFonts w:cs="Times New Roman" w:ascii="Times New Roman" w:hAnsi="Times New Roman"/>
          <w:sz w:val="24"/>
          <w:szCs w:val="24"/>
          <w:lang w:val="en-US"/>
        </w:rPr>
        <w:t>URL:</w:t>
      </w:r>
      <w:r>
        <w:rPr>
          <w:rFonts w:cs="Times New Roman" w:ascii="Times New Roman" w:hAnsi="Times New Roman"/>
          <w:sz w:val="24"/>
          <w:szCs w:val="24"/>
          <w:lang w:val="kk-KZ"/>
        </w:rPr>
        <w:t xml:space="preserve"> https://astanatimes.com/2025/07/kazakhstans-digital-revolution-from-e-government-to-ai-superpower/ Date of access: 04.06.2025). [in Russian]</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12.Gotovnöst Kazahstana k vnedreniu İİ v struktury ekonomiki osenivaetsä kak vysokaia – Jaslan Madiev/ Ofisiälnyi informastonnyi resurs Premer ministra RK. -2024 .URL: </w:t>
      </w:r>
      <w:hyperlink r:id="rId232">
        <w:r>
          <w:rPr>
            <w:rStyle w:val="Style3"/>
            <w:rFonts w:cs="Times New Roman" w:ascii="Times New Roman" w:hAnsi="Times New Roman"/>
            <w:sz w:val="24"/>
            <w:szCs w:val="24"/>
            <w:lang w:val="kk-KZ"/>
          </w:rPr>
          <w:t>https://primeminister.kz/ru/news/gotovnost-kazakhstana-k-vnedreniyu-ii-v-struktury-ekonomiki-otsenivaetsya-kak-vysokaya-zhaslan-madiev-28790</w:t>
        </w:r>
      </w:hyperlink>
      <w:r>
        <w:rPr>
          <w:rFonts w:cs="Times New Roman" w:ascii="Times New Roman" w:hAnsi="Times New Roman"/>
          <w:sz w:val="24"/>
          <w:szCs w:val="24"/>
          <w:lang w:val="kk-KZ"/>
        </w:rPr>
        <w:t xml:space="preserve">. – Date of access: 04.06.2025. [in Russian] </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t>13.Gelmanova Z.S., Majitova S. K. Osenka vklada sifrovizasii v ekonomicheski rost // Vestnik KazEUFMT. -2022. -№1(46). -S 100-112. DOI 10.52260/2304-7216.2022.1(46).13.</w:t>
      </w:r>
    </w:p>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eastAsia="Times New Roman" w:cs="Times New Roman"/>
          <w:b/>
          <w:i/>
          <w:i/>
          <w:iCs/>
          <w:sz w:val="20"/>
          <w:szCs w:val="20"/>
          <w:lang w:val="kk-KZ" w:eastAsia="ru-RU"/>
        </w:rPr>
      </w:pPr>
      <w:r>
        <w:rPr>
          <w:rFonts w:eastAsia="Times New Roman" w:cs="Times New Roman" w:ascii="Times New Roman" w:hAnsi="Times New Roman"/>
          <w:b/>
          <w:i/>
          <w:iCs/>
          <w:sz w:val="20"/>
          <w:szCs w:val="20"/>
          <w:lang w:val="kk-KZ" w:eastAsia="ru-RU"/>
        </w:rPr>
        <w:t xml:space="preserve">Авторлар туралы мәліметтер </w:t>
      </w:r>
    </w:p>
    <w:p>
      <w:pPr>
        <w:pStyle w:val="Normal"/>
        <w:spacing w:lineRule="auto" w:line="240" w:before="0" w:after="0"/>
        <w:ind w:firstLine="567"/>
        <w:jc w:val="both"/>
        <w:rPr>
          <w:rFonts w:ascii="Times New Roman" w:hAnsi="Times New Roman" w:eastAsia="Times New Roman" w:cs="Times New Roman"/>
          <w:b/>
          <w:i/>
          <w:i/>
          <w:iCs/>
          <w:sz w:val="20"/>
          <w:szCs w:val="20"/>
          <w:lang w:val="kk-KZ" w:eastAsia="ru-RU"/>
        </w:rPr>
      </w:pPr>
      <w:r>
        <w:rPr>
          <w:rFonts w:eastAsia="Times New Roman" w:cs="Times New Roman" w:ascii="Times New Roman" w:hAnsi="Times New Roman"/>
          <w:b/>
          <w:i/>
          <w:iCs/>
          <w:sz w:val="20"/>
          <w:szCs w:val="20"/>
          <w:lang w:val="kk-KZ" w:eastAsia="ru-RU"/>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 xml:space="preserve">Умарова Г.Х. - аға оқытушы, экономика магистрі, М.Әуезов атындағы Оңтүстік Қазақстан университеті, Шымкент, Қазақстан, e-mail: </w:t>
      </w:r>
      <w:hyperlink r:id="rId233">
        <w:r>
          <w:rPr>
            <w:rStyle w:val="Style3"/>
            <w:rFonts w:cs="Times New Roman" w:ascii="Times New Roman" w:hAnsi="Times New Roman"/>
            <w:sz w:val="20"/>
            <w:szCs w:val="20"/>
            <w:lang w:val="kk-KZ"/>
          </w:rPr>
          <w:t>guh_umarova@mail.ru</w:t>
        </w:r>
      </w:hyperlink>
      <w:r>
        <w:rPr>
          <w:rFonts w:cs="Times New Roman" w:ascii="Times New Roman" w:hAnsi="Times New Roman"/>
          <w:sz w:val="20"/>
          <w:szCs w:val="20"/>
          <w:lang w:val="kk-KZ"/>
        </w:rPr>
        <w:t>;</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 xml:space="preserve">Кожамкулова И.Е. - э.ғ.к., доцент м.а., М.Әуезов атындағы Оңтүстік Қазақстан университеті, Шымкент, Қазақстан, e-mail: </w:t>
      </w:r>
      <w:hyperlink r:id="rId234">
        <w:r>
          <w:rPr>
            <w:rStyle w:val="Style3"/>
            <w:rFonts w:cs="Times New Roman" w:ascii="Times New Roman" w:hAnsi="Times New Roman"/>
            <w:sz w:val="20"/>
            <w:szCs w:val="20"/>
            <w:lang w:val="kk-KZ"/>
          </w:rPr>
          <w:t>indira76.00@mail.ru</w:t>
        </w:r>
      </w:hyperlink>
      <w:r>
        <w:rPr>
          <w:rFonts w:cs="Times New Roman" w:ascii="Times New Roman" w:hAnsi="Times New Roman"/>
          <w:sz w:val="20"/>
          <w:szCs w:val="20"/>
          <w:lang w:val="kk-KZ"/>
        </w:rPr>
        <w:t>;</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Мауленкулова Г.Е. - М.Әуезов атындағы Оңтүстік Қазақстан университеті, Шымкент, Қазақстан, e-mail:maylenkylova@mail.ru;</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 xml:space="preserve">Онласынов Е.З.- э.ғ.к., доцент м.а., экономика ғылымдарының кандидаты,  Орталық Азия Инновациялық университеті, Шымкент, Қазақстан, e-mail: </w:t>
      </w:r>
      <w:hyperlink r:id="rId235">
        <w:r>
          <w:rPr>
            <w:rStyle w:val="Style3"/>
            <w:rFonts w:cs="Times New Roman" w:ascii="Times New Roman" w:hAnsi="Times New Roman"/>
            <w:sz w:val="20"/>
            <w:szCs w:val="20"/>
            <w:lang w:val="kk-KZ"/>
          </w:rPr>
          <w:t>erlan72@gmail.com</w:t>
        </w:r>
      </w:hyperlink>
      <w:r>
        <w:rPr>
          <w:rFonts w:cs="Times New Roman" w:ascii="Times New Roman" w:hAnsi="Times New Roman"/>
          <w:sz w:val="20"/>
          <w:szCs w:val="20"/>
          <w:lang w:val="kk-KZ"/>
        </w:rPr>
        <w:t>.</w:t>
      </w:r>
    </w:p>
    <w:p>
      <w:pPr>
        <w:pStyle w:val="Normal"/>
        <w:spacing w:lineRule="auto" w:line="240" w:before="0" w:after="0"/>
        <w:jc w:val="both"/>
        <w:rPr>
          <w:rFonts w:ascii="Times New Roman" w:hAnsi="Times New Roman" w:eastAsia="Times New Roman" w:cs="Times New Roman"/>
          <w:sz w:val="20"/>
          <w:szCs w:val="20"/>
          <w:lang w:val="kk-KZ" w:eastAsia="zh-CN" w:bidi="ar-SA"/>
        </w:rPr>
      </w:pPr>
      <w:r>
        <w:rPr>
          <w:rFonts w:eastAsia="Times New Roman" w:cs="Times New Roman" w:ascii="Times New Roman" w:hAnsi="Times New Roman"/>
          <w:sz w:val="20"/>
          <w:szCs w:val="20"/>
          <w:lang w:val="kk-KZ" w:eastAsia="zh-CN" w:bidi="ar-SA"/>
        </w:rPr>
      </w:r>
    </w:p>
    <w:p>
      <w:pPr>
        <w:pStyle w:val="Normal"/>
        <w:spacing w:lineRule="auto" w:line="240" w:before="0" w:after="0"/>
        <w:ind w:firstLine="708"/>
        <w:jc w:val="both"/>
        <w:rPr>
          <w:rFonts w:ascii="Times New Roman" w:hAnsi="Times New Roman" w:eastAsia="Times New Roman" w:cs="Times New Roman"/>
          <w:b/>
          <w:i/>
          <w:i/>
          <w:sz w:val="20"/>
          <w:szCs w:val="20"/>
          <w:lang w:val="kk-KZ" w:eastAsia="ru-RU"/>
        </w:rPr>
      </w:pPr>
      <w:r>
        <w:rPr>
          <w:rFonts w:eastAsia="Times New Roman" w:cs="Times New Roman" w:ascii="Times New Roman" w:hAnsi="Times New Roman"/>
          <w:b/>
          <w:i/>
          <w:sz w:val="20"/>
          <w:szCs w:val="20"/>
          <w:lang w:val="kk-KZ" w:eastAsia="ru-RU"/>
        </w:rPr>
        <w:t>Information about the authors</w:t>
      </w:r>
    </w:p>
    <w:p>
      <w:pPr>
        <w:pStyle w:val="Normal"/>
        <w:spacing w:lineRule="auto" w:line="240" w:before="0" w:after="0"/>
        <w:ind w:firstLine="708"/>
        <w:jc w:val="both"/>
        <w:rPr>
          <w:rFonts w:ascii="Times New Roman" w:hAnsi="Times New Roman" w:eastAsia="Times New Roman" w:cs="Times New Roman"/>
          <w:b/>
          <w:i/>
          <w:i/>
          <w:sz w:val="20"/>
          <w:szCs w:val="20"/>
          <w:lang w:val="kk-KZ" w:eastAsia="ru-RU"/>
        </w:rPr>
      </w:pPr>
      <w:r>
        <w:rPr>
          <w:rFonts w:eastAsia="Times New Roman" w:cs="Times New Roman" w:ascii="Times New Roman" w:hAnsi="Times New Roman"/>
          <w:b/>
          <w:i/>
          <w:sz w:val="20"/>
          <w:szCs w:val="20"/>
          <w:lang w:val="kk-KZ" w:eastAsia="ru-RU"/>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Umarova G.H. - Senior Lecturer, Master of Economics, M.Auezov South Kazakhstan University, Shymkent, Kazakhstan, e-mail:guh_umarova@mail.ru;</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 xml:space="preserve">Kozhamkulova I.E. - Candidate of Economic Sciences, Associate Professor, M.Auezov South Kazakhstan University, Shymkent, Kazakhstan, e-mail: </w:t>
      </w:r>
      <w:hyperlink r:id="rId236">
        <w:r>
          <w:rPr>
            <w:rStyle w:val="Style3"/>
            <w:rFonts w:cs="Times New Roman" w:ascii="Times New Roman" w:hAnsi="Times New Roman"/>
            <w:sz w:val="20"/>
            <w:szCs w:val="20"/>
            <w:lang w:val="kk-KZ"/>
          </w:rPr>
          <w:t>indira76.00@mail.ru</w:t>
        </w:r>
      </w:hyperlink>
      <w:r>
        <w:rPr>
          <w:rFonts w:cs="Times New Roman" w:ascii="Times New Roman" w:hAnsi="Times New Roman"/>
          <w:sz w:val="20"/>
          <w:szCs w:val="20"/>
          <w:lang w:val="kk-KZ"/>
        </w:rPr>
        <w:t>;</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 xml:space="preserve">Maulenkulova G.E. - M.Auezov South Kazakhstan University, Shymkent, Kazakhstan, e-mail: </w:t>
      </w:r>
      <w:hyperlink r:id="rId237">
        <w:r>
          <w:rPr>
            <w:rStyle w:val="Style3"/>
            <w:rFonts w:cs="Times New Roman" w:ascii="Times New Roman" w:hAnsi="Times New Roman"/>
            <w:sz w:val="20"/>
            <w:szCs w:val="20"/>
            <w:lang w:val="kk-KZ"/>
          </w:rPr>
          <w:t>maylenkylova@mail.ru</w:t>
        </w:r>
      </w:hyperlink>
      <w:r>
        <w:rPr>
          <w:rFonts w:cs="Times New Roman" w:ascii="Times New Roman" w:hAnsi="Times New Roman"/>
          <w:sz w:val="20"/>
          <w:szCs w:val="20"/>
          <w:lang w:val="kk-KZ"/>
        </w:rPr>
        <w:t>;</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 xml:space="preserve">Onlasynov E.Z. - Candidate of Economic Sciences, Associate Professor, Candidate of Economic Sciences, Central Asian Innovation University, Shymkent, Kazakhstan, e-mail: </w:t>
      </w:r>
      <w:hyperlink r:id="rId238">
        <w:r>
          <w:rPr>
            <w:rStyle w:val="Style3"/>
            <w:rFonts w:cs="Times New Roman" w:ascii="Times New Roman" w:hAnsi="Times New Roman"/>
            <w:sz w:val="20"/>
            <w:szCs w:val="20"/>
            <w:lang w:val="kk-KZ"/>
          </w:rPr>
          <w:t>erlan72@gmail.com</w:t>
        </w:r>
      </w:hyperlink>
      <w:r>
        <w:rPr>
          <w:rFonts w:cs="Times New Roman" w:ascii="Times New Roman" w:hAnsi="Times New Roman"/>
          <w:sz w:val="20"/>
          <w:szCs w:val="20"/>
          <w:lang w:val="kk-KZ"/>
        </w:rPr>
        <w:t>.</w:t>
      </w:r>
    </w:p>
    <w:p>
      <w:pPr>
        <w:pStyle w:val="Normal"/>
        <w:tabs>
          <w:tab w:val="clear" w:pos="708"/>
          <w:tab w:val="left" w:pos="8030" w:leader="none"/>
        </w:tabs>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rPr>
          <w:lang w:val="kk-KZ"/>
        </w:rPr>
      </w:pPr>
      <w:r>
        <w:rPr>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b/>
          <w:bCs/>
          <w:i/>
          <w:i/>
          <w:sz w:val="20"/>
          <w:szCs w:val="20"/>
          <w:lang w:val="en-US"/>
        </w:rPr>
      </w:pPr>
      <w:r>
        <w:rPr>
          <w:rFonts w:cs="Times New Roman" w:ascii="Times New Roman" w:hAnsi="Times New Roman"/>
          <w:b/>
          <w:bCs/>
          <w:i/>
          <w:sz w:val="20"/>
          <w:szCs w:val="20"/>
          <w:lang w:val="en-US"/>
        </w:rPr>
      </w:r>
    </w:p>
    <w:p>
      <w:pPr>
        <w:pStyle w:val="Normal"/>
        <w:spacing w:lineRule="auto" w:line="240" w:before="0" w:after="0"/>
        <w:rPr>
          <w:rFonts w:ascii="Times New Roman" w:hAnsi="Times New Roman" w:eastAsia="Times New Roman" w:cs="Times New Roman"/>
          <w:lang w:val="en-US" w:eastAsia="ru-RU"/>
        </w:rPr>
      </w:pPr>
      <w:r>
        <w:rPr>
          <w:rFonts w:eastAsia="Times New Roman" w:cs="Times New Roman" w:ascii="Times New Roman" w:hAnsi="Times New Roman"/>
          <w:lang w:val="kk-KZ" w:eastAsia="ru-RU"/>
        </w:rPr>
        <w:t>IRSTI</w:t>
      </w:r>
      <w:r>
        <w:rPr>
          <w:rFonts w:eastAsia="Times New Roman" w:cs="Times New Roman" w:ascii="Times New Roman" w:hAnsi="Times New Roman"/>
          <w:lang w:val="en-US" w:eastAsia="ru-RU"/>
        </w:rPr>
        <w:t xml:space="preserve"> 06.02.13</w:t>
      </w:r>
    </w:p>
    <w:p>
      <w:pPr>
        <w:pStyle w:val="Normal"/>
        <w:spacing w:lineRule="auto" w:line="240" w:before="0" w:after="0"/>
        <w:rPr>
          <w:rFonts w:ascii="Times New Roman" w:hAnsi="Times New Roman" w:eastAsia="Times New Roman" w:cs="Times New Roman"/>
          <w:b/>
          <w:lang w:val="en-US" w:eastAsia="ru-RU"/>
        </w:rPr>
      </w:pPr>
      <w:r>
        <w:rPr>
          <w:rFonts w:eastAsia="Times New Roman" w:cs="Times New Roman" w:ascii="Times New Roman" w:hAnsi="Times New Roman"/>
          <w:b/>
          <w:lang w:val="en-US" w:eastAsia="ru-RU"/>
        </w:rPr>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DIGITALIZATION OF SCIENCE AS A TOOL FOR INCREASING THE COMPETITIVENESS OF THE ECONOMY OF THE REPUBLIC OF KAZAKHSTAN</w:t>
      </w:r>
    </w:p>
    <w:p>
      <w:pPr>
        <w:pStyle w:val="Normal"/>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Web"/>
        <w:spacing w:lineRule="auto" w:line="240" w:before="0" w:after="0"/>
        <w:jc w:val="center"/>
        <w:rPr>
          <w:rFonts w:eastAsia="Times New Roman"/>
          <w:lang w:val="kk-KZ" w:eastAsia="ru-RU"/>
        </w:rPr>
      </w:pPr>
      <w:r>
        <w:rPr>
          <w:b/>
          <w:lang w:val="kk-KZ"/>
        </w:rPr>
        <w:t>D.A.Turganbayev</w:t>
      </w:r>
      <w:r>
        <w:rPr/>
        <w:drawing>
          <wp:inline distT="0" distB="0" distL="0" distR="0">
            <wp:extent cx="137160" cy="137160"/>
            <wp:effectExtent l="0" t="0" r="0" b="0"/>
            <wp:docPr id="41" name="Рисунок 45" descr="D:\Desktop\иконка.png">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5" descr="D:\Desktop\иконка.png">
                      <a:hlinkClick r:id="rId240"/>
                    </pic:cNvPr>
                    <pic:cNvPicPr>
                      <a:picLocks noChangeAspect="1" noChangeArrowheads="1"/>
                    </pic:cNvPicPr>
                  </pic:nvPicPr>
                  <pic:blipFill>
                    <a:blip r:embed="rId239"/>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lang w:val="kk-KZ"/>
        </w:rPr>
        <w:t>,B.K. Isayeva</w:t>
      </w:r>
      <w:r>
        <w:rPr/>
        <w:drawing>
          <wp:inline distT="0" distB="0" distL="0" distR="0">
            <wp:extent cx="137160" cy="137160"/>
            <wp:effectExtent l="0" t="0" r="0" b="0"/>
            <wp:docPr id="42" name="Рисунок 46" descr="D:\Desktop\иконка.png">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6" descr="D:\Desktop\иконка.png">
                      <a:hlinkClick r:id="rId242"/>
                    </pic:cNvPr>
                    <pic:cNvPicPr>
                      <a:picLocks noChangeAspect="1" noChangeArrowheads="1"/>
                    </pic:cNvPicPr>
                  </pic:nvPicPr>
                  <pic:blipFill>
                    <a:blip r:embed="rId241"/>
                    <a:stretch>
                      <a:fillRect/>
                    </a:stretch>
                  </pic:blipFill>
                  <pic:spPr bwMode="auto">
                    <a:xfrm>
                      <a:off x="0" y="0"/>
                      <a:ext cx="137160" cy="137160"/>
                    </a:xfrm>
                    <a:prstGeom prst="rect">
                      <a:avLst/>
                    </a:prstGeom>
                    <a:noFill/>
                  </pic:spPr>
                </pic:pic>
              </a:graphicData>
            </a:graphic>
          </wp:inline>
        </w:drawing>
      </w:r>
      <w:r>
        <w:rPr>
          <w:b/>
          <w:lang w:val="kk-KZ"/>
        </w:rPr>
        <w:t>, M.O. Keznhegul</w:t>
      </w:r>
      <w:r>
        <w:rPr/>
        <w:drawing>
          <wp:inline distT="0" distB="0" distL="0" distR="0">
            <wp:extent cx="137160" cy="137160"/>
            <wp:effectExtent l="0" t="0" r="0" b="0"/>
            <wp:docPr id="43" name="Рисунок 47" descr="D:\Desktop\иконка.png">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7" descr="D:\Desktop\иконка.png">
                      <a:hlinkClick r:id="rId244"/>
                    </pic:cNvPr>
                    <pic:cNvPicPr>
                      <a:picLocks noChangeAspect="1" noChangeArrowheads="1"/>
                    </pic:cNvPicPr>
                  </pic:nvPicPr>
                  <pic:blipFill>
                    <a:blip r:embed="rId243"/>
                    <a:stretch>
                      <a:fillRect/>
                    </a:stretch>
                  </pic:blipFill>
                  <pic:spPr bwMode="auto">
                    <a:xfrm>
                      <a:off x="0" y="0"/>
                      <a:ext cx="137160" cy="137160"/>
                    </a:xfrm>
                    <a:prstGeom prst="rect">
                      <a:avLst/>
                    </a:prstGeom>
                    <a:noFill/>
                  </pic:spPr>
                </pic:pic>
              </a:graphicData>
            </a:graphic>
          </wp:inline>
        </w:drawing>
      </w:r>
      <w:r>
        <w:rPr>
          <w:b/>
          <w:lang w:val="kk-KZ"/>
        </w:rPr>
        <w:t xml:space="preserve">, </w:t>
      </w:r>
      <w:r>
        <w:rPr>
          <w:b/>
          <w:bCs/>
          <w:lang w:val="kk-KZ"/>
        </w:rPr>
        <w:t>D.A. Seithozhina</w:t>
      </w:r>
      <w:r>
        <w:rPr/>
        <w:drawing>
          <wp:inline distT="0" distB="0" distL="0" distR="0">
            <wp:extent cx="137160" cy="137160"/>
            <wp:effectExtent l="0" t="0" r="0" b="0"/>
            <wp:docPr id="44" name="Рисунок 48" descr="D:\Desktop\иконка.png">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8" descr="D:\Desktop\иконка.png">
                      <a:hlinkClick r:id="rId246"/>
                    </pic:cNvPr>
                    <pic:cNvPicPr>
                      <a:picLocks noChangeAspect="1" noChangeArrowheads="1"/>
                    </pic:cNvPicPr>
                  </pic:nvPicPr>
                  <pic:blipFill>
                    <a:blip r:embed="rId245"/>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bCs/>
          <w:i/>
          <w:i/>
          <w:iCs/>
          <w:sz w:val="20"/>
          <w:szCs w:val="20"/>
          <w:lang w:val="en-US"/>
        </w:rPr>
      </w:pPr>
      <w:r>
        <w:rPr>
          <w:rFonts w:cs="Times New Roman" w:ascii="Times New Roman" w:hAnsi="Times New Roman"/>
          <w:i/>
          <w:iCs/>
          <w:sz w:val="20"/>
          <w:szCs w:val="20"/>
          <w:lang w:val="en-US"/>
        </w:rPr>
        <w:t>L.N. Gumilyov Eurasian National University</w:t>
      </w:r>
      <w:r>
        <w:rPr>
          <w:rFonts w:cs="Times New Roman" w:ascii="Times New Roman" w:hAnsi="Times New Roman"/>
          <w:i/>
          <w:iCs/>
          <w:sz w:val="20"/>
          <w:szCs w:val="20"/>
          <w:lang w:val="kk-KZ"/>
        </w:rPr>
        <w:t>,</w:t>
      </w:r>
      <w:r>
        <w:rPr>
          <w:rFonts w:cs="Times New Roman" w:ascii="Times New Roman" w:hAnsi="Times New Roman"/>
          <w:i/>
          <w:iCs/>
          <w:sz w:val="20"/>
          <w:szCs w:val="20"/>
          <w:lang w:val="en-US"/>
        </w:rPr>
        <w:t xml:space="preserve"> Astana, Kazakhstan</w:t>
      </w:r>
    </w:p>
    <w:p>
      <w:pPr>
        <w:pStyle w:val="Normal"/>
        <w:spacing w:lineRule="auto" w:line="240" w:before="0" w:after="0"/>
        <w:rPr>
          <w:rFonts w:cs="" w:asciiTheme="majorBidi" w:cstheme="majorBidi" w:hAnsiTheme="majorBidi"/>
          <w:bCs/>
          <w:i/>
          <w:i/>
          <w:iCs/>
          <w:sz w:val="20"/>
          <w:szCs w:val="20"/>
          <w:lang w:val="en-US"/>
        </w:rPr>
      </w:pPr>
      <w:r>
        <w:rPr>
          <w:rFonts w:cs="" w:asciiTheme="majorBidi" w:cstheme="majorBidi" w:hAnsiTheme="majorBidi"/>
          <w:bCs/>
          <w:i/>
          <w:iCs/>
          <w:sz w:val="20"/>
          <w:szCs w:val="20"/>
          <w:lang w:val="en-US"/>
        </w:rPr>
      </w:r>
    </w:p>
    <w:p>
      <w:pPr>
        <w:pStyle w:val="Normal"/>
        <w:spacing w:lineRule="auto" w:line="240" w:before="0" w:after="0"/>
        <w:rPr>
          <w:rStyle w:val="Hyperlink"/>
          <w:rFonts w:ascii="Times New Roman" w:hAnsi="Times New Roman" w:cs="Times New Roman"/>
          <w:iCs/>
          <w:lang w:val="en-US"/>
        </w:rPr>
      </w:pPr>
      <w:r>
        <w:rPr>
          <w:rFonts w:eastAsia="Wingdings" w:cs="Wingdings" w:ascii="Wingdings" w:hAnsi="Wingdings"/>
          <w:b/>
          <w:bCs/>
          <w:color w:val="1F497D"/>
          <w:vertAlign w:val="superscript"/>
        </w:rPr>
        <w:sym w:font="Wingdings" w:char="f02a"/>
      </w:r>
      <w:r>
        <w:rPr>
          <w:rFonts w:cs="Times New Roman" w:ascii="Times New Roman" w:hAnsi="Times New Roman"/>
          <w:bCs/>
          <w:iCs/>
          <w:lang w:val="en-US"/>
        </w:rPr>
        <w:t>Correspondent-author:</w:t>
      </w:r>
      <w:r>
        <w:rPr>
          <w:rFonts w:cs="Times New Roman" w:ascii="Times New Roman" w:hAnsi="Times New Roman"/>
          <w:iCs/>
          <w:lang w:val="en-US"/>
        </w:rPr>
        <w:t xml:space="preserve"> </w:t>
      </w:r>
      <w:hyperlink r:id="rId247">
        <w:r>
          <w:rPr>
            <w:rStyle w:val="Hyperlink"/>
            <w:rFonts w:cs="Times New Roman" w:ascii="Times New Roman" w:hAnsi="Times New Roman"/>
            <w:iCs/>
            <w:color w:val="auto"/>
            <w:u w:val="none"/>
            <w:lang w:val="en-US"/>
          </w:rPr>
          <w:t>dos_25.97@mail.ru</w:t>
        </w:r>
      </w:hyperlink>
    </w:p>
    <w:p>
      <w:pPr>
        <w:pStyle w:val="Normal"/>
        <w:spacing w:lineRule="auto" w:line="240" w:before="0" w:after="0"/>
        <w:jc w:val="center"/>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en-US" w:eastAsia="ru-RU"/>
        </w:rPr>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ab/>
        <w:t>In modern conditions of global competition and rapid technological development, the digitalization of science is becoming particularly important as a factor in increasing economic competitiveness. The purpose of this study is to determine and quantify the impact of the digitalization of the scientific sphere on the growth of the digital competitiveness of the economy of the Republic of Kazakhstan. The relevance of the topic is due to the need for an accelerated transition to a knowledge economy, where science and technology are the main sources of added value growth, the development of high-tech industries and investment attraction. Kazakhstan, despite the existence of digital development and scientific modernization strategies, faces a number of limitations: fragmented digital infrastructure, weak integration of science and business, insufficient level of digital competencies among scientific personnel. In the course of the study, a comparative analysis of the experience of the Republic of Korea was carried out, econometric modeling methods were applied, and an integral index of the digitalization of science was developed. The model revealed a stable positive relationship between the level of digitalization of scientific infrastructure and the country's position in the global ranking of digital competitiveness. It has been established that even with a moderate increase in digitalization, it is possible to significantly strengthen the innovation potential and increase the efficiency of research and development (R&amp;D). The results confirm the need to implement a holistic government policy on the digital transformation of the scientific field, including process automation, the development of digital platforms, cooperation with business, and strengthening the digital skills of researchers. The findings can serve as a basis for the formation of strategies for scientific, technological and economic development of Kazakhstan in the context of global digital trends.</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kk-KZ" w:eastAsia="ru-RU"/>
        </w:rPr>
        <w:tab/>
      </w:r>
      <w:r>
        <w:rPr>
          <w:rFonts w:eastAsia="Times New Roman" w:cs="Times New Roman" w:ascii="Times New Roman" w:hAnsi="Times New Roman"/>
          <w:b/>
          <w:sz w:val="24"/>
          <w:szCs w:val="24"/>
          <w:lang w:val="en-US" w:eastAsia="ru-RU"/>
        </w:rPr>
        <w:t>Keywords:</w:t>
      </w:r>
      <w:r>
        <w:rPr>
          <w:rFonts w:eastAsia="Times New Roman" w:cs="Times New Roman" w:ascii="Times New Roman" w:hAnsi="Times New Roman"/>
          <w:sz w:val="24"/>
          <w:szCs w:val="24"/>
          <w:lang w:val="en-US" w:eastAsia="ru-RU"/>
        </w:rPr>
        <w:t xml:space="preserve"> digitalization, infrastructure, science, economics, innovation, investment, artificial intelligence.</w:t>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t>ҒЫЛЫМДЫ ЦИФРЛАНДЫРУ ҚАЗАҚСТАН РЕСПУБЛИКАСЫНЫҢ ЭКОНОМИКАСЫНЫҢ БӘСЕКЕГЕ ҚАБІЛЕТТІЛІГІН АРТТЫРУ ҚҰРАЛЫ РЕТІНДЕ</w:t>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p>
      <w:pPr>
        <w:pStyle w:val="NormalWeb"/>
        <w:spacing w:before="0" w:after="0"/>
        <w:jc w:val="center"/>
        <w:rPr>
          <w:b/>
          <w:sz w:val="22"/>
          <w:szCs w:val="22"/>
          <w:lang w:val="kk-KZ"/>
        </w:rPr>
      </w:pPr>
      <w:r>
        <w:rPr>
          <w:b/>
          <w:sz w:val="22"/>
          <w:szCs w:val="22"/>
          <w:lang w:val="kk-KZ"/>
        </w:rPr>
        <w:t>Д.Ә. Турғанбаев</w:t>
      </w:r>
      <w:r>
        <w:rPr>
          <w:rFonts w:eastAsia="Wingdings" w:cs="Wingdings" w:ascii="Wingdings" w:hAnsi="Wingdings"/>
          <w:b/>
          <w:bCs/>
          <w:color w:val="1F497D"/>
          <w:sz w:val="22"/>
          <w:szCs w:val="22"/>
          <w:vertAlign w:val="superscript"/>
        </w:rPr>
        <w:sym w:font="Wingdings" w:char="f02a"/>
      </w:r>
      <w:r>
        <w:rPr>
          <w:b/>
          <w:sz w:val="22"/>
          <w:szCs w:val="22"/>
          <w:lang w:val="kk-KZ"/>
        </w:rPr>
        <w:t>, Б.К.Исаева, М.О.Кенжеғұл, Д.А.Сейтхожина</w:t>
      </w:r>
    </w:p>
    <w:p>
      <w:pPr>
        <w:pStyle w:val="NormalWeb"/>
        <w:spacing w:before="0" w:after="0"/>
        <w:jc w:val="center"/>
        <w:rPr>
          <w:i/>
          <w:i/>
          <w:iCs/>
          <w:sz w:val="20"/>
          <w:lang w:val="kk-KZ"/>
        </w:rPr>
      </w:pPr>
      <w:r>
        <w:rPr>
          <w:i/>
          <w:iCs/>
          <w:sz w:val="20"/>
          <w:lang w:val="kk-KZ"/>
        </w:rPr>
        <w:t>Л.Н. Гумилев атындағы Еуразия ұлттық университеті, Астана,</w:t>
      </w:r>
      <w:r>
        <w:rPr>
          <w:i/>
          <w:sz w:val="20"/>
          <w:lang w:val="kk-KZ"/>
        </w:rPr>
        <w:t xml:space="preserve"> Қазақстан,</w:t>
      </w:r>
    </w:p>
    <w:p>
      <w:pPr>
        <w:pStyle w:val="NormalWeb"/>
        <w:spacing w:before="0" w:after="0"/>
        <w:jc w:val="center"/>
        <w:rPr>
          <w:iCs/>
          <w:sz w:val="22"/>
          <w:szCs w:val="22"/>
          <w:lang w:val="kk-KZ"/>
        </w:rPr>
      </w:pPr>
      <w:r>
        <w:rPr>
          <w:iCs/>
          <w:sz w:val="22"/>
          <w:szCs w:val="22"/>
          <w:lang w:val="kk-KZ"/>
        </w:rPr>
        <w:t xml:space="preserve">e-mail: </w:t>
      </w:r>
      <w:hyperlink r:id="rId248">
        <w:r>
          <w:rPr>
            <w:rStyle w:val="Hyperlink"/>
            <w:iCs/>
            <w:color w:val="auto"/>
            <w:sz w:val="22"/>
            <w:szCs w:val="22"/>
            <w:u w:val="none"/>
            <w:lang w:val="kk-KZ"/>
          </w:rPr>
          <w:t>dos_25.97@mail.ru</w:t>
        </w:r>
      </w:hyperlink>
    </w:p>
    <w:p>
      <w:pPr>
        <w:pStyle w:val="Normal"/>
        <w:spacing w:lineRule="auto" w:line="240" w:before="0" w:after="0"/>
        <w:rPr>
          <w:rFonts w:ascii="Times New Roman" w:hAnsi="Times New Roman" w:eastAsia="Times New Roman" w:cs="Times New Roman"/>
          <w:sz w:val="20"/>
          <w:szCs w:val="20"/>
          <w:lang w:val="kk-KZ" w:eastAsia="ru-RU"/>
        </w:rPr>
      </w:pPr>
      <w:r>
        <w:rPr>
          <w:rFonts w:eastAsia="Times New Roman" w:cs="Times New Roman" w:ascii="Times New Roman" w:hAnsi="Times New Roman"/>
          <w:sz w:val="20"/>
          <w:szCs w:val="20"/>
          <w:lang w:val="kk-KZ" w:eastAsia="ru-RU"/>
        </w:rPr>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ab/>
        <w:t>Әлемдік бәсекелестік пен жедел дамып келе жатқан технологиялық дамудың қазіргі жағдайында ғылым саласын цифрландырулар экономиканың бәсекеге қабілеттілігін арттыру факторы ретінде маңызды болып табылады. Зерттеудің мақсаты</w:t>
      </w:r>
      <w:r>
        <w:rPr>
          <w:lang w:val="kk-KZ"/>
        </w:rPr>
        <w:t xml:space="preserve"> </w:t>
      </w:r>
      <w:r>
        <w:rPr>
          <w:rFonts w:eastAsia="Times New Roman" w:cs="Times New Roman" w:ascii="Times New Roman" w:hAnsi="Times New Roman"/>
          <w:sz w:val="24"/>
          <w:szCs w:val="24"/>
          <w:lang w:val="kk-KZ" w:eastAsia="ru-RU"/>
        </w:rPr>
        <w:t>ғылым салаларын цифрландырудың Қазақстан экономикасындағы цифрлық бәсекелестікке қабілеттілігінің артуына әсерлерін анықтау және сандық негіздеу болып табылады. Тақырыптың өзектілігі білім экономикасына жедел көшу қажеттілігімен байланысты, мұнда ғылым мен технология қосылған құнның өсуінің, жоғары технологиялық салалардың дамуының және инвестицияларды тартудың негізгі көзі болып табылады. Қазақстан цифрлық даму және ғылыми жаңғырту стратегияларының болуына қарамастан бірқатар шектеулерге тап болады: цифрлық инфрақұрылымның бөлшектенуі, ғылым мен бизнестің әлсіз интеграциясы, ғылыми кадрларда цифрлық құзыреттіліктің жеткіліксіз деңгейі. Зерттеу барысында Корея Республикасының тәжірибесіне салыстырмалы талдау жүргізілді, эконометрикалық модельдеу әдістері қолданылды, ғылымды цифрландырудың интегралды индексі әзірленді. Модель ғылыми инфрақұрылымды цифрландыру деңгейі мен цифрлық бәсекеге қабілеттіліктің жаһандық рейтингіндегі елдің позициясы арасындағы тұрақты оң байланысты анықтауға мүмкіндік берді. Цифрландырудың қалыпты өсуімен де инновациялық әлеуетті едәуір күшейтуге және ғылыми-зерттеу және тәжірибелік-конструкторлық жұмыстардың (ҒЗТКЖ) тиімділігін арттыруға болатындығы анықталды. Нәтижелер процестерді автоматтандыруды, цифрлық платформаларды дамытуды, бизнеспен кооперацияны және зерттеушілердің цифрлық дағдыларын нығайтуды қоса алғанда, ғылыми саланы цифрлық трансформациялау бойынша тұтас мемлекеттік саясатты іске асыру қажеттігін растайды. Алынған тұжырымдар жаһандық цифрлық трендтер контекстінде Қазақстанның ғылыми-технологиялық және экономикалық даму стратегияларын қалыптастыру үшін негіз бола алады.</w:t>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ab/>
        <w:t xml:space="preserve">Түйін сөздер: </w:t>
      </w:r>
      <w:r>
        <w:rPr>
          <w:rFonts w:eastAsia="Times New Roman" w:cs="Times New Roman" w:ascii="Times New Roman" w:hAnsi="Times New Roman"/>
          <w:sz w:val="24"/>
          <w:szCs w:val="24"/>
          <w:lang w:val="kk-KZ" w:eastAsia="ru-RU"/>
        </w:rPr>
        <w:t>цифрландыру, инфрақұрылым, ғылым, экономика, инновация, инвестиция, жасанды интеллект.</w:t>
      </w:r>
    </w:p>
    <w:p>
      <w:pPr>
        <w:pStyle w:val="Normal"/>
        <w:spacing w:lineRule="auto" w:line="240" w:before="0" w:after="0"/>
        <w:rPr>
          <w:rFonts w:ascii="Times New Roman" w:hAnsi="Times New Roman" w:cs="Times New Roman"/>
          <w:b/>
          <w:iCs/>
          <w:sz w:val="24"/>
          <w:szCs w:val="24"/>
          <w:lang w:val="kk-KZ"/>
        </w:rPr>
      </w:pPr>
      <w:r>
        <w:rPr>
          <w:rFonts w:cs="Times New Roman" w:ascii="Times New Roman" w:hAnsi="Times New Roman"/>
          <w:b/>
          <w:iCs/>
          <w:sz w:val="24"/>
          <w:szCs w:val="24"/>
          <w:lang w:val="kk-KZ"/>
        </w:rPr>
      </w:r>
    </w:p>
    <w:p>
      <w:pPr>
        <w:pStyle w:val="Normal"/>
        <w:spacing w:lineRule="auto" w:line="240" w:before="0" w:after="0"/>
        <w:jc w:val="center"/>
        <w:rPr>
          <w:rFonts w:ascii="Times New Roman" w:hAnsi="Times New Roman" w:cs="Times New Roman"/>
          <w:b/>
          <w:iCs/>
        </w:rPr>
      </w:pPr>
      <w:r>
        <w:rPr>
          <w:rFonts w:cs="Times New Roman" w:ascii="Times New Roman" w:hAnsi="Times New Roman"/>
          <w:b/>
          <w:iCs/>
        </w:rPr>
        <w:t>ЦИФРОВИЗАЦИЯ НАУКИ КАК ИНСТРУМЕНТ ПОВЫШЕНИЯ КОНКУРЕНТОСПОСОБНОСТИ ЭКОНОМИКИ РЕСПУБЛИКИ КАЗАХСТАН</w:t>
      </w:r>
    </w:p>
    <w:p>
      <w:pPr>
        <w:pStyle w:val="Normal"/>
        <w:spacing w:lineRule="auto" w:line="240" w:before="0" w:after="0"/>
        <w:jc w:val="center"/>
        <w:rPr>
          <w:rFonts w:ascii="Times New Roman" w:hAnsi="Times New Roman" w:cs="Times New Roman"/>
          <w:b/>
          <w:iCs/>
        </w:rPr>
      </w:pPr>
      <w:r>
        <w:rPr>
          <w:rFonts w:cs="Times New Roman" w:ascii="Times New Roman" w:hAnsi="Times New Roman"/>
          <w:b/>
          <w:iCs/>
        </w:rPr>
      </w:r>
    </w:p>
    <w:p>
      <w:pPr>
        <w:pStyle w:val="NormalWeb"/>
        <w:spacing w:before="0" w:after="0"/>
        <w:jc w:val="center"/>
        <w:rPr>
          <w:b/>
          <w:sz w:val="22"/>
          <w:szCs w:val="22"/>
          <w:lang w:val="kk-KZ"/>
        </w:rPr>
      </w:pPr>
      <w:r>
        <w:rPr>
          <w:b/>
          <w:sz w:val="22"/>
          <w:szCs w:val="22"/>
          <w:lang w:val="kk-KZ"/>
        </w:rPr>
        <w:t>Д.Ә. Турғанбаев</w:t>
      </w:r>
      <w:r>
        <w:rPr>
          <w:rFonts w:eastAsia="Wingdings" w:cs="Wingdings" w:ascii="Wingdings" w:hAnsi="Wingdings"/>
          <w:b/>
          <w:bCs/>
          <w:color w:val="1F497D"/>
          <w:sz w:val="22"/>
          <w:szCs w:val="22"/>
          <w:vertAlign w:val="superscript"/>
        </w:rPr>
        <w:sym w:font="Wingdings" w:char="f02a"/>
      </w:r>
      <w:r>
        <w:rPr>
          <w:b/>
          <w:sz w:val="22"/>
          <w:szCs w:val="22"/>
          <w:lang w:val="kk-KZ"/>
        </w:rPr>
        <w:t>, Б.К. Исаева, М.О. Кенжеғұл, Д.А. Сейтхожина</w:t>
      </w:r>
    </w:p>
    <w:p>
      <w:pPr>
        <w:pStyle w:val="NormalWeb"/>
        <w:spacing w:before="0" w:after="0"/>
        <w:jc w:val="center"/>
        <w:rPr>
          <w:i/>
          <w:i/>
          <w:iCs/>
          <w:sz w:val="20"/>
          <w:lang w:val="kk-KZ"/>
        </w:rPr>
      </w:pPr>
      <w:r>
        <w:rPr>
          <w:i/>
          <w:iCs/>
          <w:sz w:val="20"/>
          <w:lang w:val="kk-KZ"/>
        </w:rPr>
        <w:t>Евразийский национальный университе им.Л.Н.Гумилева, Астана, Казахстан,</w:t>
      </w:r>
    </w:p>
    <w:p>
      <w:pPr>
        <w:pStyle w:val="NormalWeb"/>
        <w:spacing w:before="0" w:after="0"/>
        <w:jc w:val="center"/>
        <w:rPr>
          <w:iCs/>
          <w:sz w:val="20"/>
          <w:szCs w:val="20"/>
          <w:lang w:val="kk-KZ"/>
        </w:rPr>
      </w:pPr>
      <w:r>
        <w:rPr>
          <w:iCs/>
          <w:sz w:val="20"/>
          <w:szCs w:val="20"/>
          <w:lang w:val="en-US"/>
        </w:rPr>
        <w:t>e</w:t>
      </w:r>
      <w:r>
        <w:rPr>
          <w:iCs/>
          <w:sz w:val="20"/>
          <w:szCs w:val="20"/>
        </w:rPr>
        <w:t>-</w:t>
      </w:r>
      <w:r>
        <w:rPr>
          <w:iCs/>
          <w:sz w:val="20"/>
          <w:szCs w:val="20"/>
          <w:lang w:val="en-US"/>
        </w:rPr>
        <w:t>mail</w:t>
      </w:r>
      <w:r>
        <w:rPr>
          <w:iCs/>
          <w:sz w:val="20"/>
          <w:szCs w:val="20"/>
        </w:rPr>
        <w:t xml:space="preserve">: </w:t>
      </w:r>
      <w:hyperlink r:id="rId249">
        <w:r>
          <w:rPr>
            <w:rStyle w:val="Hyperlink"/>
            <w:iCs/>
            <w:color w:val="auto"/>
            <w:sz w:val="20"/>
            <w:szCs w:val="20"/>
            <w:u w:val="none"/>
            <w:lang w:val="en-US"/>
          </w:rPr>
          <w:t>dos</w:t>
        </w:r>
        <w:r>
          <w:rPr>
            <w:rStyle w:val="Hyperlink"/>
            <w:iCs/>
            <w:color w:val="auto"/>
            <w:sz w:val="20"/>
            <w:szCs w:val="20"/>
            <w:u w:val="none"/>
          </w:rPr>
          <w:t>_25.97@</w:t>
        </w:r>
        <w:r>
          <w:rPr>
            <w:rStyle w:val="Hyperlink"/>
            <w:iCs/>
            <w:color w:val="auto"/>
            <w:sz w:val="20"/>
            <w:szCs w:val="20"/>
            <w:u w:val="none"/>
            <w:lang w:val="en-US"/>
          </w:rPr>
          <w:t>mail</w:t>
        </w:r>
        <w:r>
          <w:rPr>
            <w:rStyle w:val="Hyperlink"/>
            <w:iCs/>
            <w:color w:val="auto"/>
            <w:sz w:val="20"/>
            <w:szCs w:val="20"/>
            <w:u w:val="none"/>
          </w:rPr>
          <w:t>.</w:t>
        </w:r>
        <w:r>
          <w:rPr>
            <w:rStyle w:val="Hyperlink"/>
            <w:iCs/>
            <w:color w:val="auto"/>
            <w:sz w:val="20"/>
            <w:szCs w:val="20"/>
            <w:u w:val="none"/>
            <w:lang w:val="en-US"/>
          </w:rPr>
          <w:t>ru</w:t>
        </w:r>
      </w:hyperlink>
    </w:p>
    <w:p>
      <w:pPr>
        <w:pStyle w:val="Normal"/>
        <w:spacing w:lineRule="auto" w:line="240" w:before="0" w:after="0"/>
        <w:jc w:val="center"/>
        <w:rPr>
          <w:rFonts w:ascii="Times New Roman" w:hAnsi="Times New Roman" w:cs="Times New Roman"/>
          <w:b/>
          <w:iCs/>
          <w:sz w:val="24"/>
          <w:szCs w:val="24"/>
          <w:lang w:val="kk-KZ"/>
        </w:rPr>
      </w:pPr>
      <w:r>
        <w:rPr>
          <w:rFonts w:cs="Times New Roman" w:ascii="Times New Roman" w:hAnsi="Times New Roman"/>
          <w:b/>
          <w:iCs/>
          <w:sz w:val="24"/>
          <w:szCs w:val="24"/>
          <w:lang w:val="kk-KZ"/>
        </w:rPr>
      </w:r>
    </w:p>
    <w:p>
      <w:pPr>
        <w:pStyle w:val="Normal"/>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современных условиях глобальной конкуренции и стремительно развивающегося технологического развития цифровизация науки является важным фактором повышения конкурентоспособности экономики. Цель исследования – выявить и количественно обосновать влияние цифровизации науки на повышение цифровой конкурентоспособности экономики Казахстана. Актуальность темы связана с необходимостью ускоренного перехода к экономике знаний, где наука и технологии являются основными источниками роста добавленной стоимости, развития высокотехнологичных производств и привлечения инвестиций. Несмотря на наличие стратегий цифрового развития и научной модернизации, Казахстан сталкивается с рядом ограничений: фрагментированность цифровой инфраструктуры, слабая интеграция науки и бизнеса, недостаточный уровень цифровых компетенций научных кадров. В ходе исследования проведен сравнительный анализ опыта Республики Корея, использованы методы эконометрического моделирования и разработан интегральный индекс цифровизации науки. Модель позволила выявить устойчивую положительную связь между уровнем цифровизации научной инфраструктуры и позицией страны в глобальном рейтинге цифровой конкурентоспособности. Установлено, что даже при умеренном росте цифровизации возможно существенное усиление инновационного потенциала и повышение эффективности научно-исследовательских и опытно-конструкторских работ (НИОКР). Результаты подтверждают необходимость реализации комплексной государственной политики по цифровой трансформации научной сферы, включая автоматизацию процессов, развитие цифровых платформ, сотрудничество с бизнесом и усиление цифровых навыков исследователей. Полученные выводы могут служить основой для формирования стратегий научно-технологического и экономического развития Казахстана в контексте глобальных цифровых трендов.</w:t>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eastAsia="ru-RU"/>
        </w:rPr>
        <w:tab/>
      </w:r>
      <w:r>
        <w:rPr>
          <w:rFonts w:eastAsia="Times New Roman" w:cs="Times New Roman" w:ascii="Times New Roman" w:hAnsi="Times New Roman"/>
          <w:b/>
          <w:sz w:val="24"/>
          <w:szCs w:val="24"/>
          <w:lang w:val="kk-KZ" w:eastAsia="ru-RU"/>
        </w:rPr>
        <w:t>Ключевые слова:</w:t>
      </w:r>
      <w:r>
        <w:rPr>
          <w:rFonts w:eastAsia="Times New Roman" w:cs="Times New Roman" w:ascii="Times New Roman" w:hAnsi="Times New Roman"/>
          <w:b/>
          <w:sz w:val="24"/>
          <w:szCs w:val="24"/>
          <w:lang w:eastAsia="ru-RU"/>
        </w:rPr>
        <w:t xml:space="preserve"> </w:t>
      </w:r>
      <w:r>
        <w:rPr>
          <w:rFonts w:eastAsia="Times New Roman" w:cs="Times New Roman" w:ascii="Times New Roman" w:hAnsi="Times New Roman"/>
          <w:sz w:val="24"/>
          <w:szCs w:val="24"/>
          <w:lang w:val="kk-KZ" w:eastAsia="ru-RU"/>
        </w:rPr>
        <w:t>цифровизация,</w:t>
      </w:r>
      <w:r>
        <w:rPr>
          <w:rFonts w:eastAsia="Times New Roman" w:cs="Times New Roman" w:ascii="Times New Roman" w:hAnsi="Times New Roman"/>
          <w:b/>
          <w:sz w:val="24"/>
          <w:szCs w:val="24"/>
          <w:lang w:val="kk-KZ" w:eastAsia="ru-RU"/>
        </w:rPr>
        <w:t xml:space="preserve"> </w:t>
      </w:r>
      <w:r>
        <w:rPr>
          <w:rFonts w:eastAsia="Times New Roman" w:cs="Times New Roman" w:ascii="Times New Roman" w:hAnsi="Times New Roman"/>
          <w:sz w:val="24"/>
          <w:szCs w:val="24"/>
          <w:lang w:val="kk-KZ" w:eastAsia="ru-RU"/>
        </w:rPr>
        <w:t>инфраструктура,</w:t>
      </w:r>
      <w:r>
        <w:rPr>
          <w:rFonts w:eastAsia="Times New Roman" w:cs="Times New Roman" w:ascii="Times New Roman" w:hAnsi="Times New Roman"/>
          <w:b/>
          <w:sz w:val="24"/>
          <w:szCs w:val="24"/>
          <w:lang w:val="kk-KZ" w:eastAsia="ru-RU"/>
        </w:rPr>
        <w:t xml:space="preserve"> </w:t>
      </w:r>
      <w:r>
        <w:rPr>
          <w:rFonts w:eastAsia="Times New Roman" w:cs="Times New Roman" w:ascii="Times New Roman" w:hAnsi="Times New Roman"/>
          <w:sz w:val="24"/>
          <w:szCs w:val="24"/>
          <w:lang w:val="kk-KZ" w:eastAsia="ru-RU"/>
        </w:rPr>
        <w:t>наука, экономика, инновация, инвестиция, искусственный интеллект.</w:t>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720"/>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t>Introduction</w:t>
      </w:r>
      <w:r>
        <w:rPr>
          <w:rFonts w:eastAsia="Times New Roman" w:cs="Times New Roman" w:ascii="Times New Roman" w:hAnsi="Times New Roman"/>
          <w:b/>
          <w:bCs/>
          <w:sz w:val="24"/>
          <w:szCs w:val="24"/>
          <w:lang w:val="en-US" w:eastAsia="ru-RU"/>
        </w:rPr>
        <w:t xml:space="preserve">. </w:t>
      </w:r>
      <w:r>
        <w:rPr>
          <w:rFonts w:eastAsia="Times New Roman" w:cs="Times New Roman" w:ascii="Times New Roman" w:hAnsi="Times New Roman"/>
          <w:sz w:val="24"/>
          <w:szCs w:val="24"/>
          <w:lang w:val="en-US" w:eastAsia="ru-RU"/>
        </w:rPr>
        <w:t>The rationale for the research topic is related to the increasing role of science as a key resource for sustainable development and competitiveness of the economy in the context of the transition to the digital economy and the knowledge economy. Modern scientific systems require a revision of traditional approaches to the organization of research, financing, technology transfer and interaction with the industrial sector. The digitalization of science is becoming not just a technological modernization, but a fundamentally new paradigm of scientific activity, involving openness, interconnectedness, automation, analytical traceability and rapid commercialization of results.</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relevance of the topic is determined by both internal and external factors. First, digital transformation is becoming a priority of Kazakhstan's state policy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Digital Kazakhstan</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Science, Technology and Innovation - 2023-2027</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[1]. Secondly, competition for scientific personnel, patents and innovations is intensifying in the international arena, where the digital maturity of the scientific sphere provides countries with leading positions. Despite the steps taken in Kazakhstan, the scientific system remains fragmented by digital initiatives, weak integration with business, and limited access to global data and digital ecosystems.</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object of the research is the scientific system of Kazakhstan in the context of digital transformation. The subject of the study is the impact of the digitalization of science on the competitiveness of the economy.</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aim is to quantify and reveal the mechanisms of the impact of the digitalization of science on macroeconomic and institutional indicators of competitiveness.</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Research objectives:</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eastAsia="ru-RU"/>
        </w:rPr>
        <w:t>analyze the current level of digitalization of science in Kazakhstan;</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eastAsia="ru-RU"/>
        </w:rPr>
        <w:t>Conduct a comparative analysis with the Republic of Korea;</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eastAsia="ru-RU"/>
        </w:rPr>
        <w:t>to develop an integral index of digitalization of science;</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eastAsia="ru-RU"/>
        </w:rPr>
        <w:t>build a model of the link between digitalization and the competitiveness of the economy;</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en-US" w:eastAsia="ru-RU"/>
        </w:rPr>
        <w:t>Develop practical policy recommendations.</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hypothesis of the study is that the systemic digitalization of scientific infrastructure has a significant positive impact on the growth of digital competitiveness and innovation potential of the country.</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Research methods: econometric analysis, factor analysis, cross-country comparison, expert assessment, index construction. The novelty of the work is to build a quantitative model of the relationship between the digitalization of science and the macroeconomic index of digital competitiveness, as well as to identify barriers and directions of digital transformation of science in Kazakhstan [2].</w:t>
      </w:r>
    </w:p>
    <w:p>
      <w:pPr>
        <w:pStyle w:val="Normal"/>
        <w:spacing w:lineRule="auto" w:line="240" w:before="0" w:after="0"/>
        <w:ind w:firstLine="720"/>
        <w:jc w:val="both"/>
        <w:rPr>
          <w:rFonts w:ascii="Times New Roman" w:hAnsi="Times New Roman" w:eastAsia="Times New Roman" w:cs="Times New Roman"/>
          <w:b/>
          <w:bCs/>
          <w:sz w:val="24"/>
          <w:szCs w:val="24"/>
          <w:lang w:val="en-US" w:eastAsia="ru-RU"/>
        </w:rPr>
      </w:pPr>
      <w:r>
        <w:rPr>
          <w:rFonts w:eastAsia="Times New Roman" w:cs="Times New Roman" w:ascii="Times New Roman" w:hAnsi="Times New Roman"/>
          <w:sz w:val="24"/>
          <w:szCs w:val="24"/>
          <w:lang w:val="en-US" w:eastAsia="ru-RU"/>
        </w:rPr>
        <w:t>The digitalization of the scientific sphere currently acts not only as a tool for modernizing the research infrastructure, but also as an important factor in the formation of sustainable competitive advantages of the national economy. The transition to the digital economy requires the government not only to increase investments in science, but also to qualitatively update the entire scientific system, including digital document management, platforms for knowledge and technology transfer, digital analytics and artificial intelligence in scientific research. Kazakhstan, as a state in an active phase of socio-economic transformation, sets itself the task of modernizing the scientific system through the introduction of digital technologies that meet international standards. In recent years, digital grant management platforms, online reporting systems, and individual elements of digital bibliometry have been emerging in the country, but the overall level of digital maturity of the scientific environment remains low. This creates obstacles to the integration of Kazakh science into the international scientific space and reduces the speed of innovative economic development. International experience, especially in South Korea, shows that the consistent digitalization of science can become a catalyst for economic growth, accelerate scientific research, strengthen technology transfer and increase the share of high-tech products in gross domestic product (GDP) [3]. In the context of global competition, Kazakhstan needs to rethink the strategic role of science in a digital society and identify key areas for its digital transformation, which requires not only institutional but also econometric foundations. The purpose of this article is to identify and quantify the impact of the digitalization of science on the competitiveness of the economy of Kazakhstan, to determine the key parameters and conditions for the implementation of digital scientific transformation based on comparable international experience.</w:t>
      </w:r>
    </w:p>
    <w:p>
      <w:pPr>
        <w:pStyle w:val="Normal"/>
        <w:spacing w:lineRule="auto" w:line="240" w:before="0" w:after="0"/>
        <w:ind w:firstLine="720"/>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t>Materials and methods</w:t>
      </w:r>
      <w:r>
        <w:rPr>
          <w:rFonts w:eastAsia="Times New Roman" w:cs="Times New Roman" w:ascii="Times New Roman" w:hAnsi="Times New Roman"/>
          <w:b/>
          <w:bCs/>
          <w:sz w:val="24"/>
          <w:szCs w:val="24"/>
          <w:lang w:val="en-US" w:eastAsia="ru-RU"/>
        </w:rPr>
        <w:t xml:space="preserve">. </w:t>
      </w:r>
      <w:r>
        <w:rPr>
          <w:rFonts w:eastAsia="Times New Roman" w:cs="Times New Roman" w:ascii="Times New Roman" w:hAnsi="Times New Roman"/>
          <w:bCs/>
          <w:sz w:val="24"/>
          <w:szCs w:val="24"/>
          <w:lang w:val="kk-KZ" w:eastAsia="ru-RU"/>
        </w:rPr>
        <w:t>The research is based on a comprehensive interdisciplinary approach to assessing the degree of digitalization of the scientific sphere and its impact on the competitiveness of the economy of the Republic of Kazakhstan in the context of the transformation of the global scientific and innovation agenda. Works on the digital transformation of science, knowledge economics, as well as models for assessing digital competitiveness (IMD, OECD) are used as a theoretical and methodological basis. The empirical database includes data from the Ministry of Science and Higher Education of the Republic of Kazakhstan, the Committee on Statistics, the National Center for Scientific and Technical Information, international sources (IMD, World Bank, OECD, ADB), as well as digital indicators from open scientific repositories [4,5]. Special attention is paid to materials on the scientific system of the Republic of Korea as a reference example of successful digitalization and effective integration of science into the digital economy.</w:t>
      </w:r>
    </w:p>
    <w:p>
      <w:pPr>
        <w:pStyle w:val="Normal"/>
        <w:spacing w:lineRule="auto" w:line="240" w:before="0" w:after="0"/>
        <w:ind w:firstLine="720"/>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Methodologically, the work is based on a combination of methods of comparative analysis, factor and index modeling, as well as elements of regression analysis. The central task was to build a sound quantitative model that would allow us to determine the degree of influence of the digitalization of scientific infrastructure on the digital competitiveness of the economy. For this purpose, the integrated index of digitalization of science (IDN) was proposed, which includes such parameters as the level of digitalization of scientific administration (including automation of grant processes, reporting and accounting of R&amp;D results), the share of scientific publications in the public domain, the prevalence of digital skills among researchers, the introduction of advanced digital solutions (artificial intelligence, big data analysis, blockchain) in research activities, as well as the degree of integration of scientific organizations into international and national digital ecosystems. All indicators are normalized and aggregated into an integral indicator that allows for cross-country comparison and time analysis.</w:t>
      </w:r>
    </w:p>
    <w:p>
      <w:pPr>
        <w:pStyle w:val="Normal"/>
        <w:spacing w:lineRule="auto" w:line="240" w:before="0" w:after="0"/>
        <w:ind w:firstLine="720"/>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The constructed model is based on the premise that the digitalization of the scientific sphere has a multiplicative effect on such key components of digital competitiveness as innovation activity, technology transfer, efficiency of scientific expenditures and attraction of investments in the high-tech sector. To empirically verify the hypothesis put forward, a model of the dependence of the digital competitiveness index (according to the IMD methodology) on the integral index of digitalization of science, the share of R&amp;D in GDP and the share of joint projects of science and business was formed. The calculations were based on panel data for 2018-2024. The model has been tested for statistical significance, stability, and interpretability. Standard regression analysis tools were used: coefficient determination, remainder analysis, multicollinearity and autocorrelation testing. In addition, expert assessments (the Delphi method) were used to verify qualitative parameters of digitalization, such as the digital competencies of researchers and the digital connectivity of scientific institutions.</w:t>
      </w:r>
    </w:p>
    <w:p>
      <w:pPr>
        <w:pStyle w:val="Normal"/>
        <w:spacing w:lineRule="auto" w:line="240" w:before="0" w:after="0"/>
        <w:ind w:firstLine="720"/>
        <w:jc w:val="both"/>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t>The study also applied comparative logic: the Republic of Korea was chosen not only because of its leadership in the digitalization of science, but also because of the structural comparability of the scientific system with Kazakhstan in terms of the number of scientific institutions, the share of budget funding and the role of the state in the strategic management of science. This allows us to draw conclusions relevant to the Kazakh context. Information materials about the Korean scientific ecosystem are obtained from open sources (KISTI, NTIS, statistics Ministry of Science and ICT). The program documents of both countries were also analyzed, including the Digital Kazakhstan strategy, the state program of scientific and technological development of the Republic of Kazakhstan for 2023-2027, and the digital strategy of South Korea in the field of science and innovation. For quantitative comparison, such indicators as the share of open access to scientific results (in Kazakhstan - 28%, in Korea - 82%), digitalization of scientific administration (40% and 95%, respectively), the share of researchers with advanced digital skills (in Kazakhstan - 22%, in Korea - 74%) were used. the number of R&amp;D projects using AI and Big Data (in Kazakhstan - less than 10%, in Korea - over 35%).</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To achieve the objectives of the study, a set of methods was used: comparative cross-country analysis, factorial and econometric analysis, as well as methods for constructing indexes. The research is based on statistical data from the Ministry of Science and Higher Education of the Republic of Kazakhstan, the World Bank, the IMD (Institute for Management Development), as well as analytical reports on science and digitalization of South Korea [6]. An integral indicator of the digitalization of science was developed, which includes the following components: the availability of digital scientific infrastructure, the degree of digitalization of management processes, the use of IT solutions in R&amp;D, the level of digital literacy of researchers and the share of scientific publications in the public domain. Next, a linear regression model was built to analyze the impact of the digitalization of science on the digital competitiveness index of the economy:</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jc w:val="center"/>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C=</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0+</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1D+</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2R+</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3B+</w:t>
      </w:r>
      <w:r>
        <w:rPr>
          <w:rFonts w:eastAsia="Times New Roman" w:cs="Times New Roman" w:ascii="Times New Roman" w:hAnsi="Times New Roman"/>
          <w:sz w:val="24"/>
          <w:szCs w:val="24"/>
          <w:lang w:eastAsia="ru-RU"/>
        </w:rPr>
        <w:t>ε</w:t>
      </w:r>
      <w:r>
        <w:rPr>
          <w:rFonts w:eastAsia="Times New Roman" w:cs="Times New Roman" w:ascii="Times New Roman" w:hAnsi="Times New Roman"/>
          <w:sz w:val="24"/>
          <w:szCs w:val="24"/>
          <w:lang w:val="en-US" w:eastAsia="ru-RU"/>
        </w:rPr>
        <w:t>C = \beta_0 + \beta_1 D + \beta_2 R + \beta_3 B + \varepsilonC=</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0​+</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1​D+</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2​R+</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en-US" w:eastAsia="ru-RU"/>
        </w:rPr>
        <w:t>3​B+</w:t>
      </w:r>
      <w:r>
        <w:rPr>
          <w:rFonts w:eastAsia="Times New Roman" w:cs="Times New Roman" w:ascii="Times New Roman" w:hAnsi="Times New Roman"/>
          <w:sz w:val="24"/>
          <w:szCs w:val="24"/>
          <w:lang w:eastAsia="ru-RU"/>
        </w:rPr>
        <w:t>ε</w:t>
      </w:r>
    </w:p>
    <w:p>
      <w:pPr>
        <w:pStyle w:val="Normal"/>
        <w:spacing w:lineRule="auto" w:line="240" w:beforeAutospacing="1" w:afterAutospacing="1"/>
        <w:ind w:firstLine="36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where</w:t>
      </w:r>
      <w:r>
        <w:rPr>
          <w:rFonts w:eastAsia="Times New Roman" w:cs="Times New Roman" w:ascii="Times New Roman" w:hAnsi="Times New Roman"/>
          <w:sz w:val="24"/>
          <w:szCs w:val="24"/>
          <w:lang w:eastAsia="ru-RU"/>
        </w:rPr>
        <w:t>:</w:t>
      </w:r>
    </w:p>
    <w:p>
      <w:pPr>
        <w:pStyle w:val="Normal"/>
        <w:numPr>
          <w:ilvl w:val="0"/>
          <w:numId w:val="16"/>
        </w:numPr>
        <w:spacing w:lineRule="auto" w:line="240" w:beforeAutospacing="1" w:after="0"/>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CCC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Digital competitiveness index (IMD Digital Competitiveness);</w:t>
      </w:r>
    </w:p>
    <w:p>
      <w:pPr>
        <w:pStyle w:val="Normal"/>
        <w:numPr>
          <w:ilvl w:val="0"/>
          <w:numId w:val="16"/>
        </w:numPr>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DDD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 xml:space="preserve"> science digitalization index (0-1);</w:t>
      </w:r>
    </w:p>
    <w:p>
      <w:pPr>
        <w:pStyle w:val="Normal"/>
        <w:numPr>
          <w:ilvl w:val="0"/>
          <w:numId w:val="16"/>
        </w:numPr>
        <w:spacing w:lineRule="auto" w:line="240" w:before="0" w:after="0"/>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RRR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R&amp;D expenditures (% of GDP);</w:t>
      </w:r>
    </w:p>
    <w:p>
      <w:pPr>
        <w:pStyle w:val="Normal"/>
        <w:numPr>
          <w:ilvl w:val="0"/>
          <w:numId w:val="16"/>
        </w:numPr>
        <w:spacing w:lineRule="auto" w:line="240" w:before="0" w:after="0"/>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BBB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share of joint science and business projects (% of all R&amp;D);</w:t>
      </w:r>
    </w:p>
    <w:p>
      <w:pPr>
        <w:pStyle w:val="Normal"/>
        <w:numPr>
          <w:ilvl w:val="0"/>
          <w:numId w:val="16"/>
        </w:numPr>
        <w:spacing w:lineRule="auto" w:line="240" w:before="0" w:afterAutospacing="1"/>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ε</w:t>
      </w:r>
      <w:r>
        <w:rPr>
          <w:rFonts w:eastAsia="Times New Roman" w:cs="Times New Roman" w:ascii="Times New Roman" w:hAnsi="Times New Roman"/>
          <w:sz w:val="24"/>
          <w:szCs w:val="24"/>
          <w:lang w:val="en-US" w:eastAsia="ru-RU"/>
        </w:rPr>
        <w:t>\varepsilon</w:t>
      </w:r>
      <w:r>
        <w:rPr>
          <w:rFonts w:eastAsia="Times New Roman" w:cs="Times New Roman" w:ascii="Times New Roman" w:hAnsi="Times New Roman"/>
          <w:sz w:val="24"/>
          <w:szCs w:val="24"/>
          <w:lang w:eastAsia="ru-RU"/>
        </w:rPr>
        <w:t>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an accidental mistake.</w:t>
      </w:r>
    </w:p>
    <w:p>
      <w:pPr>
        <w:pStyle w:val="Normal"/>
        <w:spacing w:lineRule="auto" w:line="240" w:before="0" w:after="0"/>
        <w:jc w:val="center"/>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data for 2024, presented in the table below, was used for quantitative assessment.</w:t>
      </w:r>
    </w:p>
    <w:p>
      <w:pPr>
        <w:pStyle w:val="Normal"/>
        <w:spacing w:lineRule="auto" w:line="240" w:beforeAutospacing="1" w:afterAutospacing="1"/>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val="en-US" w:eastAsia="ru-RU"/>
        </w:rPr>
        <w:t>Table 1 - Comparison of indicators of the Republic of Kazakhstan and the Republic of Korea (2024)</w:t>
      </w:r>
    </w:p>
    <w:tbl>
      <w:tblPr>
        <w:tblStyle w:val="ae"/>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4"/>
        <w:gridCol w:w="3224"/>
        <w:gridCol w:w="2897"/>
      </w:tblGrid>
      <w:tr>
        <w:trPr>
          <w:trHeight w:val="475" w:hRule="atLeast"/>
        </w:trPr>
        <w:tc>
          <w:tcPr>
            <w:tcW w:w="3224" w:type="dxa"/>
            <w:tcBorders/>
          </w:tcPr>
          <w:p>
            <w:pPr>
              <w:pStyle w:val="Normal"/>
              <w:widowControl/>
              <w:spacing w:lineRule="auto" w:line="240" w:before="0" w:after="0"/>
              <w:jc w:val="center"/>
              <w:rPr>
                <w:rFonts w:ascii="Times New Roman" w:hAnsi="Times New Roman" w:eastAsia="Times New Roman"/>
                <w:sz w:val="22"/>
                <w:szCs w:val="22"/>
              </w:rPr>
            </w:pPr>
            <w:r>
              <w:rPr>
                <w:rFonts w:eastAsia="Times New Roman" w:cs="Times New Roman" w:ascii="Times New Roman" w:hAnsi="Times New Roman"/>
                <w:bCs/>
                <w:kern w:val="0"/>
                <w:sz w:val="22"/>
                <w:szCs w:val="22"/>
                <w:lang w:val="ru-RU" w:eastAsia="ru-RU" w:bidi="ar-SA"/>
              </w:rPr>
              <w:t>Indicator</w:t>
            </w:r>
          </w:p>
        </w:tc>
        <w:tc>
          <w:tcPr>
            <w:tcW w:w="3224" w:type="dxa"/>
            <w:tcBorders/>
          </w:tcPr>
          <w:p>
            <w:pPr>
              <w:pStyle w:val="Normal"/>
              <w:widowControl/>
              <w:spacing w:lineRule="auto" w:line="240" w:before="0" w:after="0"/>
              <w:jc w:val="center"/>
              <w:rPr>
                <w:rFonts w:ascii="Times New Roman" w:hAnsi="Times New Roman" w:eastAsia="Times New Roman"/>
                <w:sz w:val="22"/>
                <w:szCs w:val="22"/>
              </w:rPr>
            </w:pPr>
            <w:r>
              <w:rPr>
                <w:rFonts w:eastAsia="Times New Roman" w:cs="Times New Roman" w:ascii="Times New Roman" w:hAnsi="Times New Roman"/>
                <w:bCs/>
                <w:kern w:val="0"/>
                <w:sz w:val="22"/>
                <w:szCs w:val="22"/>
                <w:lang w:val="kk-KZ" w:eastAsia="ru-RU" w:bidi="ar-SA"/>
              </w:rPr>
              <w:t>Republic of Kazakhstan</w:t>
            </w:r>
          </w:p>
        </w:tc>
        <w:tc>
          <w:tcPr>
            <w:tcW w:w="2897" w:type="dxa"/>
            <w:tcBorders/>
          </w:tcPr>
          <w:p>
            <w:pPr>
              <w:pStyle w:val="Normal"/>
              <w:widowControl/>
              <w:spacing w:lineRule="auto" w:line="240" w:beforeAutospacing="1" w:after="0"/>
              <w:jc w:val="center"/>
              <w:rPr>
                <w:rFonts w:ascii="Times New Roman" w:hAnsi="Times New Roman" w:eastAsia="Times New Roman"/>
                <w:bCs/>
                <w:sz w:val="22"/>
                <w:szCs w:val="22"/>
              </w:rPr>
            </w:pPr>
            <w:r>
              <w:rPr>
                <w:rFonts w:eastAsia="Times New Roman" w:cs="Times New Roman" w:ascii="Times New Roman" w:hAnsi="Times New Roman"/>
                <w:bCs/>
                <w:kern w:val="0"/>
                <w:sz w:val="22"/>
                <w:szCs w:val="22"/>
                <w:lang w:val="ru-RU" w:eastAsia="ru-RU" w:bidi="ar-SA"/>
              </w:rPr>
              <w:t>Republic of Korea</w:t>
            </w:r>
          </w:p>
        </w:tc>
      </w:tr>
      <w:tr>
        <w:trPr/>
        <w:tc>
          <w:tcPr>
            <w:tcW w:w="3224" w:type="dxa"/>
            <w:tcBorders/>
          </w:tcPr>
          <w:p>
            <w:pPr>
              <w:pStyle w:val="Normal"/>
              <w:widowControl/>
              <w:spacing w:lineRule="auto" w:line="240" w:beforeAutospacing="1" w:after="0"/>
              <w:jc w:val="center"/>
              <w:rPr>
                <w:rFonts w:ascii="Times New Roman" w:hAnsi="Times New Roman" w:eastAsia="Times New Roman"/>
                <w:b/>
                <w:bCs/>
                <w:sz w:val="22"/>
                <w:szCs w:val="22"/>
              </w:rPr>
            </w:pPr>
            <w:r>
              <w:rPr>
                <w:rFonts w:eastAsia="Times New Roman" w:cs="Times New Roman" w:ascii="Times New Roman" w:hAnsi="Times New Roman"/>
                <w:kern w:val="0"/>
                <w:sz w:val="22"/>
                <w:szCs w:val="22"/>
                <w:lang w:val="ru-RU" w:eastAsia="ru-RU" w:bidi="ar-SA"/>
              </w:rPr>
              <w:t>Science Digitalization Index (DDD)</w:t>
            </w:r>
          </w:p>
        </w:tc>
        <w:tc>
          <w:tcPr>
            <w:tcW w:w="3224" w:type="dxa"/>
            <w:tcBorders/>
            <w:vAlign w:val="center"/>
          </w:tcPr>
          <w:p>
            <w:pPr>
              <w:pStyle w:val="Normal"/>
              <w:widowControl/>
              <w:spacing w:lineRule="auto" w:line="240" w:beforeAutospacing="1" w:after="0"/>
              <w:jc w:val="center"/>
              <w:rPr>
                <w:rFonts w:ascii="Times New Roman" w:hAnsi="Times New Roman" w:eastAsia="Times New Roman"/>
                <w:b/>
                <w:bCs/>
                <w:sz w:val="22"/>
                <w:szCs w:val="22"/>
                <w:lang w:val="kk-KZ"/>
              </w:rPr>
            </w:pPr>
            <w:r>
              <w:rPr>
                <w:rFonts w:eastAsia="Times New Roman" w:cs="Times New Roman" w:ascii="Times New Roman" w:hAnsi="Times New Roman"/>
                <w:kern w:val="0"/>
                <w:sz w:val="22"/>
                <w:szCs w:val="22"/>
                <w:lang w:val="kk-KZ" w:eastAsia="ru-RU" w:bidi="ar-SA"/>
              </w:rPr>
              <w:t>0,45</w:t>
            </w:r>
          </w:p>
        </w:tc>
        <w:tc>
          <w:tcPr>
            <w:tcW w:w="2897" w:type="dxa"/>
            <w:tcBorders/>
            <w:vAlign w:val="center"/>
          </w:tcPr>
          <w:p>
            <w:pPr>
              <w:pStyle w:val="Normal"/>
              <w:widowControl/>
              <w:spacing w:lineRule="auto" w:line="240" w:beforeAutospacing="1" w:after="0"/>
              <w:jc w:val="center"/>
              <w:rPr>
                <w:rFonts w:ascii="Times New Roman" w:hAnsi="Times New Roman" w:eastAsia="Times New Roman"/>
                <w:b/>
                <w:bCs/>
                <w:sz w:val="22"/>
                <w:szCs w:val="22"/>
                <w:lang w:val="kk-KZ"/>
              </w:rPr>
            </w:pPr>
            <w:r>
              <w:rPr>
                <w:rFonts w:eastAsia="Times New Roman" w:cs="Times New Roman" w:ascii="Times New Roman" w:hAnsi="Times New Roman"/>
                <w:kern w:val="0"/>
                <w:sz w:val="22"/>
                <w:szCs w:val="22"/>
                <w:lang w:val="kk-KZ" w:eastAsia="ru-RU" w:bidi="ar-SA"/>
              </w:rPr>
              <w:t>0,78</w:t>
            </w:r>
          </w:p>
        </w:tc>
      </w:tr>
      <w:tr>
        <w:trPr/>
        <w:tc>
          <w:tcPr>
            <w:tcW w:w="3224" w:type="dxa"/>
            <w:tcBorders/>
          </w:tcPr>
          <w:p>
            <w:pPr>
              <w:pStyle w:val="Normal"/>
              <w:widowControl/>
              <w:spacing w:lineRule="auto" w:line="240" w:beforeAutospacing="1" w:after="0"/>
              <w:jc w:val="center"/>
              <w:rPr>
                <w:rFonts w:ascii="Times New Roman" w:hAnsi="Times New Roman" w:eastAsia="Times New Roman"/>
                <w:b/>
                <w:bCs/>
                <w:sz w:val="22"/>
                <w:szCs w:val="22"/>
                <w:lang w:val="en-US"/>
              </w:rPr>
            </w:pPr>
            <w:r>
              <w:rPr>
                <w:rFonts w:eastAsia="Times New Roman" w:cs="Times New Roman" w:ascii="Times New Roman" w:hAnsi="Times New Roman"/>
                <w:kern w:val="0"/>
                <w:sz w:val="22"/>
                <w:szCs w:val="22"/>
                <w:lang w:val="en-US" w:eastAsia="ru-RU" w:bidi="ar-SA"/>
              </w:rPr>
              <w:t>R&amp;D expenses (% of GDP) (RRR)</w:t>
            </w:r>
          </w:p>
        </w:tc>
        <w:tc>
          <w:tcPr>
            <w:tcW w:w="3224" w:type="dxa"/>
            <w:tcBorders/>
            <w:vAlign w:val="center"/>
          </w:tcPr>
          <w:p>
            <w:pPr>
              <w:pStyle w:val="Normal"/>
              <w:widowControl/>
              <w:spacing w:lineRule="auto" w:line="240" w:beforeAutospacing="1" w:after="0"/>
              <w:jc w:val="center"/>
              <w:rPr>
                <w:rFonts w:ascii="Times New Roman" w:hAnsi="Times New Roman" w:eastAsia="Times New Roman"/>
                <w:b/>
                <w:bCs/>
                <w:sz w:val="22"/>
                <w:szCs w:val="22"/>
                <w:lang w:val="kk-KZ"/>
              </w:rPr>
            </w:pPr>
            <w:r>
              <w:rPr>
                <w:rFonts w:eastAsia="Times New Roman" w:cs="Times New Roman" w:ascii="Times New Roman" w:hAnsi="Times New Roman"/>
                <w:kern w:val="0"/>
                <w:sz w:val="22"/>
                <w:szCs w:val="22"/>
                <w:lang w:val="kk-KZ" w:eastAsia="ru-RU" w:bidi="ar-SA"/>
              </w:rPr>
              <w:t>0,80</w:t>
            </w:r>
          </w:p>
        </w:tc>
        <w:tc>
          <w:tcPr>
            <w:tcW w:w="2897" w:type="dxa"/>
            <w:tcBorders/>
            <w:vAlign w:val="center"/>
          </w:tcPr>
          <w:p>
            <w:pPr>
              <w:pStyle w:val="Normal"/>
              <w:widowControl/>
              <w:spacing w:lineRule="auto" w:line="240" w:beforeAutospacing="1" w:after="0"/>
              <w:jc w:val="center"/>
              <w:rPr>
                <w:rFonts w:ascii="Times New Roman" w:hAnsi="Times New Roman" w:eastAsia="Times New Roman"/>
                <w:b/>
                <w:bCs/>
                <w:sz w:val="22"/>
                <w:szCs w:val="22"/>
                <w:lang w:val="kk-KZ"/>
              </w:rPr>
            </w:pPr>
            <w:r>
              <w:rPr>
                <w:rFonts w:eastAsia="Times New Roman" w:cs="Times New Roman" w:ascii="Times New Roman" w:hAnsi="Times New Roman"/>
                <w:kern w:val="0"/>
                <w:sz w:val="22"/>
                <w:szCs w:val="22"/>
                <w:lang w:val="kk-KZ" w:eastAsia="ru-RU" w:bidi="ar-SA"/>
              </w:rPr>
              <w:t>4,90</w:t>
            </w:r>
          </w:p>
        </w:tc>
      </w:tr>
      <w:tr>
        <w:trPr/>
        <w:tc>
          <w:tcPr>
            <w:tcW w:w="3224" w:type="dxa"/>
            <w:tcBorders/>
          </w:tcPr>
          <w:p>
            <w:pPr>
              <w:pStyle w:val="Normal"/>
              <w:widowControl/>
              <w:spacing w:lineRule="auto" w:line="240" w:beforeAutospacing="1" w:after="0"/>
              <w:jc w:val="center"/>
              <w:rPr>
                <w:rFonts w:ascii="Times New Roman" w:hAnsi="Times New Roman" w:eastAsia="Times New Roman"/>
                <w:b/>
                <w:bCs/>
                <w:sz w:val="22"/>
                <w:szCs w:val="22"/>
                <w:lang w:val="en-US"/>
              </w:rPr>
            </w:pPr>
            <w:r>
              <w:rPr>
                <w:rFonts w:eastAsia="Times New Roman" w:cs="Times New Roman" w:ascii="Times New Roman" w:hAnsi="Times New Roman"/>
                <w:kern w:val="0"/>
                <w:sz w:val="22"/>
                <w:szCs w:val="22"/>
                <w:lang w:val="en-US" w:eastAsia="ru-RU" w:bidi="ar-SA"/>
              </w:rPr>
              <w:t>The share of science-business projects (BBB)</w:t>
            </w:r>
          </w:p>
        </w:tc>
        <w:tc>
          <w:tcPr>
            <w:tcW w:w="3224" w:type="dxa"/>
            <w:tcBorders/>
            <w:vAlign w:val="center"/>
          </w:tcPr>
          <w:p>
            <w:pPr>
              <w:pStyle w:val="Normal"/>
              <w:widowControl/>
              <w:spacing w:lineRule="auto" w:line="240" w:beforeAutospacing="1" w:after="0"/>
              <w:jc w:val="center"/>
              <w:rPr>
                <w:rFonts w:ascii="Times New Roman" w:hAnsi="Times New Roman" w:eastAsia="Times New Roman"/>
                <w:b/>
                <w:bCs/>
                <w:sz w:val="22"/>
                <w:szCs w:val="22"/>
              </w:rPr>
            </w:pPr>
            <w:r>
              <w:rPr>
                <w:rFonts w:eastAsia="Times New Roman" w:cs="Times New Roman" w:ascii="Times New Roman" w:hAnsi="Times New Roman"/>
                <w:kern w:val="0"/>
                <w:sz w:val="22"/>
                <w:szCs w:val="22"/>
                <w:lang w:val="kk-KZ" w:eastAsia="ru-RU" w:bidi="ar-SA"/>
              </w:rPr>
              <w:t>12</w:t>
            </w:r>
            <w:r>
              <w:rPr>
                <w:rFonts w:eastAsia="Times New Roman" w:cs="Times New Roman" w:ascii="Times New Roman" w:hAnsi="Times New Roman"/>
                <w:kern w:val="0"/>
                <w:sz w:val="22"/>
                <w:szCs w:val="22"/>
                <w:lang w:val="ru-RU" w:eastAsia="ru-RU" w:bidi="ar-SA"/>
              </w:rPr>
              <w:t> %</w:t>
            </w:r>
          </w:p>
        </w:tc>
        <w:tc>
          <w:tcPr>
            <w:tcW w:w="2897" w:type="dxa"/>
            <w:tcBorders/>
            <w:vAlign w:val="center"/>
          </w:tcPr>
          <w:p>
            <w:pPr>
              <w:pStyle w:val="Normal"/>
              <w:widowControl/>
              <w:spacing w:lineRule="auto" w:line="240" w:beforeAutospacing="1" w:after="0"/>
              <w:jc w:val="center"/>
              <w:rPr>
                <w:rFonts w:ascii="Times New Roman" w:hAnsi="Times New Roman" w:eastAsia="Times New Roman"/>
                <w:b/>
                <w:bCs/>
                <w:sz w:val="22"/>
                <w:szCs w:val="22"/>
              </w:rPr>
            </w:pPr>
            <w:r>
              <w:rPr>
                <w:rFonts w:eastAsia="Times New Roman" w:cs="Times New Roman" w:ascii="Times New Roman" w:hAnsi="Times New Roman"/>
                <w:kern w:val="0"/>
                <w:sz w:val="22"/>
                <w:szCs w:val="22"/>
                <w:lang w:val="kk-KZ" w:eastAsia="ru-RU" w:bidi="ar-SA"/>
              </w:rPr>
              <w:t xml:space="preserve">35 </w:t>
            </w:r>
            <w:r>
              <w:rPr>
                <w:rFonts w:eastAsia="Times New Roman" w:cs="Times New Roman" w:ascii="Times New Roman" w:hAnsi="Times New Roman"/>
                <w:kern w:val="0"/>
                <w:sz w:val="22"/>
                <w:szCs w:val="22"/>
                <w:lang w:val="ru-RU" w:eastAsia="ru-RU" w:bidi="ar-SA"/>
              </w:rPr>
              <w:t>%</w:t>
            </w:r>
          </w:p>
        </w:tc>
      </w:tr>
      <w:tr>
        <w:trPr/>
        <w:tc>
          <w:tcPr>
            <w:tcW w:w="3224" w:type="dxa"/>
            <w:tcBorders/>
          </w:tcPr>
          <w:p>
            <w:pPr>
              <w:pStyle w:val="Normal"/>
              <w:widowControl/>
              <w:spacing w:lineRule="auto" w:line="240" w:beforeAutospacing="1" w:after="0"/>
              <w:jc w:val="center"/>
              <w:rPr>
                <w:rFonts w:ascii="Times New Roman" w:hAnsi="Times New Roman" w:eastAsia="Times New Roman"/>
                <w:b/>
                <w:bCs/>
                <w:sz w:val="22"/>
                <w:szCs w:val="22"/>
              </w:rPr>
            </w:pPr>
            <w:r>
              <w:rPr>
                <w:rFonts w:eastAsia="Times New Roman" w:cs="Times New Roman" w:ascii="Times New Roman" w:hAnsi="Times New Roman"/>
                <w:kern w:val="0"/>
                <w:sz w:val="22"/>
                <w:szCs w:val="22"/>
                <w:lang w:val="ru-RU" w:eastAsia="ru-RU" w:bidi="ar-SA"/>
              </w:rPr>
              <w:t>Digital Competitiveness Index (C)</w:t>
            </w:r>
          </w:p>
        </w:tc>
        <w:tc>
          <w:tcPr>
            <w:tcW w:w="3224" w:type="dxa"/>
            <w:tcBorders/>
            <w:vAlign w:val="center"/>
          </w:tcPr>
          <w:p>
            <w:pPr>
              <w:pStyle w:val="Normal"/>
              <w:widowControl/>
              <w:spacing w:lineRule="auto" w:line="240" w:beforeAutospacing="1" w:after="0"/>
              <w:jc w:val="center"/>
              <w:rPr>
                <w:rFonts w:ascii="Times New Roman" w:hAnsi="Times New Roman" w:eastAsia="Times New Roman"/>
                <w:b/>
                <w:bCs/>
                <w:sz w:val="22"/>
                <w:szCs w:val="22"/>
              </w:rPr>
            </w:pPr>
            <w:r>
              <w:rPr>
                <w:rFonts w:eastAsia="Times New Roman" w:cs="Times New Roman" w:ascii="Times New Roman" w:hAnsi="Times New Roman"/>
                <w:kern w:val="0"/>
                <w:sz w:val="22"/>
                <w:szCs w:val="22"/>
                <w:lang w:val="ru-RU" w:eastAsia="ru-RU" w:bidi="ar-SA"/>
              </w:rPr>
              <w:t>34</w:t>
            </w:r>
            <w:r>
              <w:rPr>
                <w:rFonts w:eastAsia="Times New Roman" w:cs="Times New Roman" w:ascii="Times New Roman" w:hAnsi="Times New Roman"/>
                <w:kern w:val="0"/>
                <w:sz w:val="22"/>
                <w:szCs w:val="22"/>
                <w:vertAlign w:val="superscript"/>
                <w:lang w:val="ru-RU" w:eastAsia="ru-RU" w:bidi="ar-SA"/>
              </w:rPr>
              <w:t>th</w:t>
            </w:r>
            <w:r>
              <w:rPr>
                <w:rFonts w:eastAsia="Times New Roman" w:cs="Times New Roman" w:ascii="Times New Roman" w:hAnsi="Times New Roman"/>
                <w:kern w:val="0"/>
                <w:sz w:val="22"/>
                <w:szCs w:val="22"/>
                <w:lang w:val="ru-RU" w:eastAsia="ru-RU" w:bidi="ar-SA"/>
              </w:rPr>
              <w:t xml:space="preserve"> place</w:t>
            </w:r>
          </w:p>
        </w:tc>
        <w:tc>
          <w:tcPr>
            <w:tcW w:w="2897" w:type="dxa"/>
            <w:tcBorders/>
            <w:vAlign w:val="center"/>
          </w:tcPr>
          <w:p>
            <w:pPr>
              <w:pStyle w:val="Normal"/>
              <w:widowControl/>
              <w:spacing w:lineRule="auto" w:line="240" w:beforeAutospacing="1" w:after="0"/>
              <w:jc w:val="center"/>
              <w:rPr>
                <w:rFonts w:ascii="Times New Roman" w:hAnsi="Times New Roman" w:eastAsia="Times New Roman"/>
                <w:b/>
                <w:bCs/>
                <w:sz w:val="22"/>
                <w:szCs w:val="22"/>
                <w:lang w:val="en-US"/>
              </w:rPr>
            </w:pPr>
            <w:r>
              <w:rPr>
                <w:rFonts w:eastAsia="Times New Roman" w:cs="Times New Roman" w:ascii="Times New Roman" w:hAnsi="Times New Roman"/>
                <w:kern w:val="0"/>
                <w:sz w:val="22"/>
                <w:szCs w:val="22"/>
                <w:lang w:val="ru-RU" w:eastAsia="ru-RU" w:bidi="ar-SA"/>
              </w:rPr>
              <w:t>8</w:t>
            </w:r>
            <w:r>
              <w:rPr>
                <w:rFonts w:eastAsia="Times New Roman" w:cs="Times New Roman" w:ascii="Times New Roman" w:hAnsi="Times New Roman"/>
                <w:kern w:val="0"/>
                <w:sz w:val="22"/>
                <w:szCs w:val="22"/>
                <w:vertAlign w:val="superscript"/>
                <w:lang w:val="ru-RU" w:eastAsia="ru-RU" w:bidi="ar-SA"/>
              </w:rPr>
              <w:t>th</w:t>
            </w:r>
            <w:r>
              <w:rPr>
                <w:rFonts w:eastAsia="Times New Roman" w:cs="Times New Roman" w:ascii="Times New Roman" w:hAnsi="Times New Roman"/>
                <w:kern w:val="0"/>
                <w:sz w:val="22"/>
                <w:szCs w:val="22"/>
                <w:lang w:val="ru-RU" w:eastAsia="ru-RU" w:bidi="ar-SA"/>
              </w:rPr>
              <w:t xml:space="preserve"> place</w:t>
            </w:r>
          </w:p>
        </w:tc>
      </w:tr>
      <w:tr>
        <w:trPr/>
        <w:tc>
          <w:tcPr>
            <w:tcW w:w="9345" w:type="dxa"/>
            <w:gridSpan w:val="3"/>
            <w:tcBorders/>
          </w:tcPr>
          <w:p>
            <w:pPr>
              <w:pStyle w:val="Normal"/>
              <w:widowControl/>
              <w:spacing w:lineRule="auto" w:line="240" w:beforeAutospacing="1" w:after="0"/>
              <w:jc w:val="center"/>
              <w:rPr>
                <w:rFonts w:ascii="Times New Roman" w:hAnsi="Times New Roman" w:eastAsia="Times New Roman"/>
                <w:i/>
                <w:i/>
                <w:sz w:val="22"/>
                <w:szCs w:val="22"/>
                <w:lang w:val="en-US"/>
              </w:rPr>
            </w:pPr>
            <w:r>
              <w:rPr>
                <w:rFonts w:eastAsia="Calibri" w:cs="Times New Roman" w:ascii="Times New Roman" w:hAnsi="Times New Roman"/>
                <w:i/>
                <w:kern w:val="0"/>
                <w:sz w:val="22"/>
                <w:szCs w:val="22"/>
                <w:lang w:val="kk-KZ" w:eastAsia="ru-RU" w:bidi="ar-SA"/>
              </w:rPr>
              <w:t xml:space="preserve">Note. Compiled based on the source </w:t>
            </w:r>
            <w:r>
              <w:rPr>
                <w:rFonts w:eastAsia="Times New Roman" w:cs="Times New Roman" w:ascii="Times New Roman" w:hAnsi="Times New Roman"/>
                <w:i/>
                <w:kern w:val="0"/>
                <w:sz w:val="22"/>
                <w:szCs w:val="22"/>
                <w:lang w:val="kk-KZ" w:eastAsia="ru-RU" w:bidi="ar-SA"/>
              </w:rPr>
              <w:t>[7]</w:t>
            </w:r>
          </w:p>
        </w:tc>
      </w:tr>
    </w:tbl>
    <w:p>
      <w:pPr>
        <w:pStyle w:val="Normal"/>
        <w:spacing w:lineRule="auto" w:line="240" w:before="0" w:after="0"/>
        <w:ind w:firstLine="720"/>
        <w:jc w:val="both"/>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pacing w:lineRule="auto" w:line="240" w:before="0" w:after="0"/>
        <w:ind w:firstLine="720"/>
        <w:jc w:val="both"/>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t>Results and discussion.</w:t>
      </w:r>
      <w:r>
        <w:rPr>
          <w:rFonts w:eastAsia="Times New Roman" w:cs="Times New Roman" w:ascii="Times New Roman" w:hAnsi="Times New Roman"/>
          <w:b/>
          <w:sz w:val="24"/>
          <w:szCs w:val="24"/>
          <w:lang w:val="en-US" w:eastAsia="ru-RU"/>
        </w:rPr>
        <w:t xml:space="preserve"> </w:t>
      </w:r>
      <w:r>
        <w:rPr>
          <w:rFonts w:eastAsia="Times New Roman" w:cs="Times New Roman" w:ascii="Times New Roman" w:hAnsi="Times New Roman"/>
          <w:sz w:val="24"/>
          <w:szCs w:val="24"/>
          <w:lang w:val="en-US" w:eastAsia="ru-RU"/>
        </w:rPr>
        <w:t>The econometric and comparative analysis revealed a number of important relationships, confirming that the level of digitalization of the scientific sphere directly affects key macroeconomic parameters, in particular the index of digital competitiveness, innovation activity and R&amp;D productivity. The main regression model showed that the coefficient for the variable characterizing the digitalization of science (DDD) is 12.1, which indicates a high sensitivity of competitiveness to even minor changes in the level of digitalization. This means that the strategic expansion of digital infrastructure and tools in the scientific field can ensure the rapid development of not only the scientific sector itself, but also the economy as a whole due to multiplier effects. Additionally, calculations show that with the simultaneous improvement of all three indicators - the level of digitalization, the volume of R&amp;D and the share of joint projects with businesses - it is possible to achieve an increase in the country's digital competitiveness index by 4-6 points over 3-5 years. This is significant given the current international competition in the field of science and technology, where even one rating point can affect investment flows and international cooperation.</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 addition to the basic model, an assessment was made of the differences in the implementation of digital scientific initiatives between Kazakhstan and the Republic of Korea. The results are shown in the table:</w:t>
      </w:r>
    </w:p>
    <w:p>
      <w:pPr>
        <w:pStyle w:val="Normal"/>
        <w:spacing w:lineRule="auto" w:line="240" w:before="0" w:after="0"/>
        <w:ind w:firstLine="720"/>
        <w:jc w:val="both"/>
        <w:rPr>
          <w:rFonts w:ascii="Times New Roman" w:hAnsi="Times New Roman" w:eastAsia="Times New Roman" w:cs="Times New Roman"/>
          <w:lang w:val="en-US" w:eastAsia="ru-RU"/>
        </w:rPr>
      </w:pPr>
      <w:r>
        <w:rPr>
          <w:rFonts w:eastAsia="Times New Roman" w:cs="Times New Roman" w:ascii="Times New Roman" w:hAnsi="Times New Roman"/>
          <w:lang w:val="en-US" w:eastAsia="ru-RU"/>
        </w:rPr>
      </w:r>
    </w:p>
    <w:p>
      <w:pPr>
        <w:pStyle w:val="Normal"/>
        <w:spacing w:lineRule="auto" w:line="240" w:before="0" w:after="0"/>
        <w:ind w:firstLine="720"/>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val="en-US" w:eastAsia="ru-RU"/>
        </w:rPr>
        <w:t>Table 2 - Comparison of key areas of digitalization of science: Kazakhstan and the Republic of Korea in 2024</w:t>
      </w:r>
    </w:p>
    <w:p>
      <w:pPr>
        <w:pStyle w:val="Normal"/>
        <w:spacing w:lineRule="auto" w:line="240" w:before="0" w:after="0"/>
        <w:ind w:firstLine="720"/>
        <w:jc w:val="right"/>
        <w:rPr>
          <w:rFonts w:ascii="Times New Roman" w:hAnsi="Times New Roman" w:eastAsia="Times New Roman" w:cs="Times New Roman"/>
          <w:lang w:val="en-US" w:eastAsia="ru-RU"/>
        </w:rPr>
      </w:pPr>
      <w:r>
        <w:rPr>
          <w:rFonts w:eastAsia="Times New Roman" w:cs="Times New Roman" w:ascii="Times New Roman" w:hAnsi="Times New Roman"/>
          <w:lang w:val="en-US" w:eastAsia="ru-RU"/>
        </w:rPr>
      </w:r>
    </w:p>
    <w:tbl>
      <w:tblPr>
        <w:tblStyle w:val="ae"/>
        <w:tblW w:w="93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42"/>
        <w:gridCol w:w="2699"/>
        <w:gridCol w:w="3904"/>
      </w:tblGrid>
      <w:tr>
        <w:trPr/>
        <w:tc>
          <w:tcPr>
            <w:tcW w:w="2742" w:type="dxa"/>
            <w:tcBorders/>
          </w:tcPr>
          <w:p>
            <w:pPr>
              <w:pStyle w:val="NoSpacing"/>
              <w:widowControl/>
              <w:spacing w:before="0" w:after="0"/>
              <w:jc w:val="center"/>
              <w:rPr>
                <w:rFonts w:ascii="Times New Roman" w:hAnsi="Times New Roman"/>
                <w:b/>
                <w:sz w:val="22"/>
                <w:szCs w:val="22"/>
              </w:rPr>
            </w:pPr>
            <w:r>
              <w:rPr>
                <w:rFonts w:ascii="Times New Roman" w:hAnsi="Times New Roman"/>
                <w:b/>
                <w:kern w:val="0"/>
                <w:sz w:val="22"/>
                <w:szCs w:val="22"/>
                <w:lang w:eastAsia="ru-RU" w:bidi="ar-SA"/>
              </w:rPr>
              <w:t>The direction of digitalization</w:t>
            </w:r>
          </w:p>
        </w:tc>
        <w:tc>
          <w:tcPr>
            <w:tcW w:w="2699" w:type="dxa"/>
            <w:tcBorders/>
          </w:tcPr>
          <w:p>
            <w:pPr>
              <w:pStyle w:val="NoSpacing"/>
              <w:widowControl/>
              <w:spacing w:before="0" w:after="0"/>
              <w:jc w:val="center"/>
              <w:rPr>
                <w:rFonts w:ascii="Times New Roman" w:hAnsi="Times New Roman"/>
                <w:b/>
                <w:sz w:val="22"/>
                <w:szCs w:val="22"/>
              </w:rPr>
            </w:pPr>
            <w:r>
              <w:rPr>
                <w:rFonts w:ascii="Times New Roman" w:hAnsi="Times New Roman"/>
                <w:b/>
                <w:kern w:val="0"/>
                <w:sz w:val="22"/>
                <w:szCs w:val="22"/>
                <w:lang w:val="kk-KZ" w:eastAsia="ru-RU" w:bidi="ar-SA"/>
              </w:rPr>
              <w:t>Republic of Kazakhstan</w:t>
            </w:r>
          </w:p>
        </w:tc>
        <w:tc>
          <w:tcPr>
            <w:tcW w:w="3904" w:type="dxa"/>
            <w:tcBorders/>
          </w:tcPr>
          <w:p>
            <w:pPr>
              <w:pStyle w:val="NoSpacing"/>
              <w:widowControl/>
              <w:spacing w:before="0" w:after="0"/>
              <w:jc w:val="center"/>
              <w:rPr>
                <w:rFonts w:ascii="Times New Roman" w:hAnsi="Times New Roman"/>
                <w:b/>
                <w:sz w:val="22"/>
                <w:szCs w:val="22"/>
              </w:rPr>
            </w:pPr>
            <w:r>
              <w:rPr>
                <w:rFonts w:ascii="Times New Roman" w:hAnsi="Times New Roman"/>
                <w:b/>
                <w:kern w:val="0"/>
                <w:sz w:val="22"/>
                <w:szCs w:val="22"/>
                <w:lang w:eastAsia="ru-RU" w:bidi="ar-SA"/>
              </w:rPr>
              <w:t>Republic of Korea</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Unified Digital Science Platform</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Missing, using disparate ICS</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KISTI, NTIS – integrated platforms</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Open access to data and publications</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Partial, non-integrated</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Full, through the state platform</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Automating grant allocation</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Partially implemented (Science Fund)</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Fully automated via KIAT</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Integration of science and business</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Low, 12% of projects are joint</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High, more 35 %</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The use of AI and Big Data in science</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Local pilot projects</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At the level of national scientific programs</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Digital certification of results</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Practically absent</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Mandatory for all R&amp;D</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Digital skills of scientific staff</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Limited, fragmentary training</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Integrated into PhD programs and Master's degree programs</w:t>
            </w:r>
          </w:p>
        </w:tc>
      </w:tr>
      <w:tr>
        <w:trPr/>
        <w:tc>
          <w:tcPr>
            <w:tcW w:w="2742"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Standards of open science</w:t>
            </w:r>
          </w:p>
        </w:tc>
        <w:tc>
          <w:tcPr>
            <w:tcW w:w="2699"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They are not legally fixed</w:t>
            </w:r>
          </w:p>
        </w:tc>
        <w:tc>
          <w:tcPr>
            <w:tcW w:w="3904" w:type="dxa"/>
            <w:tcBorders/>
          </w:tcPr>
          <w:p>
            <w:pPr>
              <w:pStyle w:val="NoSpacing"/>
              <w:widowControl/>
              <w:spacing w:before="0" w:after="0"/>
              <w:jc w:val="center"/>
              <w:rPr>
                <w:rFonts w:ascii="Times New Roman" w:hAnsi="Times New Roman"/>
                <w:sz w:val="22"/>
                <w:szCs w:val="22"/>
              </w:rPr>
            </w:pPr>
            <w:r>
              <w:rPr>
                <w:rFonts w:ascii="Times New Roman" w:hAnsi="Times New Roman"/>
                <w:kern w:val="0"/>
                <w:sz w:val="22"/>
                <w:szCs w:val="22"/>
                <w:lang w:eastAsia="ru-RU" w:bidi="ar-SA"/>
              </w:rPr>
              <w:t>Implemented and mandatory since 2020</w:t>
            </w:r>
          </w:p>
        </w:tc>
      </w:tr>
      <w:tr>
        <w:trPr/>
        <w:tc>
          <w:tcPr>
            <w:tcW w:w="9345" w:type="dxa"/>
            <w:gridSpan w:val="3"/>
            <w:tcBorders/>
          </w:tcPr>
          <w:p>
            <w:pPr>
              <w:pStyle w:val="NoSpacing"/>
              <w:widowControl/>
              <w:spacing w:before="0" w:after="0"/>
              <w:jc w:val="center"/>
              <w:rPr>
                <w:rFonts w:ascii="Times New Roman" w:hAnsi="Times New Roman"/>
                <w:i/>
                <w:i/>
                <w:sz w:val="22"/>
                <w:szCs w:val="22"/>
                <w:lang w:val="kk-KZ"/>
              </w:rPr>
            </w:pPr>
            <w:r>
              <w:rPr>
                <w:rFonts w:ascii="Times New Roman" w:hAnsi="Times New Roman"/>
                <w:i/>
                <w:kern w:val="0"/>
                <w:sz w:val="22"/>
                <w:szCs w:val="22"/>
                <w:lang w:val="kk-KZ" w:eastAsia="ru-RU" w:bidi="ar-SA"/>
              </w:rPr>
              <w:t>Note – Developed by the authors</w:t>
            </w:r>
          </w:p>
        </w:tc>
      </w:tr>
    </w:tbl>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As can be seen from the table, Kazakhstan's lag is not so much due to the lack of basic digital solutions, but rather to the lack of a systemic strategy and coordination between participants in the scientific ecosystem. South Korea, on the contrary, was able to build a vertically integrated model of digital science, where each link - from universities to government agencies and businesses – operates within the framework of a common architecture [8]. In Kazakhstan, such elements exist in isolation and do not produce a synergistic effect. However, it is important to note that the potential for digitalization in the country remains high: the presence of technical universities, digital hubs, government support for the IT sector and the strategies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Digital Kazakhstan</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and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Science, Technology and Innovation </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2023-2027</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val="en-US" w:eastAsia="ru-RU"/>
        </w:rPr>
        <w:t xml:space="preserve"> creates the necessary conditions for the transition to a digital model of science [9].</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Thus, the main conclusions from the analysis are as follows: (1) the digitalization of science has a quantifiably significant impact on the economy and its competitiveness; (2) Kazakhstan's current position in the ratings and integrated digitalization indices remains below average, but demonstrates growth potential.; (3) The gap with developed countries is due to institutional and organizational barriers, not technical impossibility; (4) with the implementation of a holistic policy of digitalization of science, a short-term increase in the country's international position and an increase in the effectiveness of science as an industry are possible. The expected effect of improving digitalization is expressed not only in increasing ratings, but also in economic benefits: according to the calculations of the model, even with a conditional increase in the digitalization index of science by 0.2 (for example, from 0.45 to 0.65), an increase in innovation productivity is expected by 15-18%, a reduction in transaction costs by 20% and an increase in technology transfer by 25-30%. In the long term, this translates into an increase in the share of knowledge-intensive industries in GDP, the formation of sustainable competitive advantages and a reduction in dependence on the raw materials sector.</w:t>
      </w:r>
    </w:p>
    <w:p>
      <w:pPr>
        <w:pStyle w:val="Normal"/>
        <w:spacing w:lineRule="auto" w:line="240" w:before="0" w:after="0"/>
        <w:ind w:firstLine="720"/>
        <w:jc w:val="both"/>
        <w:rPr>
          <w:rFonts w:ascii="Times New Roman" w:hAnsi="Times New Roman" w:eastAsia="Times New Roman" w:cs="Times New Roman"/>
          <w:b/>
          <w:bCs/>
          <w:sz w:val="24"/>
          <w:szCs w:val="24"/>
          <w:lang w:val="en-US" w:eastAsia="ru-RU"/>
        </w:rPr>
      </w:pPr>
      <w:r>
        <w:rPr>
          <w:rFonts w:eastAsia="Times New Roman" w:cs="Times New Roman" w:ascii="Times New Roman" w:hAnsi="Times New Roman"/>
          <w:sz w:val="24"/>
          <w:szCs w:val="24"/>
          <w:lang w:val="en-US" w:eastAsia="ru-RU"/>
        </w:rPr>
        <w:t>Thus, the digitalization of science in Kazakhstan is not only a matter of modernizing the research environment, but also a strategic vector of transformation of the entire economy. It is necessary to accelerate the implementation of digital solutions, synchronize policies in science, education and innovation, as well as enhance international scientific cooperation through digital tools.</w:t>
      </w:r>
    </w:p>
    <w:p>
      <w:pPr>
        <w:pStyle w:val="Normal"/>
        <w:spacing w:lineRule="auto" w:line="240" w:before="0" w:after="0"/>
        <w:ind w:firstLine="720"/>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t>Conclusion.</w:t>
      </w:r>
      <w:r>
        <w:rPr>
          <w:rFonts w:eastAsia="Times New Roman" w:cs="Times New Roman" w:ascii="Times New Roman" w:hAnsi="Times New Roman"/>
          <w:b/>
          <w:bCs/>
          <w:sz w:val="24"/>
          <w:szCs w:val="24"/>
          <w:lang w:val="en-US" w:eastAsia="ru-RU"/>
        </w:rPr>
        <w:t xml:space="preserve"> </w:t>
      </w:r>
      <w:r>
        <w:rPr>
          <w:rFonts w:eastAsia="Times New Roman" w:cs="Times New Roman" w:ascii="Times New Roman" w:hAnsi="Times New Roman"/>
          <w:sz w:val="24"/>
          <w:szCs w:val="24"/>
          <w:lang w:val="en-US" w:eastAsia="ru-RU"/>
        </w:rPr>
        <w:t>At the present stage, the digitalization of science in the Republic of Kazakhstan is becoming an integral part of the formation of a competitive economy focused on innovative development and integration into the global scientific and technological space. The results of the study confirm that the level of digitalization of the scientific sphere has a significant impact on macroeconomic indicators, including the country's digital competitiveness index, R&amp;D productivity, innovation activity and investment attractiveness of high-tech industries [10]. However, the current level of digital maturity of Kazakh science is assessed as insufficient: there is no single digital platform covering all levels of scientific activity, there is a low share of digital services in the science management system, digital analytics and automation of scientific knowledge assessment and transfer processes are poorly developed. Additionally, structural problems have been identified, such as weak integration of science and business, limited access to international digital databases, and the lack of digital mechanisms for certification and verification of research results [11].</w:t>
      </w:r>
    </w:p>
    <w:p>
      <w:pPr>
        <w:pStyle w:val="Normal"/>
        <w:spacing w:lineRule="auto" w:line="240" w:before="0" w:after="0"/>
        <w:ind w:firstLine="72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These barriers reduce the effectiveness of public investment in science and hinder the country's innovation potential. To overcome these problems, it is necessary to implement a comprehensive strategy for the digitalization of science, including legislative support for digital transformation, the development of a unified scientific digital ecosystem, the introduction of open science standards, digital identifiers, and ensuring the cybersecurity of scientific data. A key focus should be the stimulation of intersectoral cooperation – between science, business and government - through digital platforms for joint research and development, the use of blockchain and AI technologies to manage scientific cycles and the introduction of digital KPIs to assess scientific effectiveness [12]. In addition, it is necessary to develop digital competencies among all participants in the scientific process: researchers, teachers, managers and experts, through targeted educational programs and digital acceleration. Only in the case of a systematic approach, the digitalization of science can become a powerful catalyst for the transition to a knowledge economy and ensure Kazakhstan's sustainable competitive advantage in the context of the fourth industrial revolution and global technological competition.</w:t>
      </w:r>
    </w:p>
    <w:p>
      <w:pPr>
        <w:pStyle w:val="Normal"/>
        <w:spacing w:lineRule="auto" w:line="240" w:before="0" w:after="0"/>
        <w:rPr>
          <w:rFonts w:ascii="Times New Roman" w:hAnsi="Times New Roman" w:cs="Times New Roman"/>
          <w:b/>
          <w:iCs/>
          <w:sz w:val="24"/>
          <w:szCs w:val="24"/>
          <w:lang w:val="en-US"/>
        </w:rPr>
      </w:pPr>
      <w:r>
        <w:rPr>
          <w:rFonts w:cs="Times New Roman" w:ascii="Times New Roman" w:hAnsi="Times New Roman"/>
          <w:b/>
          <w:iCs/>
          <w:sz w:val="24"/>
          <w:szCs w:val="24"/>
          <w:lang w:val="en-US"/>
        </w:rPr>
      </w:r>
    </w:p>
    <w:p>
      <w:pPr>
        <w:pStyle w:val="NormalWeb"/>
        <w:spacing w:before="0" w:after="0"/>
        <w:jc w:val="both"/>
        <w:rPr>
          <w:b/>
        </w:rPr>
      </w:pPr>
      <w:r>
        <w:rPr>
          <w:b/>
          <w:i/>
          <w:color w:val="FF0000"/>
          <w:lang w:val="en-US"/>
        </w:rPr>
        <w:tab/>
        <w:tab/>
        <w:tab/>
        <w:tab/>
        <w:tab/>
      </w:r>
      <w:r>
        <w:rPr>
          <w:b/>
        </w:rPr>
        <w:t>Литература</w:t>
      </w:r>
    </w:p>
    <w:p>
      <w:pPr>
        <w:pStyle w:val="NormalWeb"/>
        <w:spacing w:before="0" w:after="0"/>
        <w:jc w:val="both"/>
        <w:rPr>
          <w:b/>
          <w:color w:val="FF0000"/>
        </w:rPr>
      </w:pPr>
      <w:r>
        <w:rPr>
          <w:b/>
          <w:color w:val="FF0000"/>
        </w:rPr>
      </w:r>
    </w:p>
    <w:p>
      <w:pPr>
        <w:pStyle w:val="NormalWeb"/>
        <w:tabs>
          <w:tab w:val="clear" w:pos="708"/>
          <w:tab w:val="left" w:pos="0" w:leader="none"/>
        </w:tabs>
        <w:spacing w:before="0" w:after="0"/>
        <w:jc w:val="both"/>
        <w:rPr>
          <w:lang w:val="en-US"/>
        </w:rPr>
      </w:pPr>
      <w:r>
        <w:rPr/>
        <w:t xml:space="preserve">1. Сембин А.Б. Управление проектами в условиях цифровой трансформации Казахстана.-2021.- </w:t>
      </w:r>
      <w:r>
        <w:rPr>
          <w:lang w:val="en-US"/>
        </w:rPr>
        <w:t xml:space="preserve">№ 3(91). - </w:t>
      </w:r>
      <w:r>
        <w:rPr/>
        <w:t>С</w:t>
      </w:r>
      <w:r>
        <w:rPr>
          <w:lang w:val="en-US"/>
        </w:rPr>
        <w:t>.229-234.</w:t>
      </w:r>
      <w:r>
        <w:rPr>
          <w:sz w:val="25"/>
          <w:szCs w:val="25"/>
          <w:shd w:fill="FFFFFF" w:val="clear"/>
          <w:lang w:val="en-US"/>
        </w:rPr>
        <w:t xml:space="preserve"> </w:t>
      </w:r>
      <w:r>
        <w:rPr>
          <w:shd w:fill="FFFFFF" w:val="clear"/>
          <w:lang w:val="en-US"/>
        </w:rPr>
        <w:t>DOI 10.46914/1562-2959-2021-1-3-229-234.</w:t>
      </w:r>
      <w:r>
        <w:rPr>
          <w:lang w:val="kk-KZ"/>
        </w:rPr>
        <w:t xml:space="preserve"> </w:t>
      </w:r>
    </w:p>
    <w:p>
      <w:pPr>
        <w:pStyle w:val="NormalWeb"/>
        <w:tabs>
          <w:tab w:val="clear" w:pos="708"/>
          <w:tab w:val="left" w:pos="0" w:leader="none"/>
        </w:tabs>
        <w:spacing w:before="0" w:after="0"/>
        <w:jc w:val="both"/>
        <w:rPr>
          <w:lang w:val="en-US"/>
        </w:rPr>
      </w:pPr>
      <w:r>
        <w:rPr>
          <w:lang w:val="en-US"/>
        </w:rPr>
        <w:t>2.</w:t>
      </w:r>
      <w:r>
        <w:rPr>
          <w:iCs/>
          <w:lang w:val="en-US"/>
        </w:rPr>
        <w:t xml:space="preserve">Dauliyeva G., Islamoglu M., Yeraliyeva A. Digital Economy as a Factor of Sustainable Development Goals Progression in Kazakhstan. //Farabi Journal of Social Sciences/ </w:t>
      </w:r>
      <w:r>
        <w:rPr>
          <w:rFonts w:eastAsia="Times New Roman"/>
          <w:lang w:val="en-US" w:eastAsia="ru-RU"/>
        </w:rPr>
        <w:t>economics &amp; management-2</w:t>
      </w:r>
      <w:r>
        <w:rPr>
          <w:iCs/>
          <w:lang w:val="en-US"/>
        </w:rPr>
        <w:t xml:space="preserve">023.- Vol 9(2). - P.98-105. </w:t>
      </w:r>
      <w:hyperlink r:id="rId250">
        <w:r>
          <w:rPr>
            <w:rStyle w:val="Hyperlink"/>
            <w:iCs/>
            <w:color w:val="auto"/>
            <w:u w:val="none"/>
            <w:lang w:val="en-US"/>
          </w:rPr>
          <w:t>DOI</w:t>
        </w:r>
      </w:hyperlink>
      <w:r>
        <w:rPr>
          <w:iCs/>
          <w:lang w:val="en-US"/>
        </w:rPr>
        <w:t xml:space="preserve"> 10.26577/FJSS.2023.v9.i2.010.</w:t>
      </w:r>
    </w:p>
    <w:p>
      <w:pPr>
        <w:pStyle w:val="ListParagraph"/>
        <w:tabs>
          <w:tab w:val="clear" w:pos="708"/>
          <w:tab w:val="left" w:pos="142" w:leader="none"/>
          <w:tab w:val="left" w:pos="284" w:leader="none"/>
        </w:tabs>
        <w:ind w:left="0"/>
        <w:jc w:val="both"/>
        <w:rPr>
          <w:iCs/>
          <w:lang w:val="en-US"/>
        </w:rPr>
      </w:pPr>
      <w:r>
        <w:rPr>
          <w:iCs/>
          <w:lang w:val="en-US"/>
        </w:rPr>
        <w:t>3.Technology and Innovation Outlook 2023//OECD. -2023.- P.1-227. DOI 10.1787/0b55736e-en.</w:t>
      </w:r>
      <w:r>
        <w:rPr>
          <w:iCs/>
          <w:lang w:val="kk-KZ"/>
        </w:rPr>
        <w:t xml:space="preserve"> </w:t>
      </w:r>
    </w:p>
    <w:p>
      <w:pPr>
        <w:pStyle w:val="ListParagraph"/>
        <w:tabs>
          <w:tab w:val="clear" w:pos="708"/>
          <w:tab w:val="left" w:pos="284" w:leader="none"/>
        </w:tabs>
        <w:ind w:left="0"/>
        <w:jc w:val="both"/>
        <w:rPr>
          <w:iCs/>
          <w:lang w:val="kk-KZ"/>
        </w:rPr>
      </w:pPr>
      <w:r>
        <w:rPr>
          <w:iCs/>
          <w:lang w:val="en-US"/>
        </w:rPr>
        <w:t xml:space="preserve">4. Sadyrova M., Yusupov K., Imanbekova B. Innovation processes in Kazakhstan: development factors //Journal of Innovation and Entrepreneurship. -2021.-Vol.10(1).-P.1-13. </w:t>
      </w:r>
      <w:r>
        <w:rPr>
          <w:iCs/>
          <w:lang w:val="kk-KZ"/>
        </w:rPr>
        <w:t>DOI</w:t>
      </w:r>
      <w:r>
        <w:rPr>
          <w:iCs/>
          <w:lang w:val="en-US"/>
        </w:rPr>
        <w:t xml:space="preserve"> </w:t>
      </w:r>
      <w:r>
        <w:rPr>
          <w:iCs/>
          <w:lang w:val="kk-KZ"/>
        </w:rPr>
        <w:t>10.1186/s13731-021-00183-3.</w:t>
      </w:r>
    </w:p>
    <w:p>
      <w:pPr>
        <w:pStyle w:val="ListParagraph"/>
        <w:tabs>
          <w:tab w:val="clear" w:pos="708"/>
          <w:tab w:val="left" w:pos="284" w:leader="none"/>
        </w:tabs>
        <w:ind w:left="0"/>
        <w:jc w:val="both"/>
        <w:rPr>
          <w:rFonts w:cs="" w:asciiTheme="majorBidi" w:cstheme="majorBidi" w:hAnsiTheme="majorBidi"/>
          <w:iCs/>
          <w:lang w:val="en-US"/>
        </w:rPr>
      </w:pPr>
      <w:r>
        <w:rPr>
          <w:iCs/>
          <w:lang w:val="en-US"/>
        </w:rPr>
        <w:t>5. Yeraliyeva A., Dauliyeva G., Andabayeva G., Nurmanova B. Effectiveness of public administration of the digital economy in Kazakhstan. Problems and Perspectives in Management. -2023.-Vol. 21(3).-</w:t>
      </w:r>
      <w:r>
        <w:rPr>
          <w:rFonts w:cs="" w:asciiTheme="majorBidi" w:cstheme="majorBidi" w:hAnsiTheme="majorBidi"/>
          <w:iCs/>
          <w:lang w:val="en-US"/>
        </w:rPr>
        <w:t>P.125-137.</w:t>
      </w:r>
      <w:r>
        <w:rPr>
          <w:rFonts w:cs="" w:asciiTheme="majorBidi" w:cstheme="majorBidi" w:hAnsiTheme="majorBidi"/>
          <w:lang w:val="en-US"/>
        </w:rPr>
        <w:t xml:space="preserve"> DOI 10.21511/ppm.21(3).2023.10</w:t>
      </w:r>
      <w:r>
        <w:rPr>
          <w:rFonts w:cs="" w:asciiTheme="majorBidi" w:cstheme="majorBidi" w:hAnsiTheme="majorBidi"/>
          <w:iCs/>
          <w:lang w:val="en-US"/>
        </w:rPr>
        <w:t xml:space="preserve">. </w:t>
      </w:r>
    </w:p>
    <w:p>
      <w:pPr>
        <w:pStyle w:val="Normal"/>
        <w:shd w:val="clear" w:color="auto" w:fill="FFFFFF"/>
        <w:spacing w:lineRule="auto" w:line="240" w:before="0" w:after="0"/>
        <w:jc w:val="both"/>
        <w:rPr>
          <w:rFonts w:ascii="Times New Roman" w:hAnsi="Times New Roman" w:eastAsia="Times New Roman" w:cs="Times New Roman"/>
          <w:sz w:val="24"/>
          <w:szCs w:val="24"/>
          <w:lang w:val="en-US" w:eastAsia="ru-RU"/>
        </w:rPr>
      </w:pPr>
      <w:r>
        <w:rPr>
          <w:rFonts w:cs="Times New Roman" w:ascii="Times New Roman" w:hAnsi="Times New Roman"/>
          <w:iCs/>
          <w:sz w:val="24"/>
          <w:szCs w:val="24"/>
          <w:lang w:val="en-US"/>
        </w:rPr>
        <w:t>6. Wijaya J.R.T.,Manurung M. R.A.The Impact of Digitalization on Financial Accounting Practices: A Literature Review in the Scopus Database//</w:t>
      </w:r>
      <w:r>
        <w:rPr>
          <w:rFonts w:eastAsia="Times New Roman" w:cs="Times New Roman" w:ascii="Times New Roman" w:hAnsi="Times New Roman"/>
          <w:color w:val="555555"/>
          <w:sz w:val="24"/>
          <w:szCs w:val="24"/>
          <w:lang w:val="en-US" w:eastAsia="ru-RU"/>
        </w:rPr>
        <w:t xml:space="preserve"> </w:t>
      </w:r>
      <w:hyperlink r:id="rId251">
        <w:r>
          <w:rPr>
            <w:rStyle w:val="Style3"/>
            <w:rFonts w:eastAsia="Times New Roman" w:cs="Times New Roman" w:ascii="Times New Roman" w:hAnsi="Times New Roman"/>
            <w:sz w:val="24"/>
            <w:szCs w:val="24"/>
            <w:lang w:val="en-US" w:eastAsia="ru-RU"/>
          </w:rPr>
          <w:t>Review of Applied Accounting Research (RAAR)</w:t>
        </w:r>
      </w:hyperlink>
      <w:r>
        <w:rPr>
          <w:rFonts w:cs="Times New Roman" w:ascii="Times New Roman" w:hAnsi="Times New Roman"/>
          <w:iCs/>
          <w:sz w:val="24"/>
          <w:szCs w:val="24"/>
          <w:lang w:val="en-US"/>
        </w:rPr>
        <w:t xml:space="preserve"> -2025.-Vol.5(1).-P.53-70. DOI 10.30595/raar.v5i1.26345.</w:t>
      </w:r>
    </w:p>
    <w:p>
      <w:pPr>
        <w:pStyle w:val="ListParagraph"/>
        <w:tabs>
          <w:tab w:val="clear" w:pos="708"/>
          <w:tab w:val="left" w:pos="284" w:leader="none"/>
        </w:tabs>
        <w:ind w:left="0"/>
        <w:jc w:val="both"/>
        <w:rPr>
          <w:iCs/>
          <w:lang w:val="en-US"/>
        </w:rPr>
      </w:pPr>
      <w:r>
        <w:rPr>
          <w:iCs/>
          <w:lang w:val="en-US"/>
        </w:rPr>
        <w:t xml:space="preserve">7. Turarova A.M. Dabyltayeva N.E., Ruziyeva E.A. et al.  Unlocking Intersectoral Integration in Kazakhstan’s Agro-Industrial Complex: Technological Innovations, Knowledge Transfer, and Value Chain Governance as Predictors// Economies. -2023.-Vol.11(8):211 </w:t>
      </w:r>
    </w:p>
    <w:p>
      <w:pPr>
        <w:pStyle w:val="ListParagraph"/>
        <w:tabs>
          <w:tab w:val="clear" w:pos="708"/>
          <w:tab w:val="left" w:pos="284" w:leader="none"/>
        </w:tabs>
        <w:ind w:left="0"/>
        <w:jc w:val="both"/>
        <w:rPr>
          <w:iCs/>
          <w:lang w:val="kk-KZ"/>
        </w:rPr>
      </w:pPr>
      <w:r>
        <w:rPr>
          <w:iCs/>
          <w:lang w:val="en-US"/>
        </w:rPr>
        <w:t>DOI 10.3390/economies11080211.</w:t>
      </w:r>
    </w:p>
    <w:p>
      <w:pPr>
        <w:pStyle w:val="ListParagraph"/>
        <w:tabs>
          <w:tab w:val="clear" w:pos="708"/>
          <w:tab w:val="left" w:pos="284" w:leader="none"/>
        </w:tabs>
        <w:ind w:left="0"/>
        <w:jc w:val="both"/>
        <w:rPr>
          <w:iCs/>
          <w:lang w:val="kk-KZ"/>
        </w:rPr>
      </w:pPr>
      <w:r>
        <w:rPr>
          <w:rFonts w:cs="" w:asciiTheme="majorBidi" w:cstheme="majorBidi" w:hAnsiTheme="majorBidi"/>
          <w:lang w:val="en-US"/>
        </w:rPr>
        <w:t>8. Gafu G., D. Hernández</w:t>
        <w:noBreakHyphen/>
        <w:t xml:space="preserve">Torrano, N.Terlikbayeva, A. Zhanseitova. </w:t>
      </w:r>
      <w:r>
        <w:rPr>
          <w:iCs/>
          <w:lang w:val="kk-KZ"/>
        </w:rPr>
        <w:t>Mapping the Landscape of SDG Research in Kazakhstan: A Machine Learning–Based Approach</w:t>
      </w:r>
      <w:r>
        <w:rPr>
          <w:iCs/>
          <w:lang w:val="en-US"/>
        </w:rPr>
        <w:t>//</w:t>
      </w:r>
      <w:r>
        <w:rPr>
          <w:iCs/>
          <w:lang w:val="kk-KZ"/>
        </w:rPr>
        <w:t xml:space="preserve"> Journal of the Knowledge Economy.</w:t>
      </w:r>
      <w:r>
        <w:rPr>
          <w:iCs/>
          <w:lang w:val="en-US"/>
        </w:rPr>
        <w:t>-</w:t>
      </w:r>
      <w:r>
        <w:rPr>
          <w:iCs/>
          <w:lang w:val="kk-KZ"/>
        </w:rPr>
        <w:t>2024.</w:t>
      </w:r>
      <w:r>
        <w:rPr>
          <w:iCs/>
          <w:lang w:val="en-US"/>
        </w:rPr>
        <w:t>- Vol.16(5).-P. 15879-15904.</w:t>
      </w:r>
      <w:r>
        <w:rPr>
          <w:iCs/>
          <w:lang w:val="kk-KZ"/>
        </w:rPr>
        <w:t>DOI</w:t>
      </w:r>
      <w:r>
        <w:rPr>
          <w:iCs/>
          <w:lang w:val="en-US"/>
        </w:rPr>
        <w:t xml:space="preserve"> </w:t>
      </w:r>
      <w:r>
        <w:rPr>
          <w:iCs/>
          <w:lang w:val="kk-KZ"/>
        </w:rPr>
        <w:t xml:space="preserve"> 10.1007/s13132-024-02543-2.</w:t>
      </w:r>
    </w:p>
    <w:p>
      <w:pPr>
        <w:pStyle w:val="ListParagraph"/>
        <w:shd w:val="clear" w:color="auto" w:fill="FFFFFF"/>
        <w:tabs>
          <w:tab w:val="clear" w:pos="708"/>
          <w:tab w:val="left" w:pos="284" w:leader="none"/>
        </w:tabs>
        <w:spacing w:beforeAutospacing="1" w:afterAutospacing="1"/>
        <w:ind w:left="0"/>
        <w:contextualSpacing/>
        <w:jc w:val="both"/>
        <w:rPr>
          <w:iCs/>
          <w:lang w:val="kk-KZ"/>
        </w:rPr>
      </w:pPr>
      <w:r>
        <w:rPr>
          <w:iCs/>
          <w:lang w:val="en-US"/>
        </w:rPr>
        <w:t xml:space="preserve">9. </w:t>
      </w:r>
      <w:r>
        <w:rPr>
          <w:iCs/>
          <w:lang w:val="kk-KZ"/>
        </w:rPr>
        <w:t xml:space="preserve">Shevyakova A., Petrenko Y., Daribekova A., Daribekova N. Features and public financing of digitalization and E-Government: The case of  Kazakhstan </w:t>
      </w:r>
      <w:r>
        <w:rPr>
          <w:iCs/>
          <w:lang w:val="en-US"/>
        </w:rPr>
        <w:t>//</w:t>
      </w:r>
      <w:r>
        <w:rPr>
          <w:lang w:val="en-US"/>
        </w:rPr>
        <w:t xml:space="preserve"> </w:t>
      </w:r>
      <w:r>
        <w:rPr>
          <w:iCs/>
          <w:lang w:val="en-US"/>
        </w:rPr>
        <w:t>Journal of Infrastructure, Policy and Development.</w:t>
      </w:r>
      <w:r>
        <w:rPr>
          <w:iCs/>
          <w:lang w:val="kk-KZ"/>
        </w:rPr>
        <w:t xml:space="preserve"> </w:t>
      </w:r>
      <w:r>
        <w:rPr>
          <w:iCs/>
          <w:lang w:val="en-US"/>
        </w:rPr>
        <w:t>-</w:t>
      </w:r>
      <w:r>
        <w:rPr>
          <w:iCs/>
          <w:lang w:val="kk-KZ"/>
        </w:rPr>
        <w:t>2024</w:t>
      </w:r>
      <w:r>
        <w:rPr>
          <w:iCs/>
          <w:lang w:val="en-US"/>
        </w:rPr>
        <w:t>.-</w:t>
      </w:r>
      <w:r>
        <w:rPr>
          <w:iCs/>
          <w:lang w:val="kk-KZ"/>
        </w:rPr>
        <w:t>Vol</w:t>
      </w:r>
      <w:r>
        <w:rPr>
          <w:iCs/>
          <w:lang w:val="en-US"/>
        </w:rPr>
        <w:t>.</w:t>
      </w:r>
      <w:r>
        <w:rPr>
          <w:iCs/>
          <w:lang w:val="kk-KZ"/>
        </w:rPr>
        <w:t>8</w:t>
      </w:r>
      <w:r>
        <w:rPr>
          <w:iCs/>
          <w:lang w:val="en-US"/>
        </w:rPr>
        <w:t>(</w:t>
      </w:r>
      <w:r>
        <w:rPr>
          <w:iCs/>
          <w:lang w:val="kk-KZ"/>
        </w:rPr>
        <w:t>5</w:t>
      </w:r>
      <w:r>
        <w:rPr>
          <w:iCs/>
          <w:lang w:val="en-US"/>
        </w:rPr>
        <w:t>): 3074.</w:t>
      </w:r>
      <w:r>
        <w:rPr>
          <w:iCs/>
          <w:lang w:val="kk-KZ"/>
        </w:rPr>
        <w:t xml:space="preserve"> DOI</w:t>
      </w:r>
      <w:r>
        <w:rPr>
          <w:iCs/>
        </w:rPr>
        <w:t xml:space="preserve"> </w:t>
      </w:r>
      <w:r>
        <w:rPr>
          <w:iCs/>
          <w:lang w:val="kk-KZ"/>
        </w:rPr>
        <w:t xml:space="preserve">10.24294/jipd.v8i5.3074. </w:t>
      </w:r>
    </w:p>
    <w:p>
      <w:pPr>
        <w:pStyle w:val="ListParagraph"/>
        <w:tabs>
          <w:tab w:val="clear" w:pos="708"/>
          <w:tab w:val="left" w:pos="284" w:leader="none"/>
          <w:tab w:val="left" w:pos="426" w:leader="none"/>
        </w:tabs>
        <w:ind w:left="0"/>
        <w:jc w:val="both"/>
        <w:rPr>
          <w:iCs/>
          <w:lang w:val="kk-KZ"/>
        </w:rPr>
      </w:pPr>
      <w:r>
        <w:rPr>
          <w:iCs/>
          <w:lang w:val="kk-KZ"/>
        </w:rPr>
        <w:t>10. Хамраева Р.А., Сыздыкбаева К.Г., Омаров Г.Б. Влияние цифровых технологий на экономику Казахстана//Международный журнал информационных и коммуникационных технологий.- 2021.- Vol.1(1).-P.211-214. DOI</w:t>
      </w:r>
      <w:r>
        <w:rPr>
          <w:iCs/>
          <w:lang w:val="en-US"/>
        </w:rPr>
        <w:t xml:space="preserve"> </w:t>
      </w:r>
      <w:r>
        <w:rPr>
          <w:iCs/>
          <w:lang w:val="kk-KZ"/>
        </w:rPr>
        <w:t>10.54309/IJICT.2020.1.1.068.</w:t>
      </w:r>
    </w:p>
    <w:p>
      <w:pPr>
        <w:pStyle w:val="ListParagraph"/>
        <w:tabs>
          <w:tab w:val="clear" w:pos="708"/>
          <w:tab w:val="left" w:pos="284" w:leader="none"/>
          <w:tab w:val="left" w:pos="426" w:leader="none"/>
        </w:tabs>
        <w:ind w:left="0"/>
        <w:jc w:val="both"/>
        <w:rPr>
          <w:iCs/>
          <w:lang w:val="kk-KZ"/>
        </w:rPr>
      </w:pPr>
      <w:r>
        <w:rPr>
          <w:iCs/>
          <w:lang w:val="en-US"/>
        </w:rPr>
        <w:t xml:space="preserve">11. </w:t>
      </w:r>
      <w:r>
        <w:rPr>
          <w:iCs/>
          <w:lang w:val="kk-KZ"/>
        </w:rPr>
        <w:t>Karipbayev B.I., Zhakin S.M., Seifullina G.R. Kazakhstan’s Digitalization Format: Identity and Future.</w:t>
      </w:r>
      <w:r>
        <w:rPr>
          <w:iCs/>
          <w:lang w:val="en-US"/>
        </w:rPr>
        <w:t>//</w:t>
      </w:r>
      <w:r>
        <w:rPr>
          <w:iCs/>
          <w:lang w:val="kk-KZ"/>
        </w:rPr>
        <w:t>RUDN Journal of Philosophy</w:t>
      </w:r>
      <w:r>
        <w:rPr>
          <w:iCs/>
          <w:lang w:val="en-US"/>
        </w:rPr>
        <w:t>.-2025.-</w:t>
      </w:r>
      <w:r>
        <w:rPr>
          <w:iCs/>
          <w:lang w:val="kk-KZ"/>
        </w:rPr>
        <w:t>Vol 29(2)</w:t>
      </w:r>
      <w:r>
        <w:rPr>
          <w:iCs/>
          <w:lang w:val="en-US"/>
        </w:rPr>
        <w:t>-P</w:t>
      </w:r>
      <w:r>
        <w:rPr>
          <w:iCs/>
          <w:lang w:val="kk-KZ"/>
        </w:rPr>
        <w:t>. 535-547. DOI</w:t>
      </w:r>
      <w:r>
        <w:rPr>
          <w:iCs/>
          <w:lang w:val="en-US"/>
        </w:rPr>
        <w:t xml:space="preserve"> </w:t>
      </w:r>
      <w:r>
        <w:rPr>
          <w:iCs/>
          <w:lang w:val="kk-KZ"/>
        </w:rPr>
        <w:t>10.22363/2313-2302-2025-29-2-535-547.</w:t>
      </w:r>
    </w:p>
    <w:p>
      <w:pPr>
        <w:pStyle w:val="ListParagraph"/>
        <w:tabs>
          <w:tab w:val="clear" w:pos="708"/>
          <w:tab w:val="left" w:pos="360" w:leader="none"/>
        </w:tabs>
        <w:ind w:left="0"/>
        <w:jc w:val="both"/>
        <w:rPr>
          <w:iCs/>
          <w:lang w:val="en-US"/>
        </w:rPr>
      </w:pPr>
      <w:r>
        <w:rPr>
          <w:iCs/>
          <w:lang w:val="en-US"/>
        </w:rPr>
        <w:t xml:space="preserve">12. </w:t>
      </w:r>
      <w:r>
        <w:rPr>
          <w:iCs/>
          <w:lang w:val="kk-KZ"/>
        </w:rPr>
        <w:t>Denissova O., Konurbayeva Z., Kulisz M., Yussubaliyeva M., Suieubayeva S. Measuring the Digital Economy in Kazakhstan: From Global Indices to a Contextual Composite Index (IDED)</w:t>
      </w:r>
      <w:r>
        <w:rPr>
          <w:iCs/>
          <w:lang w:val="en-US"/>
        </w:rPr>
        <w:t>//</w:t>
      </w:r>
      <w:r>
        <w:rPr>
          <w:iCs/>
          <w:lang w:val="kk-KZ"/>
        </w:rPr>
        <w:t>Economies.</w:t>
      </w:r>
      <w:r>
        <w:rPr>
          <w:iCs/>
          <w:lang w:val="en-US"/>
        </w:rPr>
        <w:t>-</w:t>
      </w:r>
      <w:r>
        <w:rPr>
          <w:iCs/>
          <w:lang w:val="kk-KZ"/>
        </w:rPr>
        <w:t>2025</w:t>
      </w:r>
      <w:r>
        <w:rPr>
          <w:iCs/>
          <w:lang w:val="en-US"/>
        </w:rPr>
        <w:t>.-Vol.</w:t>
      </w:r>
      <w:r>
        <w:rPr>
          <w:iCs/>
          <w:lang w:val="kk-KZ"/>
        </w:rPr>
        <w:t>13(8)</w:t>
      </w:r>
      <w:r>
        <w:rPr>
          <w:iCs/>
          <w:lang w:val="en-US"/>
        </w:rPr>
        <w:t xml:space="preserve">:225 </w:t>
      </w:r>
      <w:r>
        <w:rPr>
          <w:iCs/>
          <w:lang w:val="kk-KZ"/>
        </w:rPr>
        <w:t>DOI</w:t>
      </w:r>
      <w:r>
        <w:rPr>
          <w:iCs/>
          <w:lang w:val="en-US"/>
        </w:rPr>
        <w:t xml:space="preserve"> </w:t>
      </w:r>
      <w:r>
        <w:rPr>
          <w:iCs/>
          <w:lang w:val="kk-KZ"/>
        </w:rPr>
        <w:t>10.3390/economies13080225.</w:t>
      </w:r>
      <w:r>
        <w:rPr>
          <w:iCs/>
          <w:lang w:val="en-US"/>
        </w:rPr>
        <w:t xml:space="preserve"> </w:t>
      </w:r>
    </w:p>
    <w:p>
      <w:pPr>
        <w:pStyle w:val="ListParagraph"/>
        <w:tabs>
          <w:tab w:val="clear" w:pos="708"/>
          <w:tab w:val="left" w:pos="360" w:leader="none"/>
        </w:tabs>
        <w:ind w:left="0"/>
        <w:jc w:val="both"/>
        <w:rPr>
          <w:iCs/>
          <w:lang w:val="kk-KZ"/>
        </w:rPr>
      </w:pPr>
      <w:r>
        <w:rPr>
          <w:iCs/>
          <w:lang w:val="kk-KZ"/>
        </w:rPr>
      </w:r>
    </w:p>
    <w:p>
      <w:pPr>
        <w:pStyle w:val="Normal"/>
        <w:spacing w:lineRule="auto" w:line="240" w:before="0" w:after="0"/>
        <w:ind w:firstLine="720"/>
        <w:jc w:val="center"/>
        <w:rPr>
          <w:rFonts w:ascii="Times New Roman" w:hAnsi="Times New Roman" w:cs="Times New Roman"/>
          <w:b/>
          <w:iCs/>
          <w:sz w:val="24"/>
          <w:szCs w:val="24"/>
          <w:lang w:val="en-US"/>
        </w:rPr>
      </w:pPr>
      <w:r>
        <w:rPr>
          <w:rFonts w:cs="Times New Roman" w:ascii="Times New Roman" w:hAnsi="Times New Roman"/>
          <w:b/>
          <w:iCs/>
          <w:sz w:val="24"/>
          <w:szCs w:val="24"/>
          <w:lang w:val="en-US"/>
        </w:rPr>
        <w:t>References</w:t>
      </w:r>
    </w:p>
    <w:p>
      <w:pPr>
        <w:pStyle w:val="Normal"/>
        <w:spacing w:lineRule="auto" w:line="240" w:before="0" w:after="0"/>
        <w:ind w:firstLine="720"/>
        <w:jc w:val="center"/>
        <w:rPr>
          <w:rFonts w:ascii="Times New Roman" w:hAnsi="Times New Roman" w:cs="Times New Roman"/>
          <w:b/>
          <w:iCs/>
          <w:sz w:val="24"/>
          <w:szCs w:val="24"/>
          <w:lang w:val="en-US"/>
        </w:rPr>
      </w:pPr>
      <w:r>
        <w:rPr>
          <w:rFonts w:cs="Times New Roman" w:ascii="Times New Roman" w:hAnsi="Times New Roman"/>
          <w:b/>
          <w:iCs/>
          <w:sz w:val="24"/>
          <w:szCs w:val="24"/>
          <w:lang w:val="en-US"/>
        </w:rPr>
      </w:r>
    </w:p>
    <w:p>
      <w:pPr>
        <w:pStyle w:val="Normal"/>
        <w:spacing w:lineRule="auto" w:line="240" w:before="0" w:after="0"/>
        <w:rPr>
          <w:rFonts w:ascii="Times New Roman" w:hAnsi="Times New Roman" w:cs="Times New Roman"/>
          <w:iCs/>
          <w:sz w:val="24"/>
          <w:szCs w:val="24"/>
          <w:lang w:val="en-US"/>
        </w:rPr>
      </w:pPr>
      <w:r>
        <w:rPr>
          <w:rFonts w:cs="Times New Roman" w:ascii="Times New Roman" w:hAnsi="Times New Roman"/>
          <w:iCs/>
          <w:sz w:val="24"/>
          <w:szCs w:val="24"/>
          <w:lang w:val="en-US"/>
        </w:rPr>
        <w:t>1. Sembin A.B. Upravlenie proektami v uslovijah cifrovoj transformacii Kazahstana.-2021.- № 3(91). - S.229-234. DOI 10.46914/1562-2959-2021-1-3-229-234. [in Russian]</w:t>
      </w:r>
    </w:p>
    <w:p>
      <w:pPr>
        <w:pStyle w:val="NormalWeb"/>
        <w:tabs>
          <w:tab w:val="clear" w:pos="708"/>
          <w:tab w:val="left" w:pos="0" w:leader="none"/>
        </w:tabs>
        <w:spacing w:before="0" w:after="0"/>
        <w:jc w:val="both"/>
        <w:rPr>
          <w:lang w:val="en-US"/>
        </w:rPr>
      </w:pPr>
      <w:r>
        <w:rPr>
          <w:lang w:val="en-US"/>
        </w:rPr>
        <w:t>2.</w:t>
      </w:r>
      <w:r>
        <w:rPr>
          <w:iCs/>
          <w:lang w:val="en-US"/>
        </w:rPr>
        <w:t xml:space="preserve">Dauliyeva G., Islamoglu M., Yeraliyeva A. Digital Economy as a Factor of Sustainable Development Goals Progression in Kazakhstan. //Farabi Journal of Social Sciences/ </w:t>
      </w:r>
      <w:r>
        <w:rPr>
          <w:rFonts w:eastAsia="Times New Roman"/>
          <w:lang w:val="en-US" w:eastAsia="ru-RU"/>
        </w:rPr>
        <w:t>economics &amp; management-2</w:t>
      </w:r>
      <w:r>
        <w:rPr>
          <w:iCs/>
          <w:lang w:val="en-US"/>
        </w:rPr>
        <w:t xml:space="preserve">023.- Vol 9(2). - P.98-105. </w:t>
      </w:r>
      <w:hyperlink r:id="rId252">
        <w:r>
          <w:rPr>
            <w:rStyle w:val="Hyperlink"/>
            <w:iCs/>
            <w:color w:val="auto"/>
            <w:u w:val="none"/>
            <w:lang w:val="en-US"/>
          </w:rPr>
          <w:t>DOI</w:t>
        </w:r>
      </w:hyperlink>
      <w:r>
        <w:rPr>
          <w:iCs/>
          <w:lang w:val="en-US"/>
        </w:rPr>
        <w:t xml:space="preserve"> 10.26577/FJSS.2023.v9.i2.010.</w:t>
      </w:r>
    </w:p>
    <w:p>
      <w:pPr>
        <w:pStyle w:val="ListParagraph"/>
        <w:tabs>
          <w:tab w:val="clear" w:pos="708"/>
          <w:tab w:val="left" w:pos="142" w:leader="none"/>
          <w:tab w:val="left" w:pos="284" w:leader="none"/>
        </w:tabs>
        <w:ind w:left="0"/>
        <w:jc w:val="both"/>
        <w:rPr>
          <w:iCs/>
          <w:lang w:val="en-US"/>
        </w:rPr>
      </w:pPr>
      <w:r>
        <w:rPr>
          <w:iCs/>
          <w:lang w:val="en-US"/>
        </w:rPr>
        <w:t>3.Technology and Innovation Outlook 2023//OECD. -2023.- P.1-227. DOI 10.1787/0b55736e-en.</w:t>
      </w:r>
      <w:r>
        <w:rPr>
          <w:iCs/>
          <w:lang w:val="kk-KZ"/>
        </w:rPr>
        <w:t xml:space="preserve"> </w:t>
      </w:r>
    </w:p>
    <w:p>
      <w:pPr>
        <w:pStyle w:val="ListParagraph"/>
        <w:tabs>
          <w:tab w:val="clear" w:pos="708"/>
          <w:tab w:val="left" w:pos="284" w:leader="none"/>
        </w:tabs>
        <w:ind w:left="0"/>
        <w:jc w:val="both"/>
        <w:rPr>
          <w:iCs/>
          <w:lang w:val="kk-KZ"/>
        </w:rPr>
      </w:pPr>
      <w:r>
        <w:rPr>
          <w:iCs/>
          <w:lang w:val="en-US"/>
        </w:rPr>
        <w:t xml:space="preserve">4. Sadyrova M., Yusupov K., Imanbekova B. Innovation processes in Kazakhstan: development factors //Journal of Innovation and Entrepreneurship. -2021.-Vol.10(1).-P.1-13. </w:t>
      </w:r>
      <w:r>
        <w:rPr>
          <w:iCs/>
          <w:lang w:val="kk-KZ"/>
        </w:rPr>
        <w:t>DOI</w:t>
      </w:r>
      <w:r>
        <w:rPr>
          <w:iCs/>
          <w:lang w:val="en-US"/>
        </w:rPr>
        <w:t xml:space="preserve"> </w:t>
      </w:r>
      <w:r>
        <w:rPr>
          <w:iCs/>
          <w:lang w:val="kk-KZ"/>
        </w:rPr>
        <w:t>10.1186/s13731-021-00183-3.</w:t>
      </w:r>
    </w:p>
    <w:p>
      <w:pPr>
        <w:pStyle w:val="ListParagraph"/>
        <w:tabs>
          <w:tab w:val="clear" w:pos="708"/>
          <w:tab w:val="left" w:pos="284" w:leader="none"/>
        </w:tabs>
        <w:ind w:left="0"/>
        <w:jc w:val="both"/>
        <w:rPr>
          <w:rFonts w:cs="" w:asciiTheme="majorBidi" w:cstheme="majorBidi" w:hAnsiTheme="majorBidi"/>
          <w:iCs/>
          <w:lang w:val="en-US"/>
        </w:rPr>
      </w:pPr>
      <w:r>
        <w:rPr>
          <w:iCs/>
          <w:lang w:val="en-US"/>
        </w:rPr>
        <w:t>5. Yeraliyeva A., Dauliyeva G., Andabayeva G., Nurmanova B. Effectiveness of public administration of the digital economy in Kazakhstan. Problems and Perspectives in Management. -2023.-Vol. 21(3).-</w:t>
      </w:r>
      <w:r>
        <w:rPr>
          <w:rFonts w:cs="" w:asciiTheme="majorBidi" w:cstheme="majorBidi" w:hAnsiTheme="majorBidi"/>
          <w:iCs/>
          <w:lang w:val="en-US"/>
        </w:rPr>
        <w:t>P.125-137.</w:t>
      </w:r>
      <w:r>
        <w:rPr>
          <w:rFonts w:cs="" w:asciiTheme="majorBidi" w:cstheme="majorBidi" w:hAnsiTheme="majorBidi"/>
          <w:lang w:val="en-US"/>
        </w:rPr>
        <w:t xml:space="preserve"> DOI 10.21511/ppm.21(3).2023.10</w:t>
      </w:r>
      <w:r>
        <w:rPr>
          <w:rFonts w:cs="" w:asciiTheme="majorBidi" w:cstheme="majorBidi" w:hAnsiTheme="majorBidi"/>
          <w:iCs/>
          <w:lang w:val="en-US"/>
        </w:rPr>
        <w:t xml:space="preserve">. </w:t>
      </w:r>
    </w:p>
    <w:p>
      <w:pPr>
        <w:pStyle w:val="Normal"/>
        <w:shd w:val="clear" w:color="auto" w:fill="FFFFFF"/>
        <w:spacing w:lineRule="auto" w:line="240" w:before="0" w:after="0"/>
        <w:jc w:val="both"/>
        <w:rPr>
          <w:rFonts w:ascii="Times New Roman" w:hAnsi="Times New Roman" w:eastAsia="Times New Roman" w:cs="Times New Roman"/>
          <w:sz w:val="24"/>
          <w:szCs w:val="24"/>
          <w:lang w:val="en-US" w:eastAsia="ru-RU"/>
        </w:rPr>
      </w:pPr>
      <w:r>
        <w:rPr>
          <w:rFonts w:cs="Times New Roman" w:ascii="Times New Roman" w:hAnsi="Times New Roman"/>
          <w:iCs/>
          <w:sz w:val="24"/>
          <w:szCs w:val="24"/>
          <w:lang w:val="en-US"/>
        </w:rPr>
        <w:t>6. Wijaya J.R.T.,Manurung M. R.A.The Impact of Digitalization on Financial Accounting Practices: A Literature Review in the Scopus Database//</w:t>
      </w:r>
      <w:r>
        <w:rPr>
          <w:rFonts w:eastAsia="Times New Roman" w:cs="Times New Roman" w:ascii="Times New Roman" w:hAnsi="Times New Roman"/>
          <w:color w:val="555555"/>
          <w:sz w:val="24"/>
          <w:szCs w:val="24"/>
          <w:lang w:val="en-US" w:eastAsia="ru-RU"/>
        </w:rPr>
        <w:t xml:space="preserve"> </w:t>
      </w:r>
      <w:hyperlink r:id="rId253">
        <w:r>
          <w:rPr>
            <w:rStyle w:val="Style3"/>
            <w:rFonts w:eastAsia="Times New Roman" w:cs="Times New Roman" w:ascii="Times New Roman" w:hAnsi="Times New Roman"/>
            <w:sz w:val="24"/>
            <w:szCs w:val="24"/>
            <w:lang w:val="en-US" w:eastAsia="ru-RU"/>
          </w:rPr>
          <w:t>Review of Applied Accounting Research (RAAR)</w:t>
        </w:r>
      </w:hyperlink>
      <w:r>
        <w:rPr>
          <w:rFonts w:cs="Times New Roman" w:ascii="Times New Roman" w:hAnsi="Times New Roman"/>
          <w:iCs/>
          <w:sz w:val="24"/>
          <w:szCs w:val="24"/>
          <w:lang w:val="en-US"/>
        </w:rPr>
        <w:t xml:space="preserve"> -2025.-Vol.5(1).-P.53-70. DOI 10.30595/raar.v5i1.26345.</w:t>
      </w:r>
    </w:p>
    <w:p>
      <w:pPr>
        <w:pStyle w:val="ListParagraph"/>
        <w:tabs>
          <w:tab w:val="clear" w:pos="708"/>
          <w:tab w:val="left" w:pos="284" w:leader="none"/>
        </w:tabs>
        <w:ind w:left="0"/>
        <w:jc w:val="both"/>
        <w:rPr>
          <w:iCs/>
          <w:lang w:val="en-US"/>
        </w:rPr>
      </w:pPr>
      <w:r>
        <w:rPr>
          <w:iCs/>
          <w:lang w:val="en-US"/>
        </w:rPr>
        <w:t xml:space="preserve">7. Turarova A.M. Dabyltayeva N.E., Ruziyeva E.A. et al.  Unlocking Intersectoral Integration in Kazakhstan’s Agro-Industrial Complex: Technological Innovations, Knowledge Transfer, and Value Chain Governance as Predictors// Economies. -2023.-Vol.11(8):211 </w:t>
      </w:r>
    </w:p>
    <w:p>
      <w:pPr>
        <w:pStyle w:val="ListParagraph"/>
        <w:tabs>
          <w:tab w:val="clear" w:pos="708"/>
          <w:tab w:val="left" w:pos="284" w:leader="none"/>
        </w:tabs>
        <w:ind w:left="0"/>
        <w:jc w:val="both"/>
        <w:rPr>
          <w:iCs/>
          <w:lang w:val="kk-KZ"/>
        </w:rPr>
      </w:pPr>
      <w:r>
        <w:rPr>
          <w:iCs/>
          <w:lang w:val="en-US"/>
        </w:rPr>
        <w:t>DOI 10.3390/economies11080211.</w:t>
      </w:r>
    </w:p>
    <w:p>
      <w:pPr>
        <w:pStyle w:val="ListParagraph"/>
        <w:tabs>
          <w:tab w:val="clear" w:pos="708"/>
          <w:tab w:val="left" w:pos="284" w:leader="none"/>
        </w:tabs>
        <w:ind w:left="0"/>
        <w:jc w:val="both"/>
        <w:rPr>
          <w:iCs/>
          <w:lang w:val="kk-KZ"/>
        </w:rPr>
      </w:pPr>
      <w:r>
        <w:rPr>
          <w:rFonts w:cs="" w:asciiTheme="majorBidi" w:cstheme="majorBidi" w:hAnsiTheme="majorBidi"/>
          <w:lang w:val="en-US"/>
        </w:rPr>
        <w:t>8. Gafu G., D. Hernández</w:t>
        <w:noBreakHyphen/>
        <w:t xml:space="preserve">Torrano, N.Terlikbayeva, A. Zhanseitova. </w:t>
      </w:r>
      <w:r>
        <w:rPr>
          <w:iCs/>
          <w:lang w:val="kk-KZ"/>
        </w:rPr>
        <w:t>Mapping the Landscape of SDG Research in Kazakhstan: A Machine Learning–Based Approach</w:t>
      </w:r>
      <w:r>
        <w:rPr>
          <w:iCs/>
          <w:lang w:val="en-US"/>
        </w:rPr>
        <w:t>//</w:t>
      </w:r>
      <w:r>
        <w:rPr>
          <w:iCs/>
          <w:lang w:val="kk-KZ"/>
        </w:rPr>
        <w:t xml:space="preserve"> Journal of the Knowledge Economy.</w:t>
      </w:r>
      <w:r>
        <w:rPr>
          <w:iCs/>
          <w:lang w:val="en-US"/>
        </w:rPr>
        <w:t>-</w:t>
      </w:r>
      <w:r>
        <w:rPr>
          <w:iCs/>
          <w:lang w:val="kk-KZ"/>
        </w:rPr>
        <w:t>2024.</w:t>
      </w:r>
      <w:r>
        <w:rPr>
          <w:iCs/>
          <w:lang w:val="en-US"/>
        </w:rPr>
        <w:t>- Vol.16(5).-P. 15879-15904.</w:t>
      </w:r>
      <w:r>
        <w:rPr>
          <w:iCs/>
          <w:lang w:val="kk-KZ"/>
        </w:rPr>
        <w:t>DOI</w:t>
      </w:r>
      <w:r>
        <w:rPr>
          <w:iCs/>
          <w:lang w:val="en-US"/>
        </w:rPr>
        <w:t xml:space="preserve"> </w:t>
      </w:r>
      <w:r>
        <w:rPr>
          <w:iCs/>
          <w:lang w:val="kk-KZ"/>
        </w:rPr>
        <w:t xml:space="preserve"> 10.1007/s13132-024-02543-2.</w:t>
      </w:r>
    </w:p>
    <w:p>
      <w:pPr>
        <w:pStyle w:val="ListParagraph"/>
        <w:shd w:val="clear" w:color="auto" w:fill="FFFFFF"/>
        <w:tabs>
          <w:tab w:val="clear" w:pos="708"/>
          <w:tab w:val="left" w:pos="284" w:leader="none"/>
        </w:tabs>
        <w:spacing w:beforeAutospacing="1" w:afterAutospacing="1"/>
        <w:ind w:left="0"/>
        <w:contextualSpacing/>
        <w:jc w:val="both"/>
        <w:rPr>
          <w:iCs/>
          <w:lang w:val="kk-KZ"/>
        </w:rPr>
      </w:pPr>
      <w:r>
        <w:rPr>
          <w:iCs/>
          <w:lang w:val="en-US"/>
        </w:rPr>
        <w:t xml:space="preserve">9. </w:t>
      </w:r>
      <w:r>
        <w:rPr>
          <w:iCs/>
          <w:lang w:val="kk-KZ"/>
        </w:rPr>
        <w:t xml:space="preserve">Shevyakova A., Petrenko Y., Daribekova A., Daribekova N. Features and public financing of digitalization and E-Government: The case of  Kazakhstan </w:t>
      </w:r>
      <w:r>
        <w:rPr>
          <w:iCs/>
          <w:lang w:val="en-US"/>
        </w:rPr>
        <w:t>//</w:t>
      </w:r>
      <w:r>
        <w:rPr>
          <w:lang w:val="en-US"/>
        </w:rPr>
        <w:t xml:space="preserve"> </w:t>
      </w:r>
      <w:r>
        <w:rPr>
          <w:iCs/>
          <w:lang w:val="en-US"/>
        </w:rPr>
        <w:t>Journal of Infrastructure, Policy and Development.</w:t>
      </w:r>
      <w:r>
        <w:rPr>
          <w:iCs/>
          <w:lang w:val="kk-KZ"/>
        </w:rPr>
        <w:t xml:space="preserve"> </w:t>
      </w:r>
      <w:r>
        <w:rPr>
          <w:iCs/>
          <w:lang w:val="en-US"/>
        </w:rPr>
        <w:t>-</w:t>
      </w:r>
      <w:r>
        <w:rPr>
          <w:iCs/>
          <w:lang w:val="kk-KZ"/>
        </w:rPr>
        <w:t>2024</w:t>
      </w:r>
      <w:r>
        <w:rPr>
          <w:iCs/>
          <w:lang w:val="en-US"/>
        </w:rPr>
        <w:t>.-</w:t>
      </w:r>
      <w:r>
        <w:rPr>
          <w:iCs/>
          <w:lang w:val="kk-KZ"/>
        </w:rPr>
        <w:t>Vol</w:t>
      </w:r>
      <w:r>
        <w:rPr>
          <w:iCs/>
          <w:lang w:val="en-US"/>
        </w:rPr>
        <w:t>.</w:t>
      </w:r>
      <w:r>
        <w:rPr>
          <w:iCs/>
          <w:lang w:val="kk-KZ"/>
        </w:rPr>
        <w:t>8</w:t>
      </w:r>
      <w:r>
        <w:rPr>
          <w:iCs/>
          <w:lang w:val="en-US"/>
        </w:rPr>
        <w:t>(</w:t>
      </w:r>
      <w:r>
        <w:rPr>
          <w:iCs/>
          <w:lang w:val="kk-KZ"/>
        </w:rPr>
        <w:t>5</w:t>
      </w:r>
      <w:r>
        <w:rPr>
          <w:iCs/>
          <w:lang w:val="en-US"/>
        </w:rPr>
        <w:t>): 3074.</w:t>
      </w:r>
      <w:r>
        <w:rPr>
          <w:iCs/>
          <w:lang w:val="kk-KZ"/>
        </w:rPr>
        <w:t xml:space="preserve"> DOI 10.24294/jipd.v8i5.3074. </w:t>
      </w:r>
    </w:p>
    <w:p>
      <w:pPr>
        <w:pStyle w:val="ListParagraph"/>
        <w:shd w:val="clear" w:color="auto" w:fill="FFFFFF"/>
        <w:tabs>
          <w:tab w:val="clear" w:pos="708"/>
          <w:tab w:val="left" w:pos="284" w:leader="none"/>
        </w:tabs>
        <w:spacing w:beforeAutospacing="1" w:afterAutospacing="1"/>
        <w:ind w:left="0"/>
        <w:contextualSpacing/>
        <w:jc w:val="both"/>
        <w:rPr>
          <w:iCs/>
          <w:lang w:val="en-US"/>
        </w:rPr>
      </w:pPr>
      <w:r>
        <w:rPr>
          <w:iCs/>
          <w:lang w:val="kk-KZ"/>
        </w:rPr>
        <w:t>10. Hamraeva R.A., Syzdykbaeva K.G., Omarov G.B. Vlijanie cifrovyh tehnologij na jekonomiku Kazahstana//Mezhdunarodnyj zhurnal informacionnyh i kommunikacionnyh tehnologij.- 2021.- Vol.1(1).-P.211-214. DOI 10.54309/IJICT.2020.1.1.068.</w:t>
      </w:r>
      <w:r>
        <w:rPr>
          <w:iCs/>
          <w:lang w:val="en-US"/>
        </w:rPr>
        <w:t xml:space="preserve"> [in Russian]</w:t>
      </w:r>
    </w:p>
    <w:p>
      <w:pPr>
        <w:pStyle w:val="ListParagraph"/>
        <w:tabs>
          <w:tab w:val="clear" w:pos="708"/>
          <w:tab w:val="left" w:pos="284" w:leader="none"/>
          <w:tab w:val="left" w:pos="426" w:leader="none"/>
        </w:tabs>
        <w:ind w:left="0"/>
        <w:jc w:val="both"/>
        <w:rPr>
          <w:iCs/>
          <w:lang w:val="kk-KZ"/>
        </w:rPr>
      </w:pPr>
      <w:r>
        <w:rPr>
          <w:iCs/>
          <w:lang w:val="en-US"/>
        </w:rPr>
        <w:t xml:space="preserve">11. </w:t>
      </w:r>
      <w:r>
        <w:rPr>
          <w:iCs/>
          <w:lang w:val="kk-KZ"/>
        </w:rPr>
        <w:t>Karipbayev B.I., Zhakin S.M., Seifullina G.R. Kazakhstan’s Digitalization Format: Identity and Future.</w:t>
      </w:r>
      <w:r>
        <w:rPr>
          <w:iCs/>
          <w:lang w:val="en-US"/>
        </w:rPr>
        <w:t>//</w:t>
      </w:r>
      <w:r>
        <w:rPr>
          <w:iCs/>
          <w:lang w:val="kk-KZ"/>
        </w:rPr>
        <w:t>RUDN Journal of Philosophy</w:t>
      </w:r>
      <w:r>
        <w:rPr>
          <w:iCs/>
          <w:lang w:val="en-US"/>
        </w:rPr>
        <w:t>.-2025.-</w:t>
      </w:r>
      <w:r>
        <w:rPr>
          <w:iCs/>
          <w:lang w:val="kk-KZ"/>
        </w:rPr>
        <w:t>Vol 29(2)</w:t>
      </w:r>
      <w:r>
        <w:rPr>
          <w:iCs/>
          <w:lang w:val="en-US"/>
        </w:rPr>
        <w:t>-P</w:t>
      </w:r>
      <w:r>
        <w:rPr>
          <w:iCs/>
          <w:lang w:val="kk-KZ"/>
        </w:rPr>
        <w:t>. 535-547. DOI</w:t>
      </w:r>
      <w:r>
        <w:rPr>
          <w:iCs/>
          <w:lang w:val="en-US"/>
        </w:rPr>
        <w:t xml:space="preserve"> </w:t>
      </w:r>
      <w:r>
        <w:rPr>
          <w:iCs/>
          <w:lang w:val="kk-KZ"/>
        </w:rPr>
        <w:t>10.22363/2313-2302-2025-29-2-535-547.</w:t>
      </w:r>
    </w:p>
    <w:p>
      <w:pPr>
        <w:pStyle w:val="ListParagraph"/>
        <w:tabs>
          <w:tab w:val="clear" w:pos="708"/>
          <w:tab w:val="left" w:pos="360" w:leader="none"/>
        </w:tabs>
        <w:ind w:left="0"/>
        <w:jc w:val="both"/>
        <w:rPr>
          <w:iCs/>
          <w:lang w:val="en-US"/>
        </w:rPr>
      </w:pPr>
      <w:r>
        <w:rPr>
          <w:iCs/>
          <w:lang w:val="en-US"/>
        </w:rPr>
        <w:t xml:space="preserve">12. </w:t>
      </w:r>
      <w:r>
        <w:rPr>
          <w:iCs/>
          <w:lang w:val="kk-KZ"/>
        </w:rPr>
        <w:t>Denissova O., Konurbayeva Z</w:t>
      </w:r>
      <w:r>
        <w:rPr>
          <w:iCs/>
          <w:lang w:val="en-US"/>
        </w:rPr>
        <w:t>.,</w:t>
      </w:r>
      <w:r>
        <w:rPr>
          <w:iCs/>
          <w:lang w:val="kk-KZ"/>
        </w:rPr>
        <w:t xml:space="preserve"> Kulisz M., Yussubaliyeva M., Suieubayeva S. Measuring the Digital Economy in Kazakhstan: From Global Indices to a Contextual Composite Index (IDED)</w:t>
      </w:r>
      <w:r>
        <w:rPr>
          <w:iCs/>
          <w:lang w:val="en-US"/>
        </w:rPr>
        <w:t>//</w:t>
      </w:r>
      <w:r>
        <w:rPr>
          <w:iCs/>
          <w:lang w:val="kk-KZ"/>
        </w:rPr>
        <w:t>Economies.</w:t>
      </w:r>
      <w:r>
        <w:rPr>
          <w:iCs/>
          <w:lang w:val="en-US"/>
        </w:rPr>
        <w:t>-</w:t>
      </w:r>
      <w:r>
        <w:rPr>
          <w:iCs/>
          <w:lang w:val="kk-KZ"/>
        </w:rPr>
        <w:t>2025</w:t>
      </w:r>
      <w:r>
        <w:rPr>
          <w:iCs/>
          <w:lang w:val="en-US"/>
        </w:rPr>
        <w:t>.-Vol.</w:t>
      </w:r>
      <w:r>
        <w:rPr>
          <w:iCs/>
          <w:lang w:val="kk-KZ"/>
        </w:rPr>
        <w:t>13(8)</w:t>
      </w:r>
      <w:r>
        <w:rPr>
          <w:iCs/>
          <w:lang w:val="en-US"/>
        </w:rPr>
        <w:t xml:space="preserve">:225 </w:t>
      </w:r>
      <w:r>
        <w:rPr>
          <w:iCs/>
          <w:lang w:val="kk-KZ"/>
        </w:rPr>
        <w:t>DOI</w:t>
      </w:r>
      <w:r>
        <w:rPr>
          <w:iCs/>
          <w:lang w:val="en-US"/>
        </w:rPr>
        <w:t xml:space="preserve"> </w:t>
      </w:r>
      <w:r>
        <w:rPr>
          <w:iCs/>
          <w:lang w:val="kk-KZ"/>
        </w:rPr>
        <w:t>10.3390/economies13080225</w:t>
      </w:r>
    </w:p>
    <w:p>
      <w:pPr>
        <w:pStyle w:val="Normal"/>
        <w:spacing w:lineRule="auto" w:line="240" w:before="0" w:after="0"/>
        <w:ind w:firstLine="708"/>
        <w:jc w:val="both"/>
        <w:rPr>
          <w:b/>
          <w:i/>
          <w:i/>
          <w:sz w:val="20"/>
          <w:szCs w:val="20"/>
          <w:lang w:val="kk-KZ"/>
        </w:rPr>
      </w:pPr>
      <w:r>
        <w:rPr>
          <w:rFonts w:cs="Times New Roman" w:ascii="Times New Roman" w:hAnsi="Times New Roman"/>
          <w:b/>
          <w:bCs/>
          <w:i/>
          <w:sz w:val="20"/>
          <w:szCs w:val="20"/>
          <w:lang w:val="en-US"/>
        </w:rPr>
        <w:t>Information about the authors</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Turganbayev</w:t>
      </w:r>
      <w:r>
        <w:rPr>
          <w:rFonts w:cs="Times New Roman" w:ascii="Times New Roman" w:hAnsi="Times New Roman"/>
          <w:sz w:val="20"/>
          <w:szCs w:val="20"/>
          <w:lang w:val="kk-KZ"/>
        </w:rPr>
        <w:t xml:space="preserve"> </w:t>
      </w:r>
      <w:r>
        <w:rPr>
          <w:rFonts w:cs="Times New Roman" w:ascii="Times New Roman" w:hAnsi="Times New Roman"/>
          <w:sz w:val="20"/>
          <w:szCs w:val="20"/>
          <w:lang w:val="en-US"/>
        </w:rPr>
        <w:t xml:space="preserve">D.A. - PhD student, L.N. Gumilyov Eurasian National University, Astana, Kazakhstan, e-mail: </w:t>
      </w:r>
      <w:hyperlink r:id="rId254">
        <w:r>
          <w:rPr>
            <w:rStyle w:val="Hyperlink"/>
            <w:rFonts w:cs="Times New Roman" w:ascii="Times New Roman" w:hAnsi="Times New Roman"/>
            <w:color w:val="auto"/>
            <w:sz w:val="20"/>
            <w:szCs w:val="20"/>
            <w:u w:val="none"/>
            <w:lang w:val="en-US"/>
          </w:rPr>
          <w:t>dos_25.97@mail.ru</w:t>
        </w:r>
      </w:hyperlink>
      <w:r>
        <w:rPr>
          <w:rFonts w:cs="Times New Roman" w:ascii="Times New Roman" w:hAnsi="Times New Roman"/>
          <w:sz w:val="20"/>
          <w:szCs w:val="20"/>
          <w:lang w:val="en-US"/>
        </w:rPr>
        <w:t>;</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Isayeva B.K. - associate professor, L.N. Gumilyov Eurasian National University, Astana, Kazakhstan, e-mail: </w:t>
      </w:r>
      <w:hyperlink r:id="rId255">
        <w:r>
          <w:rPr>
            <w:rStyle w:val="Hyperlink"/>
            <w:rFonts w:cs="Times New Roman" w:ascii="Times New Roman" w:hAnsi="Times New Roman"/>
            <w:color w:val="auto"/>
            <w:sz w:val="20"/>
            <w:szCs w:val="20"/>
            <w:u w:val="none"/>
            <w:lang w:val="en-US"/>
          </w:rPr>
          <w:t>issayeva_bk@enu.kz</w:t>
        </w:r>
      </w:hyperlink>
      <w:r>
        <w:rPr>
          <w:rStyle w:val="Hyperlink"/>
          <w:rFonts w:cs="Times New Roman" w:ascii="Times New Roman" w:hAnsi="Times New Roman"/>
          <w:color w:val="auto"/>
          <w:sz w:val="20"/>
          <w:szCs w:val="20"/>
          <w:u w:val="none"/>
          <w:lang w:val="kk-KZ"/>
        </w:rPr>
        <w:t>;</w:t>
      </w:r>
    </w:p>
    <w:p>
      <w:pPr>
        <w:pStyle w:val="Normal"/>
        <w:spacing w:lineRule="auto" w:line="240" w:before="0" w:after="0"/>
        <w:jc w:val="both"/>
        <w:rPr>
          <w:rFonts w:ascii="Times New Roman" w:hAnsi="Times New Roman" w:cs="Times New Roman"/>
          <w:b/>
          <w:bCs/>
          <w:sz w:val="20"/>
          <w:szCs w:val="20"/>
          <w:lang w:val="en-US"/>
        </w:rPr>
      </w:pPr>
      <w:r>
        <w:rPr>
          <w:rFonts w:cs="Times New Roman" w:ascii="Times New Roman" w:hAnsi="Times New Roman"/>
          <w:sz w:val="20"/>
          <w:szCs w:val="20"/>
          <w:lang w:val="en-US"/>
        </w:rPr>
        <w:t xml:space="preserve">Keznhegul M.O. - PhD student, L.N. Gumilyov Eurasian National University, Astana, Kazakhstan, e-mail: </w:t>
      </w:r>
      <w:hyperlink r:id="rId256">
        <w:r>
          <w:rPr>
            <w:rStyle w:val="Hyperlink"/>
            <w:rFonts w:cs="Times New Roman" w:ascii="Times New Roman" w:hAnsi="Times New Roman"/>
            <w:color w:val="auto"/>
            <w:sz w:val="20"/>
            <w:szCs w:val="20"/>
            <w:u w:val="none"/>
            <w:lang w:val="en-US"/>
          </w:rPr>
          <w:t>manshuk.kenzhegul@mail.ru</w:t>
        </w:r>
      </w:hyperlink>
      <w:r>
        <w:rPr>
          <w:rStyle w:val="Hyperlink"/>
          <w:rFonts w:cs="Times New Roman" w:ascii="Times New Roman" w:hAnsi="Times New Roman"/>
          <w:color w:val="auto"/>
          <w:sz w:val="20"/>
          <w:szCs w:val="20"/>
          <w:u w:val="none"/>
          <w:lang w:val="en-US"/>
        </w:rPr>
        <w:t>;</w:t>
      </w:r>
    </w:p>
    <w:p>
      <w:pPr>
        <w:pStyle w:val="Normal"/>
        <w:spacing w:lineRule="auto" w:line="240" w:before="0" w:after="0"/>
        <w:jc w:val="both"/>
        <w:rPr>
          <w:rFonts w:ascii="Times New Roman" w:hAnsi="Times New Roman" w:cs="Times New Roman"/>
          <w:bCs/>
          <w:sz w:val="20"/>
          <w:szCs w:val="20"/>
          <w:lang w:val="en-US"/>
        </w:rPr>
      </w:pPr>
      <w:r>
        <w:rPr>
          <w:rFonts w:cs="Times New Roman" w:ascii="Times New Roman" w:hAnsi="Times New Roman"/>
          <w:bCs/>
          <w:sz w:val="20"/>
          <w:szCs w:val="20"/>
          <w:lang w:val="en-US"/>
        </w:rPr>
        <w:t xml:space="preserve">Seithozhina D.A. </w:t>
      </w:r>
      <w:r>
        <w:rPr>
          <w:rFonts w:cs="Times New Roman" w:ascii="Times New Roman" w:hAnsi="Times New Roman"/>
          <w:bCs/>
          <w:sz w:val="20"/>
          <w:szCs w:val="20"/>
          <w:lang w:val="kk-KZ"/>
        </w:rPr>
        <w:t>-</w:t>
      </w:r>
      <w:r>
        <w:rPr>
          <w:rFonts w:cs="Times New Roman" w:ascii="Times New Roman" w:hAnsi="Times New Roman"/>
          <w:bCs/>
          <w:sz w:val="20"/>
          <w:szCs w:val="20"/>
          <w:lang w:val="en-US"/>
        </w:rPr>
        <w:t xml:space="preserve"> candidate of economic sciences</w:t>
      </w:r>
      <w:r>
        <w:rPr>
          <w:rFonts w:cs="Times New Roman" w:ascii="Times New Roman" w:hAnsi="Times New Roman"/>
          <w:bCs/>
          <w:sz w:val="20"/>
          <w:szCs w:val="20"/>
          <w:lang w:val="kk-KZ"/>
        </w:rPr>
        <w:t>,</w:t>
      </w:r>
      <w:r>
        <w:rPr>
          <w:rFonts w:cs="Times New Roman" w:ascii="Times New Roman" w:hAnsi="Times New Roman"/>
          <w:sz w:val="20"/>
          <w:szCs w:val="20"/>
          <w:lang w:val="en-US"/>
        </w:rPr>
        <w:t xml:space="preserve"> associate professor, L.N. Gumilyov Eurasian National University, Astana, Kazakhstan, e-mail: </w:t>
      </w:r>
      <w:hyperlink r:id="rId257">
        <w:r>
          <w:rPr>
            <w:rStyle w:val="Hyperlink"/>
            <w:rFonts w:cs="Times New Roman" w:ascii="Times New Roman" w:hAnsi="Times New Roman"/>
            <w:color w:val="auto"/>
            <w:sz w:val="20"/>
            <w:szCs w:val="20"/>
            <w:u w:val="none"/>
            <w:lang w:val="en-US"/>
          </w:rPr>
          <w:t>jaseit@mail.ru</w:t>
        </w:r>
      </w:hyperlink>
      <w:r>
        <w:rPr>
          <w:rFonts w:cs="Times New Roman" w:ascii="Times New Roman" w:hAnsi="Times New Roman"/>
          <w:sz w:val="20"/>
          <w:szCs w:val="20"/>
          <w:lang w:val="en-US"/>
        </w:rPr>
        <w:t xml:space="preserve">. </w:t>
      </w:r>
    </w:p>
    <w:p>
      <w:pPr>
        <w:pStyle w:val="NormalWeb"/>
        <w:spacing w:before="0" w:after="0"/>
        <w:jc w:val="both"/>
        <w:rPr>
          <w:b/>
          <w:i/>
          <w:i/>
          <w:lang w:val="kk-KZ"/>
        </w:rPr>
      </w:pPr>
      <w:r>
        <w:rPr>
          <w:b/>
          <w:i/>
          <w:lang w:val="kk-KZ"/>
        </w:rPr>
      </w:r>
    </w:p>
    <w:p>
      <w:pPr>
        <w:pStyle w:val="NormalWeb"/>
        <w:spacing w:before="0" w:after="0"/>
        <w:ind w:firstLine="708"/>
        <w:jc w:val="both"/>
        <w:rPr>
          <w:b/>
          <w:i/>
          <w:i/>
          <w:sz w:val="20"/>
          <w:szCs w:val="20"/>
          <w:lang w:val="kk-KZ"/>
        </w:rPr>
      </w:pPr>
      <w:r>
        <w:rPr>
          <w:b/>
          <w:i/>
          <w:sz w:val="20"/>
          <w:szCs w:val="20"/>
          <w:lang w:val="kk-KZ"/>
        </w:rPr>
        <w:t>Сведения об авторах</w:t>
      </w:r>
    </w:p>
    <w:p>
      <w:pPr>
        <w:pStyle w:val="NormalWeb"/>
        <w:spacing w:before="0" w:after="0"/>
        <w:jc w:val="both"/>
        <w:rPr>
          <w:b/>
          <w:sz w:val="20"/>
          <w:szCs w:val="20"/>
          <w:lang w:val="kk-KZ"/>
        </w:rPr>
      </w:pPr>
      <w:r>
        <w:rPr>
          <w:b/>
          <w:sz w:val="20"/>
          <w:szCs w:val="20"/>
          <w:lang w:val="kk-KZ"/>
        </w:rPr>
      </w:r>
    </w:p>
    <w:p>
      <w:pPr>
        <w:pStyle w:val="NormalWeb"/>
        <w:spacing w:before="0" w:after="0"/>
        <w:jc w:val="both"/>
        <w:rPr>
          <w:sz w:val="20"/>
          <w:szCs w:val="20"/>
          <w:lang w:val="kk-KZ"/>
        </w:rPr>
      </w:pPr>
      <w:r>
        <w:rPr>
          <w:sz w:val="20"/>
          <w:szCs w:val="20"/>
          <w:lang w:val="kk-KZ"/>
        </w:rPr>
        <w:t xml:space="preserve">Турганбаев Д.А.- докторант </w:t>
      </w:r>
      <w:r>
        <w:rPr>
          <w:sz w:val="20"/>
          <w:szCs w:val="20"/>
          <w:lang w:val="en-US"/>
        </w:rPr>
        <w:t>PhD</w:t>
      </w:r>
      <w:r>
        <w:rPr>
          <w:sz w:val="20"/>
          <w:szCs w:val="20"/>
          <w:lang w:val="kk-KZ"/>
        </w:rPr>
        <w:t xml:space="preserve">, Евразийский национальный университет имени Л.Н. Гумилева, Астана, Казахстан, </w:t>
      </w:r>
      <w:r>
        <w:rPr>
          <w:sz w:val="20"/>
          <w:szCs w:val="20"/>
          <w:lang w:val="en-US"/>
        </w:rPr>
        <w:t>e</w:t>
      </w:r>
      <w:r>
        <w:rPr>
          <w:sz w:val="20"/>
          <w:szCs w:val="20"/>
        </w:rPr>
        <w:t>-</w:t>
      </w:r>
      <w:r>
        <w:rPr>
          <w:sz w:val="20"/>
          <w:szCs w:val="20"/>
          <w:lang w:val="en-US"/>
        </w:rPr>
        <w:t>mail</w:t>
      </w:r>
      <w:r>
        <w:rPr>
          <w:sz w:val="20"/>
          <w:szCs w:val="20"/>
        </w:rPr>
        <w:t xml:space="preserve">: </w:t>
      </w:r>
      <w:hyperlink r:id="rId258">
        <w:r>
          <w:rPr>
            <w:rStyle w:val="Hyperlink"/>
            <w:color w:val="auto"/>
            <w:sz w:val="20"/>
            <w:szCs w:val="20"/>
            <w:u w:val="none"/>
            <w:lang w:val="en-US"/>
          </w:rPr>
          <w:t>dos</w:t>
        </w:r>
        <w:r>
          <w:rPr>
            <w:rStyle w:val="Hyperlink"/>
            <w:color w:val="auto"/>
            <w:sz w:val="20"/>
            <w:szCs w:val="20"/>
            <w:u w:val="none"/>
          </w:rPr>
          <w:t>_25.97@</w:t>
        </w:r>
        <w:r>
          <w:rPr>
            <w:rStyle w:val="Hyperlink"/>
            <w:color w:val="auto"/>
            <w:sz w:val="20"/>
            <w:szCs w:val="20"/>
            <w:u w:val="none"/>
            <w:lang w:val="en-US"/>
          </w:rPr>
          <w:t>mail</w:t>
        </w:r>
        <w:r>
          <w:rPr>
            <w:rStyle w:val="Hyperlink"/>
            <w:color w:val="auto"/>
            <w:sz w:val="20"/>
            <w:szCs w:val="20"/>
            <w:u w:val="none"/>
          </w:rPr>
          <w:t>.</w:t>
        </w:r>
        <w:r>
          <w:rPr>
            <w:rStyle w:val="Hyperlink"/>
            <w:color w:val="auto"/>
            <w:sz w:val="20"/>
            <w:szCs w:val="20"/>
            <w:u w:val="none"/>
            <w:lang w:val="en-US"/>
          </w:rPr>
          <w:t>ru</w:t>
        </w:r>
      </w:hyperlink>
      <w:r>
        <w:rPr>
          <w:sz w:val="20"/>
          <w:szCs w:val="20"/>
          <w:lang w:val="kk-KZ"/>
        </w:rPr>
        <w:t>;</w:t>
      </w:r>
    </w:p>
    <w:p>
      <w:pPr>
        <w:pStyle w:val="NormalWeb"/>
        <w:spacing w:before="0" w:after="0"/>
        <w:jc w:val="both"/>
        <w:rPr>
          <w:sz w:val="20"/>
          <w:szCs w:val="20"/>
          <w:lang w:val="kk-KZ"/>
        </w:rPr>
      </w:pPr>
      <w:r>
        <w:rPr>
          <w:sz w:val="20"/>
          <w:szCs w:val="20"/>
          <w:lang w:val="kk-KZ"/>
        </w:rPr>
        <w:t xml:space="preserve">Исаева Б.К. - ассоциированный профессор, Евразийский национальный университет имени Л.Н. Гумилева, Астана, Казахстан, </w:t>
      </w:r>
      <w:r>
        <w:rPr>
          <w:sz w:val="20"/>
          <w:szCs w:val="20"/>
          <w:lang w:val="en-US"/>
        </w:rPr>
        <w:t>e</w:t>
      </w:r>
      <w:r>
        <w:rPr>
          <w:sz w:val="20"/>
          <w:szCs w:val="20"/>
        </w:rPr>
        <w:t>-</w:t>
      </w:r>
      <w:r>
        <w:rPr>
          <w:sz w:val="20"/>
          <w:szCs w:val="20"/>
          <w:lang w:val="en-US"/>
        </w:rPr>
        <w:t>mail</w:t>
      </w:r>
      <w:r>
        <w:rPr>
          <w:sz w:val="20"/>
          <w:szCs w:val="20"/>
        </w:rPr>
        <w:t xml:space="preserve">: </w:t>
      </w:r>
      <w:hyperlink r:id="rId259">
        <w:r>
          <w:rPr>
            <w:rStyle w:val="Hyperlink"/>
            <w:color w:val="auto"/>
            <w:sz w:val="20"/>
            <w:szCs w:val="20"/>
            <w:u w:val="none"/>
            <w:lang w:val="en-US"/>
          </w:rPr>
          <w:t>issayeva</w:t>
        </w:r>
        <w:r>
          <w:rPr>
            <w:rStyle w:val="Hyperlink"/>
            <w:color w:val="auto"/>
            <w:sz w:val="20"/>
            <w:szCs w:val="20"/>
            <w:u w:val="none"/>
          </w:rPr>
          <w:t>_</w:t>
        </w:r>
        <w:r>
          <w:rPr>
            <w:rStyle w:val="Hyperlink"/>
            <w:color w:val="auto"/>
            <w:sz w:val="20"/>
            <w:szCs w:val="20"/>
            <w:u w:val="none"/>
            <w:lang w:val="en-US"/>
          </w:rPr>
          <w:t>bk</w:t>
        </w:r>
        <w:r>
          <w:rPr>
            <w:rStyle w:val="Hyperlink"/>
            <w:color w:val="auto"/>
            <w:sz w:val="20"/>
            <w:szCs w:val="20"/>
            <w:u w:val="none"/>
          </w:rPr>
          <w:t>@</w:t>
        </w:r>
        <w:r>
          <w:rPr>
            <w:rStyle w:val="Hyperlink"/>
            <w:color w:val="auto"/>
            <w:sz w:val="20"/>
            <w:szCs w:val="20"/>
            <w:u w:val="none"/>
            <w:lang w:val="en-US"/>
          </w:rPr>
          <w:t>enu</w:t>
        </w:r>
        <w:r>
          <w:rPr>
            <w:rStyle w:val="Hyperlink"/>
            <w:color w:val="auto"/>
            <w:sz w:val="20"/>
            <w:szCs w:val="20"/>
            <w:u w:val="none"/>
          </w:rPr>
          <w:t>.</w:t>
        </w:r>
        <w:r>
          <w:rPr>
            <w:rStyle w:val="Hyperlink"/>
            <w:color w:val="auto"/>
            <w:sz w:val="20"/>
            <w:szCs w:val="20"/>
            <w:u w:val="none"/>
            <w:lang w:val="en-US"/>
          </w:rPr>
          <w:t>kz</w:t>
        </w:r>
      </w:hyperlink>
      <w:r>
        <w:rPr>
          <w:rStyle w:val="Hyperlink"/>
          <w:color w:val="auto"/>
          <w:sz w:val="20"/>
          <w:szCs w:val="20"/>
          <w:u w:val="none"/>
          <w:lang w:val="kk-KZ"/>
        </w:rPr>
        <w:t>;</w:t>
      </w:r>
    </w:p>
    <w:p>
      <w:pPr>
        <w:pStyle w:val="NormalWeb"/>
        <w:spacing w:before="0" w:after="0"/>
        <w:jc w:val="both"/>
        <w:rPr>
          <w:rStyle w:val="Hyperlink"/>
          <w:color w:val="auto"/>
          <w:sz w:val="20"/>
          <w:szCs w:val="20"/>
          <w:u w:val="none"/>
          <w:lang w:val="kk-KZ"/>
        </w:rPr>
      </w:pPr>
      <w:r>
        <w:rPr>
          <w:sz w:val="20"/>
          <w:szCs w:val="20"/>
          <w:lang w:val="kk-KZ"/>
        </w:rPr>
        <w:t xml:space="preserve">Кенжегул М.О. - докторант </w:t>
      </w:r>
      <w:r>
        <w:rPr>
          <w:sz w:val="20"/>
          <w:szCs w:val="20"/>
          <w:lang w:val="en-US"/>
        </w:rPr>
        <w:t>PhD</w:t>
      </w:r>
      <w:r>
        <w:rPr>
          <w:sz w:val="20"/>
          <w:szCs w:val="20"/>
          <w:lang w:val="kk-KZ"/>
        </w:rPr>
        <w:t xml:space="preserve">., Евразийский национальный университет имени Л.Н. Гумилева, Астана, Казахстан, </w:t>
      </w:r>
      <w:r>
        <w:rPr>
          <w:sz w:val="20"/>
          <w:szCs w:val="20"/>
          <w:lang w:val="en-US"/>
        </w:rPr>
        <w:t>e</w:t>
      </w:r>
      <w:r>
        <w:rPr>
          <w:sz w:val="20"/>
          <w:szCs w:val="20"/>
        </w:rPr>
        <w:t>-</w:t>
      </w:r>
      <w:r>
        <w:rPr>
          <w:sz w:val="20"/>
          <w:szCs w:val="20"/>
          <w:lang w:val="en-US"/>
        </w:rPr>
        <w:t>mail</w:t>
      </w:r>
      <w:r>
        <w:rPr>
          <w:sz w:val="20"/>
          <w:szCs w:val="20"/>
          <w:lang w:val="kk-KZ"/>
        </w:rPr>
        <w:t xml:space="preserve">: </w:t>
      </w:r>
      <w:hyperlink r:id="rId260">
        <w:r>
          <w:rPr>
            <w:rStyle w:val="Hyperlink"/>
            <w:color w:val="auto"/>
            <w:sz w:val="20"/>
            <w:szCs w:val="20"/>
            <w:u w:val="none"/>
            <w:lang w:val="en-US"/>
          </w:rPr>
          <w:t>manshuk</w:t>
        </w:r>
        <w:r>
          <w:rPr>
            <w:rStyle w:val="Hyperlink"/>
            <w:color w:val="auto"/>
            <w:sz w:val="20"/>
            <w:szCs w:val="20"/>
            <w:u w:val="none"/>
          </w:rPr>
          <w:t>.</w:t>
        </w:r>
        <w:r>
          <w:rPr>
            <w:rStyle w:val="Hyperlink"/>
            <w:color w:val="auto"/>
            <w:sz w:val="20"/>
            <w:szCs w:val="20"/>
            <w:u w:val="none"/>
            <w:lang w:val="en-US"/>
          </w:rPr>
          <w:t>kenzhegul</w:t>
        </w:r>
        <w:r>
          <w:rPr>
            <w:rStyle w:val="Hyperlink"/>
            <w:color w:val="auto"/>
            <w:sz w:val="20"/>
            <w:szCs w:val="20"/>
            <w:u w:val="none"/>
          </w:rPr>
          <w:t>@</w:t>
        </w:r>
        <w:r>
          <w:rPr>
            <w:rStyle w:val="Hyperlink"/>
            <w:color w:val="auto"/>
            <w:sz w:val="20"/>
            <w:szCs w:val="20"/>
            <w:u w:val="none"/>
            <w:lang w:val="en-US"/>
          </w:rPr>
          <w:t>mail</w:t>
        </w:r>
        <w:r>
          <w:rPr>
            <w:rStyle w:val="Hyperlink"/>
            <w:color w:val="auto"/>
            <w:sz w:val="20"/>
            <w:szCs w:val="20"/>
            <w:u w:val="none"/>
          </w:rPr>
          <w:t>.</w:t>
        </w:r>
        <w:r>
          <w:rPr>
            <w:rStyle w:val="Hyperlink"/>
            <w:color w:val="auto"/>
            <w:sz w:val="20"/>
            <w:szCs w:val="20"/>
            <w:u w:val="none"/>
            <w:lang w:val="en-US"/>
          </w:rPr>
          <w:t>ru</w:t>
        </w:r>
      </w:hyperlink>
      <w:r>
        <w:rPr>
          <w:rStyle w:val="Hyperlink"/>
          <w:color w:val="auto"/>
          <w:sz w:val="20"/>
          <w:szCs w:val="20"/>
          <w:u w:val="none"/>
          <w:lang w:val="kk-KZ"/>
        </w:rPr>
        <w:t>;</w:t>
      </w:r>
    </w:p>
    <w:p>
      <w:pPr>
        <w:pStyle w:val="NormalWeb"/>
        <w:spacing w:before="0" w:after="0"/>
        <w:jc w:val="both"/>
        <w:rPr>
          <w:sz w:val="20"/>
          <w:szCs w:val="20"/>
        </w:rPr>
      </w:pPr>
      <w:r>
        <w:rPr>
          <w:rStyle w:val="Hyperlink"/>
          <w:color w:val="auto"/>
          <w:sz w:val="20"/>
          <w:szCs w:val="20"/>
          <w:u w:val="none"/>
          <w:lang w:val="kk-KZ"/>
        </w:rPr>
        <w:t xml:space="preserve">Сейтхожина Д.А. - кандидат экономических наук, </w:t>
      </w:r>
      <w:r>
        <w:rPr>
          <w:sz w:val="20"/>
          <w:szCs w:val="20"/>
          <w:lang w:val="kk-KZ"/>
        </w:rPr>
        <w:t xml:space="preserve">ассоциированный профессор, Евразийский национальный университет имени Л.Н. Гумилева, Астана, Казахстан, </w:t>
      </w:r>
      <w:r>
        <w:rPr>
          <w:sz w:val="20"/>
          <w:szCs w:val="20"/>
          <w:lang w:val="en-US"/>
        </w:rPr>
        <w:t>e</w:t>
      </w:r>
      <w:r>
        <w:rPr>
          <w:sz w:val="20"/>
          <w:szCs w:val="20"/>
        </w:rPr>
        <w:t>-</w:t>
      </w:r>
      <w:r>
        <w:rPr>
          <w:sz w:val="20"/>
          <w:szCs w:val="20"/>
          <w:lang w:val="en-US"/>
        </w:rPr>
        <w:t>mail</w:t>
      </w:r>
      <w:r>
        <w:rPr>
          <w:sz w:val="20"/>
          <w:szCs w:val="20"/>
        </w:rPr>
        <w:t>:</w:t>
      </w:r>
      <w:r>
        <w:rPr>
          <w:sz w:val="20"/>
          <w:szCs w:val="20"/>
          <w:lang w:val="kk-KZ"/>
        </w:rPr>
        <w:t xml:space="preserve"> </w:t>
      </w:r>
      <w:hyperlink r:id="rId261">
        <w:r>
          <w:rPr>
            <w:rStyle w:val="Hyperlink"/>
            <w:color w:val="auto"/>
            <w:sz w:val="20"/>
            <w:szCs w:val="20"/>
            <w:u w:val="none"/>
            <w:lang w:val="en-US"/>
          </w:rPr>
          <w:t>jaseit</w:t>
        </w:r>
        <w:r>
          <w:rPr>
            <w:rStyle w:val="Hyperlink"/>
            <w:color w:val="auto"/>
            <w:sz w:val="20"/>
            <w:szCs w:val="20"/>
            <w:u w:val="none"/>
          </w:rPr>
          <w:t>@</w:t>
        </w:r>
        <w:r>
          <w:rPr>
            <w:rStyle w:val="Hyperlink"/>
            <w:color w:val="auto"/>
            <w:sz w:val="20"/>
            <w:szCs w:val="20"/>
            <w:u w:val="none"/>
            <w:lang w:val="en-US"/>
          </w:rPr>
          <w:t>mail</w:t>
        </w:r>
        <w:r>
          <w:rPr>
            <w:rStyle w:val="Hyperlink"/>
            <w:color w:val="auto"/>
            <w:sz w:val="20"/>
            <w:szCs w:val="20"/>
            <w:u w:val="none"/>
          </w:rPr>
          <w:t>.</w:t>
        </w:r>
        <w:r>
          <w:rPr>
            <w:rStyle w:val="Hyperlink"/>
            <w:color w:val="auto"/>
            <w:sz w:val="20"/>
            <w:szCs w:val="20"/>
            <w:u w:val="none"/>
            <w:lang w:val="en-US"/>
          </w:rPr>
          <w:t>ru</w:t>
        </w:r>
      </w:hyperlink>
      <w:r>
        <w:rPr>
          <w:sz w:val="20"/>
          <w:szCs w:val="20"/>
        </w:rPr>
        <w:t xml:space="preserve">. </w:t>
      </w:r>
    </w:p>
    <w:p>
      <w:pPr>
        <w:pStyle w:val="Normal"/>
        <w:spacing w:lineRule="auto" w:line="240" w:before="0" w:after="0"/>
        <w:jc w:val="both"/>
        <w:rPr>
          <w:rFonts w:ascii="Times New Roman" w:hAnsi="Times New Roman" w:cs="Times New Roman"/>
          <w:b/>
          <w:bCs/>
          <w:i/>
          <w:i/>
          <w:sz w:val="20"/>
          <w:szCs w:val="20"/>
        </w:rPr>
      </w:pPr>
      <w:r>
        <w:rPr>
          <w:rFonts w:cs="Times New Roman" w:ascii="Times New Roman" w:hAnsi="Times New Roman"/>
          <w:b/>
          <w:bCs/>
          <w:i/>
          <w:sz w:val="20"/>
          <w:szCs w:val="20"/>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tabs>
          <w:tab w:val="clear" w:pos="708"/>
          <w:tab w:val="left" w:pos="9729" w:leader="none"/>
          <w:tab w:val="left" w:pos="9923" w:leader="none"/>
          <w:tab w:val="left" w:pos="10065" w:leader="none"/>
        </w:tabs>
        <w:spacing w:lineRule="auto" w:line="240"/>
        <w:rPr>
          <w:rFonts w:ascii="Times New Roman" w:hAnsi="Times New Roman" w:eastAsia="Malgun Gothic" w:cs="Times New Roman"/>
          <w:spacing w:val="-3"/>
          <w:shd w:fill="FFFFFF" w:val="clear"/>
          <w:lang w:val="en-US" w:eastAsia="ko-KR"/>
        </w:rPr>
      </w:pPr>
      <w:r>
        <w:rPr>
          <w:rFonts w:eastAsia="SimSun" w:cs="Times New Roman" w:ascii="Times New Roman" w:hAnsi="Times New Roman"/>
          <w:color w:val="000000"/>
          <w:lang w:val="en-US" w:eastAsia="de-DE"/>
        </w:rPr>
        <w:t xml:space="preserve">IRSTI </w:t>
      </w:r>
      <w:r>
        <w:rPr>
          <w:rFonts w:eastAsia="Malgun Gothic" w:cs="Times New Roman" w:ascii="Times New Roman" w:hAnsi="Times New Roman"/>
          <w:spacing w:val="-3"/>
          <w:shd w:fill="FFFFFF" w:val="clear"/>
          <w:lang w:val="en-US" w:eastAsia="ko-KR"/>
        </w:rPr>
        <w:t xml:space="preserve">06.71.45 </w:t>
      </w:r>
    </w:p>
    <w:p>
      <w:pPr>
        <w:pStyle w:val="Normal"/>
        <w:tabs>
          <w:tab w:val="clear" w:pos="708"/>
          <w:tab w:val="left" w:pos="9729" w:leader="none"/>
          <w:tab w:val="left" w:pos="9923" w:leader="none"/>
          <w:tab w:val="left" w:pos="10065" w:leader="none"/>
        </w:tabs>
        <w:snapToGrid w:val="false"/>
        <w:spacing w:lineRule="auto" w:line="240"/>
        <w:jc w:val="center"/>
        <w:rPr>
          <w:rFonts w:ascii="Times New Roman" w:hAnsi="Times New Roman" w:eastAsia="Malgun Gothic" w:cs="Times New Roman"/>
          <w:spacing w:val="-3"/>
          <w:shd w:fill="FFFFFF" w:val="clear"/>
          <w:lang w:val="kk-KZ" w:eastAsia="ko-KR"/>
        </w:rPr>
      </w:pPr>
      <w:r>
        <w:rPr>
          <w:rFonts w:eastAsia="Times New Roman" w:cs="Times New Roman" w:ascii="Times New Roman" w:hAnsi="Times New Roman"/>
          <w:b/>
          <w:caps/>
          <w:lang w:val="en-GB"/>
        </w:rPr>
        <w:t>Analysis of the Effect of CULTURAL ADAPTATION on Academic Performance</w:t>
      </w:r>
    </w:p>
    <w:p>
      <w:pPr>
        <w:pStyle w:val="Normal"/>
        <w:tabs>
          <w:tab w:val="clear" w:pos="708"/>
          <w:tab w:val="left" w:pos="9729" w:leader="none"/>
          <w:tab w:val="left" w:pos="9923" w:leader="none"/>
          <w:tab w:val="left" w:pos="10065" w:leader="none"/>
        </w:tabs>
        <w:snapToGrid w:val="false"/>
        <w:spacing w:lineRule="auto" w:line="240" w:before="0" w:after="0"/>
        <w:jc w:val="center"/>
        <w:rPr>
          <w:rFonts w:eastAsia="Malgun Gothic"/>
          <w:b/>
          <w:spacing w:val="-3"/>
          <w:shd w:fill="FFFFFF" w:val="clear"/>
          <w:vertAlign w:val="superscript"/>
          <w:lang w:val="kk-KZ" w:eastAsia="ko-KR"/>
        </w:rPr>
      </w:pPr>
      <w:r>
        <w:rPr>
          <w:rFonts w:eastAsia="Malgun Gothic" w:cs="Times New Roman" w:ascii="Times New Roman" w:hAnsi="Times New Roman"/>
          <w:b/>
          <w:bCs/>
          <w:spacing w:val="-3"/>
          <w:shd w:fill="FFFFFF" w:val="clear"/>
          <w:vertAlign w:val="superscript"/>
          <w:lang w:val="kk-KZ" w:eastAsia="ko-KR"/>
        </w:rPr>
        <w:t>1</w:t>
      </w:r>
      <w:r>
        <w:rPr>
          <w:rFonts w:eastAsia="Malgun Gothic" w:cs="Times New Roman" w:ascii="Times New Roman" w:hAnsi="Times New Roman"/>
          <w:b/>
          <w:bCs/>
          <w:spacing w:val="-3"/>
          <w:shd w:fill="FFFFFF" w:val="clear"/>
          <w:lang w:val="kk-KZ" w:eastAsia="ko-KR"/>
        </w:rPr>
        <w:t>D.Satybaldiyeva</w:t>
      </w:r>
      <w:r>
        <w:rPr/>
        <w:drawing>
          <wp:inline distT="0" distB="0" distL="0" distR="0">
            <wp:extent cx="135890" cy="135890"/>
            <wp:effectExtent l="0" t="0" r="0" b="0"/>
            <wp:docPr id="45" name="Рисунок 63" descr="D:\Desktop\иконка.pn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63" descr="D:\Desktop\иконка.png">
                      <a:hlinkClick r:id="rId263"/>
                    </pic:cNvPr>
                    <pic:cNvPicPr>
                      <a:picLocks noChangeAspect="1" noChangeArrowheads="1"/>
                    </pic:cNvPicPr>
                  </pic:nvPicPr>
                  <pic:blipFill>
                    <a:blip r:embed="rId262"/>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eastAsia="Malgun Gothic" w:cs="Times New Roman" w:ascii="Times New Roman" w:hAnsi="Times New Roman"/>
          <w:b/>
          <w:bCs/>
          <w:spacing w:val="-3"/>
          <w:shd w:fill="FFFFFF" w:val="clear"/>
          <w:lang w:val="kk-KZ" w:eastAsia="ko-KR"/>
        </w:rPr>
        <w:t>,</w:t>
      </w:r>
      <w:r>
        <w:rPr>
          <w:rFonts w:eastAsia="Malgun Gothic" w:cs="Times New Roman" w:ascii="Times New Roman" w:hAnsi="Times New Roman"/>
          <w:b/>
          <w:spacing w:val="-3"/>
          <w:shd w:fill="FFFFFF" w:val="clear"/>
          <w:lang w:val="kk-KZ" w:eastAsia="ko-KR"/>
        </w:rPr>
        <w:t xml:space="preserve"> </w:t>
      </w:r>
      <w:r>
        <w:rPr>
          <w:rFonts w:eastAsia="Malgun Gothic" w:cs="Times New Roman" w:ascii="Times New Roman" w:hAnsi="Times New Roman"/>
          <w:b/>
          <w:spacing w:val="-3"/>
          <w:shd w:fill="FFFFFF" w:val="clear"/>
          <w:vertAlign w:val="superscript"/>
          <w:lang w:val="kk-KZ" w:eastAsia="ko-KR"/>
        </w:rPr>
        <w:t>2</w:t>
      </w:r>
      <w:r>
        <w:rPr>
          <w:rFonts w:eastAsia="Malgun Gothic" w:cs="Times New Roman" w:ascii="Times New Roman" w:hAnsi="Times New Roman"/>
          <w:b/>
          <w:bCs/>
          <w:spacing w:val="-3"/>
          <w:shd w:fill="FFFFFF" w:val="clear"/>
          <w:lang w:val="kk-KZ" w:eastAsia="ko-KR"/>
        </w:rPr>
        <w:t>B.Keneshbayev</w:t>
      </w:r>
      <w:r>
        <w:rPr/>
        <w:drawing>
          <wp:inline distT="0" distB="0" distL="0" distR="0">
            <wp:extent cx="135890" cy="135890"/>
            <wp:effectExtent l="0" t="0" r="0" b="0"/>
            <wp:docPr id="46" name="Рисунок 64" descr="D:\Desktop\иконка.png">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64" descr="D:\Desktop\иконка.png">
                      <a:hlinkClick r:id="rId265"/>
                    </pic:cNvPr>
                    <pic:cNvPicPr>
                      <a:picLocks noChangeAspect="1" noChangeArrowheads="1"/>
                    </pic:cNvPicPr>
                  </pic:nvPicPr>
                  <pic:blipFill>
                    <a:blip r:embed="rId264"/>
                    <a:stretch>
                      <a:fillRect/>
                    </a:stretch>
                  </pic:blipFill>
                  <pic:spPr bwMode="auto">
                    <a:xfrm>
                      <a:off x="0" y="0"/>
                      <a:ext cx="135890" cy="135890"/>
                    </a:xfrm>
                    <a:prstGeom prst="rect">
                      <a:avLst/>
                    </a:prstGeom>
                    <a:noFill/>
                  </pic:spPr>
                </pic:pic>
              </a:graphicData>
            </a:graphic>
          </wp:inline>
        </w:drawing>
      </w:r>
      <w:r>
        <w:rPr>
          <w:rFonts w:eastAsia="Malgun Gothic" w:cs="Times New Roman" w:ascii="Times New Roman" w:hAnsi="Times New Roman"/>
          <w:b/>
          <w:bCs/>
          <w:spacing w:val="-3"/>
          <w:shd w:fill="FFFFFF" w:val="clear"/>
          <w:lang w:val="kk-KZ" w:eastAsia="ko-KR"/>
        </w:rPr>
        <w:t xml:space="preserve">, </w:t>
      </w:r>
      <w:r>
        <w:rPr>
          <w:rFonts w:eastAsia="Malgun Gothic" w:cs="Times New Roman" w:ascii="Times New Roman" w:hAnsi="Times New Roman"/>
          <w:b/>
          <w:bCs/>
          <w:spacing w:val="-3"/>
          <w:shd w:fill="FFFFFF" w:val="clear"/>
          <w:vertAlign w:val="superscript"/>
          <w:lang w:val="kk-KZ" w:eastAsia="ko-KR"/>
        </w:rPr>
        <w:t>3</w:t>
      </w:r>
      <w:r>
        <w:rPr>
          <w:rFonts w:eastAsia="Malgun Gothic" w:cs="Times New Roman" w:ascii="Times New Roman" w:hAnsi="Times New Roman"/>
          <w:b/>
          <w:bCs/>
          <w:spacing w:val="-3"/>
          <w:shd w:fill="FFFFFF" w:val="clear"/>
          <w:lang w:val="kk-KZ" w:eastAsia="ko-KR"/>
        </w:rPr>
        <w:t>R.</w:t>
      </w:r>
      <w:r>
        <w:rPr>
          <w:rFonts w:cs="Times New Roman" w:ascii="Times New Roman" w:hAnsi="Times New Roman"/>
          <w:b/>
          <w:lang w:val="kk-KZ"/>
        </w:rPr>
        <w:t>Tazhibayeva</w:t>
      </w:r>
      <w:r>
        <w:rPr/>
        <w:drawing>
          <wp:inline distT="0" distB="0" distL="0" distR="0">
            <wp:extent cx="135890" cy="135890"/>
            <wp:effectExtent l="0" t="0" r="0" b="0"/>
            <wp:docPr id="47" name="Рисунок 65" descr="D:\Desktop\иконка.pn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65" descr="D:\Desktop\иконка.png">
                      <a:hlinkClick r:id="rId267"/>
                    </pic:cNvPr>
                    <pic:cNvPicPr>
                      <a:picLocks noChangeAspect="1" noChangeArrowheads="1"/>
                    </pic:cNvPicPr>
                  </pic:nvPicPr>
                  <pic:blipFill>
                    <a:blip r:embed="rId266"/>
                    <a:stretch>
                      <a:fillRect/>
                    </a:stretch>
                  </pic:blipFill>
                  <pic:spPr bwMode="auto">
                    <a:xfrm>
                      <a:off x="0" y="0"/>
                      <a:ext cx="135890" cy="135890"/>
                    </a:xfrm>
                    <a:prstGeom prst="rect">
                      <a:avLst/>
                    </a:prstGeom>
                    <a:noFill/>
                  </pic:spPr>
                </pic:pic>
              </a:graphicData>
            </a:graphic>
          </wp:inline>
        </w:drawing>
      </w:r>
      <w:r>
        <w:rPr>
          <w:rFonts w:eastAsia="Malgun Gothic" w:cs="Times New Roman" w:ascii="Times New Roman" w:hAnsi="Times New Roman"/>
          <w:b/>
          <w:spacing w:val="-3"/>
          <w:shd w:fill="FFFFFF" w:val="clear"/>
          <w:lang w:val="kk-KZ" w:eastAsia="ko-KR"/>
        </w:rPr>
        <w:t xml:space="preserve">, </w:t>
      </w:r>
      <w:r>
        <w:rPr>
          <w:rFonts w:eastAsia="Malgun Gothic" w:cs="Times New Roman" w:ascii="Times New Roman" w:hAnsi="Times New Roman"/>
          <w:b/>
          <w:spacing w:val="-3"/>
          <w:shd w:fill="FFFFFF" w:val="clear"/>
          <w:vertAlign w:val="superscript"/>
          <w:lang w:val="kk-KZ" w:eastAsia="ko-KR"/>
        </w:rPr>
        <w:t>3</w:t>
      </w:r>
      <w:r>
        <w:rPr>
          <w:rFonts w:eastAsia="Malgun Gothic" w:cs="Times New Roman" w:ascii="Times New Roman" w:hAnsi="Times New Roman"/>
          <w:b/>
          <w:bCs/>
          <w:spacing w:val="-3"/>
          <w:shd w:fill="FFFFFF" w:val="clear"/>
          <w:lang w:val="kk-KZ" w:eastAsia="ko-KR"/>
        </w:rPr>
        <w:t>S.Kaltayeva</w:t>
      </w:r>
      <w:r>
        <w:rPr/>
        <w:drawing>
          <wp:inline distT="0" distB="0" distL="0" distR="0">
            <wp:extent cx="135890" cy="135890"/>
            <wp:effectExtent l="0" t="0" r="0" b="0"/>
            <wp:docPr id="48" name="Рисунок 66" descr="D:\Desktop\иконка.p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66" descr="D:\Desktop\иконка.png">
                      <a:hlinkClick r:id="rId269"/>
                    </pic:cNvPr>
                    <pic:cNvPicPr>
                      <a:picLocks noChangeAspect="1" noChangeArrowheads="1"/>
                    </pic:cNvPicPr>
                  </pic:nvPicPr>
                  <pic:blipFill>
                    <a:blip r:embed="rId268"/>
                    <a:stretch>
                      <a:fillRect/>
                    </a:stretch>
                  </pic:blipFill>
                  <pic:spPr bwMode="auto">
                    <a:xfrm>
                      <a:off x="0" y="0"/>
                      <a:ext cx="135890" cy="135890"/>
                    </a:xfrm>
                    <a:prstGeom prst="rect">
                      <a:avLst/>
                    </a:prstGeom>
                    <a:noFill/>
                  </pic:spPr>
                </pic:pic>
              </a:graphicData>
            </a:graphic>
          </wp:inline>
        </w:drawing>
      </w:r>
      <w:r>
        <w:rPr>
          <w:rFonts w:eastAsia="Malgun Gothic" w:cs="Times New Roman" w:ascii="Times New Roman" w:hAnsi="Times New Roman"/>
          <w:b/>
          <w:bCs/>
          <w:spacing w:val="-3"/>
          <w:shd w:fill="FFFFFF" w:val="clear"/>
          <w:lang w:val="kk-KZ" w:eastAsia="ko-KR"/>
        </w:rPr>
        <w:t xml:space="preserve">, </w:t>
      </w:r>
      <w:r>
        <w:rPr>
          <w:rFonts w:cs="Times New Roman" w:ascii="Times New Roman" w:hAnsi="Times New Roman"/>
          <w:b/>
          <w:vertAlign w:val="superscript"/>
          <w:lang w:val="kk-KZ"/>
        </w:rPr>
        <w:t>4</w:t>
      </w:r>
      <w:r>
        <w:rPr>
          <w:rFonts w:cs="Times New Roman" w:ascii="Times New Roman" w:hAnsi="Times New Roman"/>
          <w:b/>
          <w:lang w:val="kk-KZ"/>
        </w:rPr>
        <w:t>A.Mutaliyeva</w:t>
      </w:r>
      <w:r>
        <w:rPr/>
        <w:drawing>
          <wp:inline distT="0" distB="0" distL="0" distR="0">
            <wp:extent cx="135890" cy="135890"/>
            <wp:effectExtent l="0" t="0" r="0" b="0"/>
            <wp:docPr id="49" name="Рисунок 67" descr="D:\Desktop\иконка.p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67" descr="D:\Desktop\иконка.png">
                      <a:hlinkClick r:id="rId271"/>
                    </pic:cNvPr>
                    <pic:cNvPicPr>
                      <a:picLocks noChangeAspect="1" noChangeArrowheads="1"/>
                    </pic:cNvPicPr>
                  </pic:nvPicPr>
                  <pic:blipFill>
                    <a:blip r:embed="rId270"/>
                    <a:stretch>
                      <a:fillRect/>
                    </a:stretch>
                  </pic:blipFill>
                  <pic:spPr bwMode="auto">
                    <a:xfrm>
                      <a:off x="0" y="0"/>
                      <a:ext cx="135890" cy="135890"/>
                    </a:xfrm>
                    <a:prstGeom prst="rect">
                      <a:avLst/>
                    </a:prstGeom>
                    <a:noFill/>
                  </pic:spPr>
                </pic:pic>
              </a:graphicData>
            </a:graphic>
          </wp:inline>
        </w:drawing>
      </w:r>
    </w:p>
    <w:p>
      <w:pPr>
        <w:pStyle w:val="Normal"/>
        <w:tabs>
          <w:tab w:val="clear" w:pos="708"/>
          <w:tab w:val="left" w:pos="9729" w:leader="none"/>
          <w:tab w:val="left" w:pos="9923" w:leader="none"/>
          <w:tab w:val="left" w:pos="10065" w:leader="none"/>
        </w:tabs>
        <w:spacing w:lineRule="auto" w:line="240" w:before="0" w:after="0"/>
        <w:jc w:val="center"/>
        <w:rPr>
          <w:rFonts w:ascii="Times New Roman" w:hAnsi="Times New Roman" w:eastAsia="Malgun Gothic" w:cs="Times New Roman"/>
          <w:i/>
          <w:i/>
          <w:spacing w:val="-3"/>
          <w:sz w:val="20"/>
          <w:szCs w:val="20"/>
          <w:shd w:fill="FFFFFF" w:val="clear"/>
          <w:lang w:val="en-US" w:eastAsia="ko-KR"/>
        </w:rPr>
      </w:pPr>
      <w:r>
        <w:rPr>
          <w:rFonts w:eastAsia="Malgun Gothic" w:cs="Times New Roman" w:ascii="Times New Roman" w:hAnsi="Times New Roman"/>
          <w:i/>
          <w:spacing w:val="-3"/>
          <w:sz w:val="20"/>
          <w:szCs w:val="20"/>
          <w:shd w:fill="FFFFFF" w:val="clear"/>
          <w:vertAlign w:val="superscript"/>
          <w:lang w:val="kk-KZ" w:eastAsia="ko-KR"/>
        </w:rPr>
        <w:t>1</w:t>
      </w:r>
      <w:r>
        <w:rPr>
          <w:rFonts w:eastAsia="Malgun Gothic" w:cs="Times New Roman" w:ascii="Times New Roman" w:hAnsi="Times New Roman"/>
          <w:i/>
          <w:spacing w:val="-3"/>
          <w:sz w:val="20"/>
          <w:szCs w:val="20"/>
          <w:shd w:fill="FFFFFF" w:val="clear"/>
          <w:vertAlign w:val="superscript"/>
          <w:lang w:val="en-US" w:eastAsia="ko-KR"/>
        </w:rPr>
        <w:t xml:space="preserve"> </w:t>
      </w:r>
      <w:r>
        <w:rPr>
          <w:rFonts w:eastAsia="Malgun Gothic" w:cs="Times New Roman" w:ascii="Times New Roman" w:hAnsi="Times New Roman"/>
          <w:i/>
          <w:spacing w:val="-3"/>
          <w:sz w:val="20"/>
          <w:szCs w:val="20"/>
          <w:shd w:fill="FFFFFF" w:val="clear"/>
          <w:lang w:val="en-US" w:eastAsia="ko-KR"/>
        </w:rPr>
        <w:t>Satbayev University, Almaty, Kazakhstan,</w:t>
      </w:r>
    </w:p>
    <w:p>
      <w:pPr>
        <w:pStyle w:val="Normal"/>
        <w:tabs>
          <w:tab w:val="clear" w:pos="708"/>
          <w:tab w:val="left" w:pos="9729" w:leader="none"/>
          <w:tab w:val="left" w:pos="9923" w:leader="none"/>
          <w:tab w:val="left" w:pos="10065" w:leader="none"/>
        </w:tabs>
        <w:spacing w:lineRule="auto" w:line="240" w:before="0" w:after="0"/>
        <w:jc w:val="center"/>
        <w:rPr>
          <w:rFonts w:ascii="Times New Roman" w:hAnsi="Times New Roman" w:eastAsia="Malgun Gothic" w:cs="Times New Roman"/>
          <w:i/>
          <w:i/>
          <w:spacing w:val="-3"/>
          <w:sz w:val="20"/>
          <w:szCs w:val="20"/>
          <w:shd w:fill="FFFFFF" w:val="clear"/>
          <w:lang w:val="en-US" w:eastAsia="ko-KR"/>
        </w:rPr>
      </w:pPr>
      <w:r>
        <w:rPr>
          <w:rFonts w:eastAsia="Malgun Gothic" w:cs="Times New Roman" w:ascii="Times New Roman" w:hAnsi="Times New Roman"/>
          <w:i/>
          <w:spacing w:val="-3"/>
          <w:sz w:val="20"/>
          <w:szCs w:val="20"/>
          <w:shd w:fill="FFFFFF" w:val="clear"/>
          <w:vertAlign w:val="superscript"/>
          <w:lang w:val="kk-KZ" w:eastAsia="ko-KR"/>
        </w:rPr>
        <w:t xml:space="preserve">2 </w:t>
      </w:r>
      <w:r>
        <w:rPr>
          <w:rFonts w:eastAsia="Malgun Gothic" w:cs="Times New Roman" w:ascii="Times New Roman" w:hAnsi="Times New Roman"/>
          <w:i/>
          <w:spacing w:val="-3"/>
          <w:sz w:val="20"/>
          <w:szCs w:val="20"/>
          <w:shd w:fill="FFFFFF" w:val="clear"/>
          <w:lang w:val="en-US" w:eastAsia="ko-KR"/>
        </w:rPr>
        <w:t>Akhmet Yassawi University,</w:t>
      </w:r>
      <w:r>
        <w:rPr>
          <w:rFonts w:cs="Times New Roman" w:ascii="Times New Roman" w:hAnsi="Times New Roman"/>
          <w:i/>
          <w:sz w:val="20"/>
          <w:szCs w:val="20"/>
          <w:shd w:fill="FFFFFF" w:val="clear"/>
          <w:lang w:val="en-US"/>
        </w:rPr>
        <w:t xml:space="preserve"> Turkestan, Kazakhstan,</w:t>
      </w:r>
    </w:p>
    <w:p>
      <w:pPr>
        <w:pStyle w:val="Normal"/>
        <w:tabs>
          <w:tab w:val="clear" w:pos="708"/>
          <w:tab w:val="left" w:pos="9729" w:leader="none"/>
          <w:tab w:val="left" w:pos="9923" w:leader="none"/>
          <w:tab w:val="left" w:pos="10065" w:leader="none"/>
        </w:tabs>
        <w:spacing w:lineRule="auto" w:line="240" w:before="0" w:after="0"/>
        <w:jc w:val="center"/>
        <w:rPr>
          <w:rFonts w:ascii="Times New Roman" w:hAnsi="Times New Roman" w:cs="Times New Roman"/>
          <w:i/>
          <w:i/>
          <w:sz w:val="20"/>
          <w:szCs w:val="20"/>
          <w:shd w:fill="FFFFFF" w:val="clear"/>
          <w:lang w:val="en-US"/>
        </w:rPr>
      </w:pPr>
      <w:r>
        <w:rPr>
          <w:rFonts w:eastAsia="Malgun Gothic" w:cs="Times New Roman" w:ascii="Times New Roman" w:hAnsi="Times New Roman"/>
          <w:i/>
          <w:spacing w:val="-3"/>
          <w:sz w:val="20"/>
          <w:szCs w:val="20"/>
          <w:shd w:fill="FFFFFF" w:val="clear"/>
          <w:vertAlign w:val="superscript"/>
          <w:lang w:val="kk-KZ" w:eastAsia="ko-KR"/>
        </w:rPr>
        <w:t xml:space="preserve">3 </w:t>
      </w:r>
      <w:r>
        <w:rPr>
          <w:rFonts w:eastAsia="Malgun Gothic" w:cs="Times New Roman" w:ascii="Times New Roman" w:hAnsi="Times New Roman"/>
          <w:i/>
          <w:spacing w:val="-3"/>
          <w:sz w:val="20"/>
          <w:szCs w:val="20"/>
          <w:shd w:fill="FFFFFF" w:val="clear"/>
          <w:lang w:val="en-US" w:eastAsia="ko-KR"/>
        </w:rPr>
        <w:t>International University of Tourism and Hospitality,</w:t>
      </w:r>
      <w:r>
        <w:rPr>
          <w:rFonts w:cs="Times New Roman" w:ascii="Times New Roman" w:hAnsi="Times New Roman"/>
          <w:i/>
          <w:sz w:val="20"/>
          <w:szCs w:val="20"/>
          <w:shd w:fill="FFFFFF" w:val="clear"/>
          <w:lang w:val="en-US"/>
        </w:rPr>
        <w:t xml:space="preserve"> Turkestan, Kazakhstan,</w:t>
      </w:r>
    </w:p>
    <w:p>
      <w:pPr>
        <w:pStyle w:val="Normal"/>
        <w:tabs>
          <w:tab w:val="clear" w:pos="708"/>
          <w:tab w:val="left" w:pos="9729" w:leader="none"/>
          <w:tab w:val="left" w:pos="9923" w:leader="none"/>
          <w:tab w:val="left" w:pos="10065" w:leader="none"/>
        </w:tabs>
        <w:spacing w:lineRule="auto" w:line="240" w:before="0" w:after="0"/>
        <w:jc w:val="center"/>
        <w:rPr>
          <w:rFonts w:ascii="Times New Roman" w:hAnsi="Times New Roman" w:cs="Times New Roman"/>
          <w:i/>
          <w:i/>
          <w:sz w:val="20"/>
          <w:szCs w:val="20"/>
          <w:lang w:val="en-US"/>
        </w:rPr>
      </w:pPr>
      <w:r>
        <w:rPr>
          <w:rFonts w:cs="Times New Roman" w:ascii="Times New Roman" w:hAnsi="Times New Roman"/>
          <w:i/>
          <w:sz w:val="20"/>
          <w:szCs w:val="20"/>
          <w:vertAlign w:val="superscript"/>
          <w:lang w:val="kk-KZ"/>
        </w:rPr>
        <w:t xml:space="preserve">4 </w:t>
      </w:r>
      <w:r>
        <w:rPr>
          <w:rFonts w:cs="Times New Roman" w:ascii="Times New Roman" w:hAnsi="Times New Roman"/>
          <w:i/>
          <w:sz w:val="20"/>
          <w:szCs w:val="20"/>
          <w:lang w:val="en-US"/>
        </w:rPr>
        <w:t>Regional Innovation University, Shymkent, Kazakhstan</w:t>
      </w:r>
    </w:p>
    <w:p>
      <w:pPr>
        <w:pStyle w:val="Normal"/>
        <w:tabs>
          <w:tab w:val="clear" w:pos="708"/>
          <w:tab w:val="left" w:pos="9729" w:leader="none"/>
          <w:tab w:val="left" w:pos="9923" w:leader="none"/>
          <w:tab w:val="left" w:pos="10065" w:leader="none"/>
        </w:tabs>
        <w:spacing w:lineRule="auto" w:line="240" w:before="0" w:after="0"/>
        <w:jc w:val="center"/>
        <w:rPr>
          <w:rFonts w:eastAsia="Malgun Gothic"/>
          <w:i/>
          <w:i/>
          <w:spacing w:val="-3"/>
          <w:sz w:val="20"/>
          <w:szCs w:val="20"/>
          <w:shd w:fill="FFFFFF" w:val="clear"/>
          <w:lang w:val="kk-KZ" w:eastAsia="ko-KR"/>
        </w:rPr>
      </w:pPr>
      <w:r>
        <w:rPr>
          <w:rFonts w:eastAsia="Malgun Gothic"/>
          <w:i/>
          <w:spacing w:val="-3"/>
          <w:sz w:val="20"/>
          <w:szCs w:val="20"/>
          <w:shd w:fill="FFFFFF" w:val="clear"/>
          <w:lang w:val="kk-KZ" w:eastAsia="ko-KR"/>
        </w:rPr>
      </w:r>
    </w:p>
    <w:p>
      <w:pPr>
        <w:pStyle w:val="Normal"/>
        <w:tabs>
          <w:tab w:val="clear" w:pos="708"/>
          <w:tab w:val="left" w:pos="9729" w:leader="none"/>
          <w:tab w:val="left" w:pos="9923" w:leader="none"/>
          <w:tab w:val="left" w:pos="10065" w:leader="none"/>
        </w:tabs>
        <w:spacing w:lineRule="auto" w:line="240" w:before="0" w:after="0"/>
        <w:rPr>
          <w:rFonts w:ascii="Times New Roman" w:hAnsi="Times New Roman" w:eastAsia="Malgun Gothic" w:cs="Times New Roman"/>
          <w:spacing w:val="-3"/>
          <w:shd w:fill="FFFFFF" w:val="clear"/>
          <w:lang w:val="en-US" w:eastAsia="ko-KR"/>
        </w:rPr>
      </w:pPr>
      <w:r>
        <w:rPr>
          <w:rFonts w:eastAsia="Wingdings" w:cs="Wingdings" w:ascii="Wingdings" w:hAnsi="Wingdings"/>
          <w:b/>
          <w:bCs/>
          <w:color w:val="1F497D"/>
          <w:vertAlign w:val="superscript"/>
        </w:rPr>
        <w:sym w:font="Wingdings" w:char="f02a"/>
      </w:r>
      <w:r>
        <w:rPr>
          <w:rFonts w:eastAsia="Calibri" w:cs="Times New Roman" w:ascii="Times New Roman" w:hAnsi="Times New Roman"/>
          <w:b/>
          <w:bCs/>
          <w:color w:val="1F497D"/>
          <w:vertAlign w:val="superscript"/>
          <w:lang w:val="en-US"/>
        </w:rPr>
        <w:t xml:space="preserve"> </w:t>
      </w:r>
      <w:r>
        <w:rPr>
          <w:rFonts w:cs="Times New Roman" w:ascii="Times New Roman" w:hAnsi="Times New Roman"/>
          <w:shd w:fill="FFFFFF" w:val="clear"/>
          <w:lang w:val="en-US"/>
        </w:rPr>
        <w:t>Correspondent-author:</w:t>
      </w:r>
      <w:r>
        <w:rPr>
          <w:rFonts w:eastAsia="Malgun Gothic" w:cs="Times New Roman" w:ascii="Times New Roman" w:hAnsi="Times New Roman"/>
          <w:spacing w:val="-3"/>
          <w:shd w:fill="FFFFFF" w:val="clear"/>
          <w:lang w:val="kk-KZ" w:eastAsia="ko-KR"/>
        </w:rPr>
        <w:t xml:space="preserve"> </w:t>
      </w:r>
      <w:r>
        <w:rPr>
          <w:rFonts w:cs="Times New Roman" w:ascii="Times New Roman" w:hAnsi="Times New Roman"/>
          <w:lang w:val="en-US"/>
        </w:rPr>
        <w:t>d.satybaldiyeva@satbayev.university</w:t>
      </w:r>
    </w:p>
    <w:p>
      <w:pPr>
        <w:pStyle w:val="Normal"/>
        <w:spacing w:lineRule="auto" w:line="240"/>
        <w:rPr>
          <w:spacing w:val="4"/>
          <w:lang w:val="en-US" w:eastAsia="ko-KR"/>
        </w:rPr>
      </w:pPr>
      <w:r>
        <w:rPr>
          <w:spacing w:val="4"/>
          <w:lang w:val="en-US" w:eastAsia="ko-KR"/>
        </w:rPr>
        <w:t xml:space="preserve">                                                                                                                                                      </w:t>
      </w:r>
    </w:p>
    <w:p>
      <w:pPr>
        <w:pStyle w:val="Style20"/>
        <w:tabs>
          <w:tab w:val="clear" w:pos="708"/>
          <w:tab w:val="left" w:pos="9729" w:leader="none"/>
          <w:tab w:val="left" w:pos="9923" w:leader="none"/>
          <w:tab w:val="left" w:pos="10065" w:leader="none"/>
        </w:tabs>
        <w:snapToGrid w:val="true"/>
        <w:spacing w:lineRule="auto" w:line="240" w:before="0" w:after="0"/>
        <w:ind w:right="0"/>
        <w:rPr>
          <w:rFonts w:ascii="Times New Roman" w:hAnsi="Times New Roman" w:eastAsia="Times New Roman" w:cs="Times New Roman"/>
          <w:bCs/>
          <w:color w:val="auto"/>
          <w:kern w:val="2"/>
          <w:sz w:val="24"/>
          <w:szCs w:val="24"/>
          <w:shd w:fill="FFFFFF" w:val="clear"/>
        </w:rPr>
      </w:pPr>
      <w:r>
        <w:rPr>
          <w:rFonts w:cs="Times New Roman" w:ascii="Times New Roman" w:hAnsi="Times New Roman"/>
          <w:bCs/>
          <w:color w:val="auto"/>
          <w:sz w:val="24"/>
          <w:szCs w:val="24"/>
        </w:rPr>
        <w:t xml:space="preserve">           </w:t>
      </w:r>
      <w:r>
        <w:rPr>
          <w:rFonts w:cs="Times New Roman" w:ascii="Times New Roman" w:hAnsi="Times New Roman"/>
          <w:bCs/>
          <w:color w:val="auto"/>
          <w:sz w:val="24"/>
          <w:szCs w:val="24"/>
        </w:rPr>
        <w:t>Changes and advances in areas such as communication, technology, transportation, and education have provided many opportunities for people from different cultures to live together in the same place. There are many organizational and individual strategies that are used differently to manage such intercultural interactions and differences. A new concept at the top of these strategies is cultural intelligence. This is because people with high levels of cultural intelligence can adapt quickly to the systems and social life of the country they visit, which also creates significant advantages in achieving academic success (being excellent in school, exemplary). In this context, adaptation processes and levels of achievement affect individuals to a certain extent. For this reason, this study provides an opportunity to analyze whether cultural intelligence and cultural adaptation have an impact on academic performance. Therefore, this research aims to determine the relationship between cultural intelligence and cultural adaptation and their impact on academic performance. For this reason, the sample group of the study consisted only of foreign students studying at the Khoja Ahmet Yasawi International Kazakh-Turkish University. The study surveyed a total of 275 international students, with 253 providing complete and correct responses. The results showed that participants' cultural intelligence levels were higher than their cultural adaptation levels, and that higher levels of cultural intelligence were associated with higher academic performance</w:t>
      </w:r>
      <w:r>
        <w:rPr>
          <w:rFonts w:eastAsia="Times New Roman" w:cs="Times New Roman" w:ascii="Times New Roman" w:hAnsi="Times New Roman"/>
          <w:bCs/>
          <w:color w:val="000000"/>
          <w:kern w:val="2"/>
          <w:sz w:val="24"/>
          <w:szCs w:val="24"/>
          <w:shd w:fill="FFFFFF" w:val="clear"/>
        </w:rPr>
        <w:t xml:space="preserve">.  </w:t>
      </w:r>
    </w:p>
    <w:p>
      <w:pPr>
        <w:pStyle w:val="Style20"/>
        <w:tabs>
          <w:tab w:val="clear" w:pos="708"/>
          <w:tab w:val="left" w:pos="9729" w:leader="none"/>
          <w:tab w:val="left" w:pos="9923" w:leader="none"/>
          <w:tab w:val="left" w:pos="10065" w:leader="none"/>
        </w:tabs>
        <w:snapToGrid w:val="true"/>
        <w:spacing w:lineRule="auto" w:line="240" w:before="0" w:after="0"/>
        <w:ind w:right="0"/>
        <w:rPr>
          <w:rFonts w:ascii="Times New Roman" w:hAnsi="Times New Roman" w:cs="Times New Roman"/>
          <w:color w:val="auto"/>
          <w:spacing w:val="-10"/>
          <w:sz w:val="24"/>
          <w:szCs w:val="24"/>
          <w:shd w:fill="FFFFFF" w:val="clear"/>
        </w:rPr>
      </w:pPr>
      <w:r>
        <w:rPr>
          <w:rFonts w:cs="Times New Roman" w:ascii="Times New Roman" w:hAnsi="Times New Roman"/>
          <w:b/>
          <w:color w:val="000000"/>
          <w:spacing w:val="-3"/>
          <w:sz w:val="24"/>
          <w:szCs w:val="24"/>
          <w:shd w:fill="FFFFFF" w:val="clear"/>
        </w:rPr>
        <w:t xml:space="preserve">Keywords: </w:t>
      </w:r>
      <w:r>
        <w:rPr>
          <w:rFonts w:cs="Times New Roman" w:ascii="Times New Roman" w:hAnsi="Times New Roman"/>
          <w:color w:val="000000"/>
          <w:spacing w:val="-3"/>
          <w:sz w:val="24"/>
          <w:szCs w:val="24"/>
          <w:shd w:fill="FFFFFF" w:val="clear"/>
        </w:rPr>
        <w:t>academic performance, cultural intelligence, intercultural interactions, communication, cultural adaptation, international students.</w:t>
      </w:r>
    </w:p>
    <w:p>
      <w:pPr>
        <w:pStyle w:val="Style20"/>
        <w:tabs>
          <w:tab w:val="clear" w:pos="708"/>
          <w:tab w:val="left" w:pos="9729" w:leader="none"/>
          <w:tab w:val="left" w:pos="9923" w:leader="none"/>
          <w:tab w:val="left" w:pos="10065" w:leader="none"/>
        </w:tabs>
        <w:snapToGrid w:val="true"/>
        <w:spacing w:lineRule="auto" w:line="276" w:before="0" w:after="0"/>
        <w:ind w:right="0"/>
        <w:rPr>
          <w:rFonts w:ascii="Times New Roman" w:hAnsi="Times New Roman" w:cs="Times New Roman"/>
          <w:bCs/>
          <w:iCs/>
          <w:color w:val="231F20"/>
          <w:spacing w:val="-3"/>
          <w:sz w:val="24"/>
          <w:szCs w:val="24"/>
          <w:shd w:fill="FFFFFF" w:val="clear"/>
          <w:lang w:val="kk-KZ"/>
        </w:rPr>
      </w:pPr>
      <w:r>
        <w:rPr>
          <w:rFonts w:cs="Times New Roman" w:ascii="Times New Roman" w:hAnsi="Times New Roman"/>
          <w:bCs/>
          <w:iCs/>
          <w:color w:val="231F20"/>
          <w:spacing w:val="-3"/>
          <w:sz w:val="24"/>
          <w:szCs w:val="24"/>
          <w:shd w:fill="FFFFFF" w:val="clear"/>
          <w:lang w:val="kk-KZ"/>
        </w:rPr>
      </w:r>
    </w:p>
    <w:p>
      <w:pPr>
        <w:pStyle w:val="NormalWeb"/>
        <w:spacing w:before="0" w:after="0"/>
        <w:jc w:val="center"/>
        <w:rPr>
          <w:b/>
          <w:bCs/>
          <w:sz w:val="22"/>
          <w:szCs w:val="22"/>
          <w:lang w:val="kk-KZ"/>
        </w:rPr>
      </w:pPr>
      <w:r>
        <w:rPr>
          <w:rStyle w:val="Strong"/>
          <w:sz w:val="22"/>
          <w:szCs w:val="22"/>
        </w:rPr>
        <w:t>АНАЛИЗ ВЛИЯНИЯ КУЛЬТУРНОЙ АДАПТАЦИИ НА АКАДЕМИЧЕСКУЮ УСПЕВАЕМОСТЬ</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vertAlign w:val="superscript"/>
          <w:lang w:val="kk-KZ"/>
        </w:rPr>
        <w:t>1</w:t>
      </w:r>
      <w:r>
        <w:rPr>
          <w:rFonts w:cs="Times New Roman" w:ascii="Times New Roman" w:hAnsi="Times New Roman"/>
          <w:b/>
          <w:lang w:val="kk-KZ"/>
        </w:rPr>
        <w:t>Д. Сатыбалдиева</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xml:space="preserve">, </w:t>
      </w:r>
      <w:r>
        <w:rPr>
          <w:rFonts w:cs="Times New Roman" w:ascii="Times New Roman" w:hAnsi="Times New Roman"/>
          <w:b/>
          <w:vertAlign w:val="superscript"/>
          <w:lang w:val="kk-KZ"/>
        </w:rPr>
        <w:t>2</w:t>
      </w:r>
      <w:r>
        <w:rPr>
          <w:rFonts w:cs="Times New Roman" w:ascii="Times New Roman" w:hAnsi="Times New Roman"/>
          <w:b/>
          <w:lang w:val="kk-KZ"/>
        </w:rPr>
        <w:t xml:space="preserve">Б.Кенешбаев, </w:t>
      </w:r>
      <w:r>
        <w:rPr>
          <w:rFonts w:cs="Times New Roman" w:ascii="Times New Roman" w:hAnsi="Times New Roman"/>
          <w:b/>
          <w:vertAlign w:val="superscript"/>
          <w:lang w:val="kk-KZ"/>
        </w:rPr>
        <w:t>3</w:t>
      </w:r>
      <w:r>
        <w:rPr>
          <w:rFonts w:cs="Times New Roman" w:ascii="Times New Roman" w:hAnsi="Times New Roman"/>
          <w:b/>
          <w:lang w:val="kk-KZ"/>
        </w:rPr>
        <w:t xml:space="preserve">Р.Тажибаева, </w:t>
      </w:r>
      <w:r>
        <w:rPr>
          <w:rFonts w:cs="Times New Roman" w:ascii="Times New Roman" w:hAnsi="Times New Roman"/>
          <w:b/>
          <w:vertAlign w:val="superscript"/>
          <w:lang w:val="kk-KZ"/>
        </w:rPr>
        <w:t>3</w:t>
      </w:r>
      <w:r>
        <w:rPr>
          <w:rFonts w:cs="Times New Roman" w:ascii="Times New Roman" w:hAnsi="Times New Roman"/>
          <w:b/>
          <w:lang w:val="kk-KZ"/>
        </w:rPr>
        <w:t xml:space="preserve">С.Калтаева, </w:t>
      </w:r>
      <w:r>
        <w:rPr>
          <w:rFonts w:cs="Times New Roman" w:ascii="Times New Roman" w:hAnsi="Times New Roman"/>
          <w:b/>
          <w:vertAlign w:val="superscript"/>
          <w:lang w:val="kk-KZ"/>
        </w:rPr>
        <w:t>4</w:t>
      </w:r>
      <w:r>
        <w:rPr>
          <w:rFonts w:cs="Times New Roman" w:ascii="Times New Roman" w:hAnsi="Times New Roman"/>
          <w:b/>
          <w:lang w:val="kk-KZ"/>
        </w:rPr>
        <w:t>А.Муталиева</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1</w:t>
      </w:r>
      <w:r>
        <w:rPr>
          <w:rFonts w:cs="Times New Roman" w:ascii="Times New Roman" w:hAnsi="Times New Roman"/>
          <w:i/>
          <w:color w:val="auto"/>
          <w:lang w:val="kk-KZ"/>
        </w:rPr>
        <w:t>Университет Сатпаева, Алматы, Казахстан,</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 xml:space="preserve">2 </w:t>
      </w:r>
      <w:r>
        <w:rPr>
          <w:rFonts w:cs="Times New Roman" w:ascii="Times New Roman" w:hAnsi="Times New Roman"/>
          <w:i/>
          <w:color w:val="auto"/>
          <w:lang w:val="kk-KZ"/>
        </w:rPr>
        <w:t>Университет Ахмеда Ясави, Туркестан, Казахстан,</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 xml:space="preserve">3 </w:t>
      </w:r>
      <w:r>
        <w:rPr>
          <w:rFonts w:cs="Times New Roman" w:ascii="Times New Roman" w:hAnsi="Times New Roman"/>
          <w:i/>
          <w:color w:val="auto"/>
          <w:lang w:val="kk-KZ"/>
        </w:rPr>
        <w:t>Международный университет туризма и гостеприимства, Туркестан, Казахстан,</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 xml:space="preserve">4 </w:t>
      </w:r>
      <w:r>
        <w:rPr>
          <w:rFonts w:cs="Times New Roman" w:ascii="Times New Roman" w:hAnsi="Times New Roman"/>
          <w:i/>
          <w:color w:val="auto"/>
          <w:lang w:val="kk-KZ"/>
        </w:rPr>
        <w:t>Региональный инновационный университет, Шымкент, Казахстан,</w:t>
      </w:r>
    </w:p>
    <w:p>
      <w:pPr>
        <w:pStyle w:val="NormalWeb"/>
        <w:spacing w:before="0" w:after="0"/>
        <w:jc w:val="center"/>
        <w:rPr>
          <w:sz w:val="20"/>
          <w:szCs w:val="20"/>
          <w:lang w:val="kk-KZ"/>
        </w:rPr>
      </w:pPr>
      <w:r>
        <w:rPr>
          <w:rFonts w:eastAsia="Wingdings" w:cs="Wingdings" w:ascii="Wingdings" w:hAnsi="Wingdings"/>
          <w:b/>
          <w:bCs/>
          <w:color w:val="1F497D"/>
          <w:sz w:val="20"/>
          <w:szCs w:val="20"/>
          <w:vertAlign w:val="superscript"/>
        </w:rPr>
        <w:sym w:font="Wingdings" w:char="f02a"/>
      </w:r>
      <w:r>
        <w:rPr>
          <w:sz w:val="20"/>
          <w:szCs w:val="20"/>
          <w:lang w:val="en-US"/>
        </w:rPr>
        <w:t>e-mail: d.satybaldiyeva@satbayev.university</w:t>
      </w:r>
    </w:p>
    <w:p>
      <w:pPr>
        <w:pStyle w:val="NormalWeb"/>
        <w:spacing w:before="0" w:after="0"/>
        <w:jc w:val="both"/>
        <w:rPr>
          <w:rStyle w:val="Strong"/>
          <w:lang w:val="kk-KZ"/>
        </w:rPr>
      </w:pPr>
      <w:r>
        <w:rPr>
          <w:lang w:val="kk-KZ"/>
        </w:rPr>
      </w:r>
    </w:p>
    <w:p>
      <w:pPr>
        <w:pStyle w:val="NormalWeb"/>
        <w:spacing w:before="0" w:after="0"/>
        <w:ind w:firstLine="708"/>
        <w:jc w:val="both"/>
        <w:rPr/>
      </w:pPr>
      <w:r>
        <w:rPr/>
        <w:t>Изменения и достижения в таких сферах, как коммуникация, технологии, транспорт и образование, создали множество возможностей для людей из разных культур жить вместе в одном месте. Существует множество организационных и индивидуальных стратегий, которые по-разному применяются для управления такими межкультурными взаимодействиями и различиями. Одним из новых и ключевых понятий среди этих стратегий является культурный интеллект. Это объясняется тем, что люди с высоким уровнем культурного интеллекта способны быстро адаптироваться к системам и социальной жизни страны, которую они посещают, что создаёт значительные преимущества в достижении академического успеха (высокая успеваемость, примерное обучение). В этом контексте процессы адаптации и уровень достижений в определённой степени влияют на личность. Поэтому данное исследование предоставляет возможность проанализировать, оказывают ли культурный интеллект и культурная адаптация влияние на академическую успеваемость. Таким образом, цель данного исследования – определить взаимосвязь между культурным интеллектом и культурной адаптацией и их влияние на академическую успеваемость. В связи с этим выборка исследования включала только иностранных студентов, обучающихся в Международном казахско-турецком университете имени Ходжи Ахмета Ясави. В исследовании приняли участие 275 иностранных студентов, из которых 253 предоставили полные и корректные ответы. Результаты показали, что уровни культурного интеллекта участников были выше уровней их культурной адаптации и что более высокий уровень культурного интеллекта был связан с более высокой академической успеваемостью.</w:t>
      </w:r>
    </w:p>
    <w:p>
      <w:pPr>
        <w:pStyle w:val="NormalWeb"/>
        <w:spacing w:before="0" w:after="0"/>
        <w:jc w:val="both"/>
        <w:rPr/>
      </w:pPr>
      <w:r>
        <w:rPr>
          <w:rStyle w:val="Strong"/>
        </w:rPr>
        <w:t>Ключевые слова:</w:t>
      </w:r>
      <w:r>
        <w:rPr/>
        <w:t xml:space="preserve"> академическая успеваемость, культурный интеллект, межкультурные взаимодействия, коммуникация, культурная адаптация, иностранные студенты.</w:t>
      </w:r>
    </w:p>
    <w:p>
      <w:pPr>
        <w:pStyle w:val="Style20"/>
        <w:tabs>
          <w:tab w:val="clear" w:pos="708"/>
          <w:tab w:val="left" w:pos="9729" w:leader="none"/>
          <w:tab w:val="left" w:pos="9923" w:leader="none"/>
          <w:tab w:val="left" w:pos="10065" w:leader="none"/>
        </w:tabs>
        <w:snapToGrid w:val="true"/>
        <w:spacing w:lineRule="auto" w:line="240" w:before="0" w:after="0"/>
        <w:ind w:right="0"/>
        <w:rPr>
          <w:rFonts w:ascii="Times New Roman" w:hAnsi="Times New Roman" w:cs="Times New Roman"/>
          <w:bCs/>
          <w:iCs/>
          <w:color w:val="231F20"/>
          <w:spacing w:val="-3"/>
          <w:sz w:val="24"/>
          <w:szCs w:val="24"/>
          <w:shd w:fill="FFFFFF" w:val="clear"/>
          <w:lang w:val="ru-RU"/>
        </w:rPr>
      </w:pPr>
      <w:r>
        <w:rPr>
          <w:rFonts w:cs="Times New Roman" w:ascii="Times New Roman" w:hAnsi="Times New Roman"/>
          <w:bCs/>
          <w:iCs/>
          <w:color w:val="231F20"/>
          <w:spacing w:val="-3"/>
          <w:sz w:val="24"/>
          <w:szCs w:val="24"/>
          <w:shd w:fill="FFFFFF" w:val="clear"/>
          <w:lang w:val="ru-RU"/>
        </w:rPr>
      </w:r>
    </w:p>
    <w:p>
      <w:pPr>
        <w:pStyle w:val="NormalWeb"/>
        <w:spacing w:lineRule="auto" w:line="240" w:before="0" w:after="0"/>
        <w:jc w:val="center"/>
        <w:rPr>
          <w:rStyle w:val="Strong"/>
          <w:sz w:val="22"/>
          <w:szCs w:val="22"/>
          <w:lang w:val="kk-KZ"/>
        </w:rPr>
      </w:pPr>
      <w:r>
        <w:rPr>
          <w:rStyle w:val="Strong"/>
          <w:sz w:val="22"/>
          <w:szCs w:val="22"/>
        </w:rPr>
        <w:t>МӘДЕНИ БЕЙІМДЕЛУДІҢ АКАДЕМИЯЛЫҚ ҮЛГЕРІМГЕ ӘСЕРІН ТАЛДАУ</w:t>
      </w:r>
    </w:p>
    <w:p>
      <w:pPr>
        <w:pStyle w:val="Normal"/>
        <w:spacing w:lineRule="auto" w:line="240" w:before="0" w:after="0"/>
        <w:jc w:val="center"/>
        <w:rPr>
          <w:rFonts w:ascii="Times New Roman" w:hAnsi="Times New Roman" w:cs="Times New Roman"/>
          <w:b/>
          <w:vertAlign w:val="superscript"/>
          <w:lang w:val="kk-KZ"/>
        </w:rPr>
      </w:pPr>
      <w:r>
        <w:rPr>
          <w:rFonts w:cs="Times New Roman" w:ascii="Times New Roman" w:hAnsi="Times New Roman"/>
          <w:b/>
          <w:vertAlign w:val="superscript"/>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vertAlign w:val="superscript"/>
          <w:lang w:val="kk-KZ"/>
        </w:rPr>
        <w:t>1</w:t>
      </w:r>
      <w:r>
        <w:rPr>
          <w:rFonts w:cs="Times New Roman" w:ascii="Times New Roman" w:hAnsi="Times New Roman"/>
          <w:b/>
          <w:lang w:val="kk-KZ"/>
        </w:rPr>
        <w:t>Д. Сатыбалдиева</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xml:space="preserve">, </w:t>
      </w:r>
      <w:r>
        <w:rPr>
          <w:rFonts w:cs="Times New Roman" w:ascii="Times New Roman" w:hAnsi="Times New Roman"/>
          <w:b/>
          <w:vertAlign w:val="superscript"/>
          <w:lang w:val="kk-KZ"/>
        </w:rPr>
        <w:t>2</w:t>
      </w:r>
      <w:r>
        <w:rPr>
          <w:rFonts w:cs="Times New Roman" w:ascii="Times New Roman" w:hAnsi="Times New Roman"/>
          <w:b/>
          <w:lang w:val="kk-KZ"/>
        </w:rPr>
        <w:t xml:space="preserve">Б.Кенешбаев, </w:t>
      </w:r>
      <w:r>
        <w:rPr>
          <w:rFonts w:cs="Times New Roman" w:ascii="Times New Roman" w:hAnsi="Times New Roman"/>
          <w:b/>
          <w:vertAlign w:val="superscript"/>
          <w:lang w:val="kk-KZ"/>
        </w:rPr>
        <w:t>3</w:t>
      </w:r>
      <w:r>
        <w:rPr>
          <w:rFonts w:cs="Times New Roman" w:ascii="Times New Roman" w:hAnsi="Times New Roman"/>
          <w:b/>
          <w:lang w:val="kk-KZ"/>
        </w:rPr>
        <w:t>Р.</w:t>
      </w:r>
      <w:r>
        <w:rPr>
          <w:rFonts w:cs="Times New Roman" w:ascii="Times New Roman" w:hAnsi="Times New Roman"/>
          <w:b/>
        </w:rPr>
        <w:t xml:space="preserve"> </w:t>
      </w:r>
      <w:r>
        <w:rPr>
          <w:rFonts w:cs="Times New Roman" w:ascii="Times New Roman" w:hAnsi="Times New Roman"/>
          <w:b/>
          <w:lang w:val="kk-KZ"/>
        </w:rPr>
        <w:t xml:space="preserve">Тажибаева, </w:t>
      </w:r>
      <w:r>
        <w:rPr>
          <w:rFonts w:cs="Times New Roman" w:ascii="Times New Roman" w:hAnsi="Times New Roman"/>
          <w:b/>
          <w:vertAlign w:val="superscript"/>
          <w:lang w:val="kk-KZ"/>
        </w:rPr>
        <w:t>3</w:t>
      </w:r>
      <w:r>
        <w:rPr>
          <w:rFonts w:cs="Times New Roman" w:ascii="Times New Roman" w:hAnsi="Times New Roman"/>
          <w:b/>
          <w:lang w:val="kk-KZ"/>
        </w:rPr>
        <w:t xml:space="preserve">С.Калтаева, </w:t>
      </w:r>
      <w:r>
        <w:rPr>
          <w:rFonts w:cs="Times New Roman" w:ascii="Times New Roman" w:hAnsi="Times New Roman"/>
          <w:b/>
          <w:vertAlign w:val="superscript"/>
          <w:lang w:val="kk-KZ"/>
        </w:rPr>
        <w:t>4</w:t>
      </w:r>
      <w:r>
        <w:rPr>
          <w:rFonts w:cs="Times New Roman" w:ascii="Times New Roman" w:hAnsi="Times New Roman"/>
          <w:b/>
          <w:lang w:val="kk-KZ"/>
        </w:rPr>
        <w:t>А.Муталиева</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1</w:t>
      </w:r>
      <w:r>
        <w:rPr>
          <w:rFonts w:cs="Times New Roman" w:ascii="Times New Roman" w:hAnsi="Times New Roman"/>
          <w:i/>
          <w:color w:val="auto"/>
          <w:lang w:val="kk-KZ"/>
        </w:rPr>
        <w:t>Сәтбаев университеті, Алматы, Қазақстан,</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 xml:space="preserve">2 </w:t>
      </w:r>
      <w:r>
        <w:rPr>
          <w:rFonts w:cs="Times New Roman" w:ascii="Times New Roman" w:hAnsi="Times New Roman"/>
          <w:i/>
          <w:color w:val="auto"/>
          <w:lang w:val="kk-KZ"/>
        </w:rPr>
        <w:t>Ахмет Ясауи университеті, Түркістан, Қазақстан,</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 xml:space="preserve">3 </w:t>
      </w:r>
      <w:r>
        <w:rPr>
          <w:rFonts w:cs="Times New Roman" w:ascii="Times New Roman" w:hAnsi="Times New Roman"/>
          <w:i/>
          <w:color w:val="auto"/>
          <w:lang w:val="kk-KZ"/>
        </w:rPr>
        <w:t>Халықаралық туризм және меймандостық университеті, Түркістан, Қазақстан,</w:t>
      </w:r>
    </w:p>
    <w:p>
      <w:pPr>
        <w:pStyle w:val="Style21"/>
        <w:spacing w:lineRule="auto" w:line="240"/>
        <w:jc w:val="center"/>
        <w:rPr>
          <w:rFonts w:ascii="Times New Roman" w:hAnsi="Times New Roman" w:cs="Times New Roman"/>
          <w:i/>
          <w:i/>
          <w:color w:val="auto"/>
          <w:lang w:val="kk-KZ"/>
        </w:rPr>
      </w:pPr>
      <w:r>
        <w:rPr>
          <w:rFonts w:cs="Times New Roman" w:ascii="Times New Roman" w:hAnsi="Times New Roman"/>
          <w:i/>
          <w:color w:val="auto"/>
          <w:vertAlign w:val="superscript"/>
          <w:lang w:val="kk-KZ"/>
        </w:rPr>
        <w:t xml:space="preserve">4 </w:t>
      </w:r>
      <w:r>
        <w:rPr>
          <w:rFonts w:cs="Times New Roman" w:ascii="Times New Roman" w:hAnsi="Times New Roman"/>
          <w:i/>
          <w:color w:val="auto"/>
          <w:lang w:val="kk-KZ"/>
        </w:rPr>
        <w:t>Аймақтық инновациялық университеті, Шымкент, Қазақстан,</w:t>
      </w:r>
    </w:p>
    <w:p>
      <w:pPr>
        <w:pStyle w:val="NormalWeb"/>
        <w:spacing w:lineRule="auto" w:line="240" w:before="0" w:after="0"/>
        <w:jc w:val="center"/>
        <w:rPr>
          <w:sz w:val="22"/>
          <w:szCs w:val="22"/>
          <w:lang w:val="en-US"/>
        </w:rPr>
      </w:pPr>
      <w:r>
        <w:rPr>
          <w:sz w:val="22"/>
          <w:szCs w:val="22"/>
          <w:lang w:val="en-US"/>
        </w:rPr>
        <w:t xml:space="preserve">e-mail: </w:t>
      </w:r>
      <w:hyperlink r:id="rId272">
        <w:r>
          <w:rPr>
            <w:rStyle w:val="Hyperlink"/>
            <w:sz w:val="22"/>
            <w:szCs w:val="22"/>
            <w:lang w:val="en-US"/>
          </w:rPr>
          <w:t>d.satybaldiyeva@satbayev.university</w:t>
        </w:r>
      </w:hyperlink>
    </w:p>
    <w:p>
      <w:pPr>
        <w:pStyle w:val="NormalWeb"/>
        <w:spacing w:lineRule="auto" w:line="240" w:before="0" w:after="0"/>
        <w:jc w:val="center"/>
        <w:rPr>
          <w:sz w:val="22"/>
          <w:szCs w:val="22"/>
          <w:lang w:val="kk-KZ"/>
        </w:rPr>
      </w:pPr>
      <w:r>
        <w:rPr>
          <w:sz w:val="22"/>
          <w:szCs w:val="22"/>
          <w:lang w:val="kk-KZ"/>
        </w:rPr>
      </w:r>
    </w:p>
    <w:p>
      <w:pPr>
        <w:pStyle w:val="NormalWeb"/>
        <w:spacing w:before="0" w:after="0"/>
        <w:ind w:firstLine="708"/>
        <w:jc w:val="both"/>
        <w:rPr>
          <w:lang w:val="kk-KZ"/>
        </w:rPr>
      </w:pPr>
      <w:r>
        <w:rPr>
          <w:lang w:val="kk-KZ"/>
        </w:rPr>
        <w:t>Коммуникация, технология, көлік және білім беру сияқты салалардағы өзгерістер мен жетістіктер әртүрлі мәдениеттерден шыққан адамдардың бір жерде бірге өмір сүруіне көптеген мүмкіндіктер берді. Мұндай мәдениетаралық өзара әрекеттестіктерді және айырмашылықтарды басқару үшін түрлі ұйымдық және жеке стратегиялар қолданылады. Бұл стратегиялардың ішінде жаңа әрі маңызды ұғым - мәдени интеллект. Себебі мәдени интеллект деңгейі жоғары адамдар барған елдің жүйелері мен әлеуметтік өміріне тез бейімделе алады, бұл академиялық табысқа (үздік оқу, үлгілі студент болу) қол жеткізуде елеулі артықшылықтар береді. Осы тұрғыда бейімделу үдерістері мен жетістік деңгейі жеке тұлғаларға белгілі бір дәрежеде әсер етеді. Сондықтан бұл зерттеу мәдени интеллект пен мәдени бейімделудің академиялық үлгерімге әсерін талдауға мүмкіндік береді. Осыған байланысты зерттеудің мақсаты - мәдени интеллект пен мәдени бейімделудің арасындағы өзара байланысты және олардың академиялық үлгерімге ықпалын анықтау. Зерттеу үлгісі Ходжа Ахмет Ясауи атындағы Халықаралық қазақ-түрік университетінде оқитын шетелдік студенттермен шектелді. Зерттеуге барлығы 275 шетелдік студент қатысты, олардың 253-і толық және дұрыс жауаптар берді. Нәтижелер көрсеткендей, қатысушылардың мәдени интеллект деңгейі олардың мәдени бейімделу деңгейінен жоғары болды және мәдени интеллект деңгейі жоғары студенттердің академиялық үлгерімі де жоғары болды.</w:t>
      </w:r>
    </w:p>
    <w:p>
      <w:pPr>
        <w:pStyle w:val="NormalWeb"/>
        <w:spacing w:before="0" w:after="0"/>
        <w:ind w:firstLine="708"/>
        <w:jc w:val="both"/>
        <w:rPr>
          <w:lang w:val="kk-KZ"/>
        </w:rPr>
      </w:pPr>
      <w:r>
        <w:rPr>
          <w:rStyle w:val="Strong"/>
          <w:lang w:val="kk-KZ"/>
        </w:rPr>
        <w:t xml:space="preserve">Түйін сөздер: </w:t>
      </w:r>
      <w:r>
        <w:rPr>
          <w:rStyle w:val="Strong"/>
          <w:b w:val="false"/>
          <w:lang w:val="kk-KZ"/>
        </w:rPr>
        <w:t>академиялық үлгерім, мәдени интеллект, мәдениетаралық өзара</w:t>
      </w:r>
      <w:r>
        <w:rPr>
          <w:lang w:val="kk-KZ"/>
        </w:rPr>
        <w:t xml:space="preserve"> әрекеттестік, коммуникация, мәдени бейімделу, шетелдік студенттер.</w:t>
      </w:r>
    </w:p>
    <w:p>
      <w:pPr>
        <w:pStyle w:val="Style20"/>
        <w:tabs>
          <w:tab w:val="clear" w:pos="708"/>
          <w:tab w:val="left" w:pos="9729" w:leader="none"/>
          <w:tab w:val="left" w:pos="9923" w:leader="none"/>
          <w:tab w:val="left" w:pos="10065" w:leader="none"/>
        </w:tabs>
        <w:snapToGrid w:val="true"/>
        <w:spacing w:lineRule="auto" w:line="276" w:before="0" w:after="0"/>
        <w:ind w:right="0"/>
        <w:rPr>
          <w:rFonts w:ascii="Times New Roman" w:hAnsi="Times New Roman" w:cs="Times New Roman"/>
          <w:b/>
          <w:bCs/>
          <w:i/>
          <w:i/>
          <w:iCs/>
          <w:color w:val="231F20"/>
          <w:spacing w:val="-3"/>
          <w:sz w:val="24"/>
          <w:szCs w:val="24"/>
          <w:shd w:fill="FFFFFF" w:val="clear"/>
          <w:lang w:val="kk-KZ"/>
        </w:rPr>
      </w:pPr>
      <w:r>
        <w:rPr>
          <w:rFonts w:cs="Times New Roman" w:ascii="Times New Roman" w:hAnsi="Times New Roman"/>
          <w:b/>
          <w:bCs/>
          <w:i/>
          <w:iCs/>
          <w:color w:val="231F20"/>
          <w:spacing w:val="-3"/>
          <w:sz w:val="24"/>
          <w:szCs w:val="24"/>
          <w:shd w:fill="FFFFFF" w:val="clear"/>
          <w:lang w:val="kk-KZ"/>
        </w:rPr>
      </w:r>
    </w:p>
    <w:p>
      <w:pPr>
        <w:pStyle w:val="Normal"/>
        <w:spacing w:lineRule="auto" w:line="240"/>
        <w:ind w:firstLine="708"/>
        <w:jc w:val="both"/>
        <w:rPr>
          <w:rFonts w:ascii="Times New Roman" w:hAnsi="Times New Roman" w:cs="Times New Roman"/>
          <w:spacing w:val="4"/>
          <w:sz w:val="24"/>
          <w:szCs w:val="24"/>
          <w:lang w:val="kk-KZ" w:eastAsia="ko-KR"/>
        </w:rPr>
      </w:pPr>
      <w:r>
        <w:rPr>
          <w:rFonts w:cs="Times New Roman" w:ascii="Times New Roman" w:hAnsi="Times New Roman"/>
          <w:b/>
          <w:sz w:val="24"/>
          <w:szCs w:val="24"/>
          <w:lang w:val="en-US"/>
        </w:rPr>
        <w:t>Introduction</w:t>
      </w:r>
      <w:r>
        <w:rPr>
          <w:rFonts w:cs="Times New Roman" w:ascii="Times New Roman" w:hAnsi="Times New Roman"/>
          <w:sz w:val="24"/>
          <w:szCs w:val="24"/>
          <w:lang w:val="en-US"/>
        </w:rPr>
        <w:t xml:space="preserve">. </w:t>
      </w:r>
      <w:r>
        <w:rPr>
          <w:rFonts w:cs="Times New Roman" w:ascii="Times New Roman" w:hAnsi="Times New Roman"/>
          <w:spacing w:val="4"/>
          <w:sz w:val="24"/>
          <w:szCs w:val="24"/>
          <w:lang w:val="kk-KZ" w:eastAsia="ko-KR"/>
        </w:rPr>
        <w:t>The communication factor, which is the basis of human life, connects individuals, enterprises and states in today's global world. However, this connection also creates many problems. When people from different cultures meet, work or study in the same place, and live together, some communication problems and misunderstandings arise. In order to minimize the adversarial relationship, that is, misunderstandings, between people or organizations with different cultures, the problems of adaptation and interaction that cause them must be solved.</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Changes and advances in areas such as communication, technology, transportation and education provide many opportunities for people from different cultures to live together. There are many organizational and individual strategies that are used differently in intercultural interaction and managing differences. At the top of these strategies is a new concept - cultural intelligence.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Cultural intelligence is the ability to perceive, understand, interpret, and assimilate the characteristics of different cultures in order to manage cultural differences in a multicultural environment with many cultures. People with a high level of cultural intelligence can quickly adapt to the systems and social life of the country they visit, which also creates significant advantages in achieving academic success (being excellent in school, exemplary). Therefore, this research study examines the impact of cultural intelligence and cultural adaptation on academic performance</w:t>
      </w:r>
      <w:r>
        <w:rPr>
          <w:rFonts w:cs="Times New Roman" w:ascii="Times New Roman" w:hAnsi="Times New Roman"/>
          <w:spacing w:val="4"/>
          <w:sz w:val="24"/>
          <w:szCs w:val="24"/>
          <w:lang w:val="en-US" w:eastAsia="ko-KR"/>
        </w:rPr>
        <w:t xml:space="preserve"> [1]</w:t>
      </w:r>
      <w:r>
        <w:rPr>
          <w:rFonts w:cs="Times New Roman" w:ascii="Times New Roman" w:hAnsi="Times New Roman"/>
          <w:spacing w:val="4"/>
          <w:sz w:val="24"/>
          <w:szCs w:val="24"/>
          <w:lang w:val="kk-KZ" w:eastAsia="ko-KR"/>
        </w:rPr>
        <w:t>.</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In this regard, the origin of the concept of culture comes from the Latin word "cultura" and is used in the sense of sowing, harvesting. The first definition of the concept of culture was given in 1871 by the British anthropologist Taylor. According to him, "culture is a complex whole consisting of knowledge, belief, art, morals, customs, and any other capabilities and habits acquired by people as members of society"</w:t>
      </w:r>
      <w:r>
        <w:rPr>
          <w:rFonts w:cs="Times New Roman" w:ascii="Times New Roman" w:hAnsi="Times New Roman"/>
          <w:spacing w:val="4"/>
          <w:sz w:val="24"/>
          <w:szCs w:val="24"/>
          <w:lang w:val="en-US" w:eastAsia="ko-KR"/>
        </w:rPr>
        <w:t xml:space="preserve"> [2]</w:t>
      </w:r>
      <w:r>
        <w:rPr>
          <w:rFonts w:cs="Times New Roman" w:ascii="Times New Roman" w:hAnsi="Times New Roman"/>
          <w:spacing w:val="4"/>
          <w:sz w:val="24"/>
          <w:szCs w:val="24"/>
          <w:lang w:val="kk-KZ" w:eastAsia="ko-KR"/>
        </w:rPr>
        <w:t>. Although there is no single opinion regarding the concept of intelligence, different definitions have been made in each century. Wesher defines intelligence as “the general ability of an individual to think logically and to influence his environment.” Storddad defines intelligence as “the ability of an individual to exhibit mental behavior that is difficult, complex, abstract, economically relevant, socially valuable, and has special qualities and to resist excitement”</w:t>
      </w:r>
      <w:r>
        <w:rPr>
          <w:rFonts w:cs="Times New Roman" w:ascii="Times New Roman" w:hAnsi="Times New Roman"/>
          <w:spacing w:val="4"/>
          <w:sz w:val="24"/>
          <w:szCs w:val="24"/>
          <w:lang w:val="en-US" w:eastAsia="ko-KR"/>
        </w:rPr>
        <w:t xml:space="preserve"> [3]</w:t>
      </w:r>
      <w:r>
        <w:rPr>
          <w:rFonts w:cs="Times New Roman" w:ascii="Times New Roman" w:hAnsi="Times New Roman"/>
          <w:spacing w:val="4"/>
          <w:sz w:val="24"/>
          <w:szCs w:val="24"/>
          <w:lang w:val="kk-KZ" w:eastAsia="ko-KR"/>
        </w:rPr>
        <w:t>.</w:t>
      </w:r>
    </w:p>
    <w:p>
      <w:pPr>
        <w:pStyle w:val="Normal"/>
        <w:spacing w:lineRule="auto" w:line="240" w:before="0" w:after="0"/>
        <w:jc w:val="both"/>
        <w:rPr>
          <w:rFonts w:ascii="Times New Roman" w:hAnsi="Times New Roman" w:cs="Times New Roman"/>
          <w:spacing w:val="4"/>
          <w:sz w:val="24"/>
          <w:szCs w:val="24"/>
          <w:lang w:val="kk-KZ" w:eastAsia="ko-KR"/>
        </w:rPr>
      </w:pPr>
      <w:r>
        <w:rPr>
          <w:spacing w:val="4"/>
          <w:lang w:val="kk-KZ" w:eastAsia="ko-KR"/>
        </w:rPr>
        <w:t xml:space="preserve"> </w:t>
      </w:r>
      <w:r>
        <w:rPr>
          <w:spacing w:val="4"/>
          <w:lang w:val="kk-KZ" w:eastAsia="ko-KR"/>
        </w:rPr>
        <w:tab/>
      </w:r>
      <w:r>
        <w:rPr>
          <w:rFonts w:cs="Times New Roman" w:ascii="Times New Roman" w:hAnsi="Times New Roman"/>
          <w:spacing w:val="4"/>
          <w:sz w:val="24"/>
          <w:szCs w:val="24"/>
          <w:lang w:val="kk-KZ" w:eastAsia="ko-KR"/>
        </w:rPr>
        <w:t>From the past to the present, cultural values ​​have had a great influence on the concept of intelligence, and the factors that constitute intelligence vary from culture to culture. Considering the cultural structure of Western societies, the use of intelligence is seen as a sound decision. In the cultural structure of many African societies, intelligence varies according to needs and desires. Attitudes and behaviors that are defined as intelligent at the cultural level of Western societies can be judged as useless and absurd in different cultures</w:t>
      </w:r>
      <w:r>
        <w:rPr>
          <w:rFonts w:cs="Times New Roman" w:ascii="Times New Roman" w:hAnsi="Times New Roman"/>
          <w:spacing w:val="4"/>
          <w:sz w:val="24"/>
          <w:szCs w:val="24"/>
          <w:lang w:val="en-US" w:eastAsia="ko-KR"/>
        </w:rPr>
        <w:t xml:space="preserve"> [4]</w:t>
      </w:r>
      <w:r>
        <w:rPr>
          <w:rFonts w:cs="Times New Roman" w:ascii="Times New Roman" w:hAnsi="Times New Roman"/>
          <w:spacing w:val="4"/>
          <w:sz w:val="24"/>
          <w:szCs w:val="24"/>
          <w:lang w:val="kk-KZ" w:eastAsia="ko-KR"/>
        </w:rPr>
        <w:t>.</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Research on intelligence speaks of three different intellectual directions that appear in the emergence of the concept of intelligence. These are social intelligence, emotional intelligence, and cognitive intelligence. Cultural intelligence, on the other hand, is seen as different from other areas of intelligence, accepts the differences that globalization brings to life, and manifests itself in diverse, multicultural cultural environments and societies</w:t>
      </w:r>
      <w:r>
        <w:rPr>
          <w:rFonts w:cs="Times New Roman" w:ascii="Times New Roman" w:hAnsi="Times New Roman"/>
          <w:spacing w:val="4"/>
          <w:sz w:val="24"/>
          <w:szCs w:val="24"/>
          <w:lang w:val="en-US" w:eastAsia="ko-KR"/>
        </w:rPr>
        <w:t xml:space="preserve"> [5]</w:t>
      </w:r>
      <w:r>
        <w:rPr>
          <w:rFonts w:cs="Times New Roman" w:ascii="Times New Roman" w:hAnsi="Times New Roman"/>
          <w:spacing w:val="4"/>
          <w:sz w:val="24"/>
          <w:szCs w:val="24"/>
          <w:lang w:val="kk-KZ" w:eastAsia="ko-KR"/>
        </w:rPr>
        <w:t>.</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pacing w:val="4"/>
          <w:sz w:val="24"/>
          <w:szCs w:val="24"/>
          <w:lang w:val="en-US" w:eastAsia="ko-KR"/>
        </w:rPr>
        <w:t>The presence of different people and societies, organizations in intercultural environments for the purpose of education, travel, work or improvement of living conditions leads to the coexistence of cultural diversity. In this context, adaptation processes and levels of achievement affect individuals to a certain extent. For this reason, this study allows us to analyze whether cultural intelligence and cultural adaptation have an impact on academic performance.</w:t>
      </w:r>
      <w:r>
        <w:rPr>
          <w:rFonts w:cs="Times New Roman" w:ascii="Times New Roman" w:hAnsi="Times New Roman"/>
          <w:spacing w:val="4"/>
          <w:sz w:val="24"/>
          <w:szCs w:val="24"/>
          <w:lang w:val="kk-KZ" w:eastAsia="ko-KR"/>
        </w:rPr>
        <w:t xml:space="preserve"> It also contributes to achieving Sustainable Development Goal 4 (SDG 4) by examining the impact of cultural intelligence and cultural adaptation on academic performance. This goal also includes promoting education for sustainable development. </w:t>
      </w:r>
      <w:r>
        <w:rPr>
          <w:rFonts w:cs="Times New Roman" w:ascii="Times New Roman" w:hAnsi="Times New Roman"/>
          <w:spacing w:val="4"/>
          <w:sz w:val="24"/>
          <w:szCs w:val="24"/>
          <w:lang w:val="en-US" w:eastAsia="ko-KR"/>
        </w:rPr>
        <w:t xml:space="preserve">Therefore, this research aims to determine the relationship between cultural intelligence and cultural adaptation and their impact on academic performance. </w:t>
      </w:r>
      <w:r>
        <w:rPr>
          <w:rFonts w:cs="Times New Roman" w:ascii="Times New Roman" w:hAnsi="Times New Roman"/>
          <w:sz w:val="24"/>
          <w:szCs w:val="24"/>
          <w:lang w:val="en-US"/>
        </w:rPr>
        <w:t>It should be noted that in similar studies, methods such as the Analytic Hierarchy Process (AHP), fuzzy set theory, key indicator selection methods, and other modern approaches to multicriteria evaluation are widely used.</w:t>
      </w:r>
    </w:p>
    <w:p>
      <w:pPr>
        <w:pStyle w:val="Normal"/>
        <w:spacing w:lineRule="auto" w:line="240" w:before="0" w:after="0"/>
        <w:jc w:val="both"/>
        <w:rPr>
          <w:rFonts w:ascii="Times New Roman" w:hAnsi="Times New Roman" w:cs="Times New Roman"/>
          <w:spacing w:val="4"/>
          <w:sz w:val="24"/>
          <w:szCs w:val="24"/>
          <w:lang w:val="en-US" w:eastAsia="ko-KR"/>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xml:space="preserve">However, in this study, a questionnaire survey method was applied, which made it possible to obtain direct data from respondents </w:t>
      </w:r>
      <w:r>
        <w:rPr>
          <w:rFonts w:cs="Times New Roman" w:ascii="Times New Roman" w:hAnsi="Times New Roman"/>
          <w:spacing w:val="4"/>
          <w:sz w:val="24"/>
          <w:szCs w:val="24"/>
          <w:lang w:val="en-US" w:eastAsia="ko-KR"/>
        </w:rPr>
        <w:t>The study examines in detail the impact of sub-dimensions of cultural intelligence and cultural adaptation on academic performance [6-8]. The data collection process during the research lasted 3 months. The sample group of the study consisted of foreign students studying at the Khoja Ahmet Yasawi International Kazakh-Turkish University. As part of the study, a total of 275 foreign students were distributed questionnaires, and 253 people provided complete and correct responses, which were used in the full research work.</w:t>
      </w:r>
      <w:r>
        <w:rPr>
          <w:rFonts w:cs="Times New Roman" w:ascii="Times New Roman" w:hAnsi="Times New Roman"/>
          <w:spacing w:val="4"/>
          <w:sz w:val="24"/>
          <w:szCs w:val="24"/>
          <w:lang w:val="kk-KZ" w:eastAsia="ko-KR"/>
        </w:rPr>
        <w:t xml:space="preserve"> One of the reasons why only the Khoja Ahmet Yasawi International Kazakh-Turkish University was selected in the study is that this university addresses the need to achieve SDG 4 (ensure inclusive and equitable quality education and promote lifelong learning opportunities) by providing access to university-level education, vocational training, and a variety of necessary skills, and they pay special attention to equity issues</w:t>
      </w:r>
      <w:r>
        <w:rPr>
          <w:rFonts w:cs="Times New Roman" w:ascii="Times New Roman" w:hAnsi="Times New Roman"/>
          <w:spacing w:val="4"/>
          <w:sz w:val="24"/>
          <w:szCs w:val="24"/>
          <w:lang w:val="en-US" w:eastAsia="ko-KR"/>
        </w:rPr>
        <w:t>.</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b/>
          <w:spacing w:val="4"/>
          <w:sz w:val="24"/>
          <w:szCs w:val="24"/>
          <w:lang w:val="en-US" w:eastAsia="ko-KR"/>
        </w:rPr>
        <w:t xml:space="preserve">            </w:t>
      </w:r>
      <w:r>
        <w:rPr>
          <w:rFonts w:cs="Times New Roman" w:ascii="Times New Roman" w:hAnsi="Times New Roman"/>
          <w:b/>
          <w:spacing w:val="4"/>
          <w:sz w:val="24"/>
          <w:szCs w:val="24"/>
          <w:lang w:val="en-US" w:eastAsia="ko-KR"/>
        </w:rPr>
        <w:t xml:space="preserve">Literature review. </w:t>
      </w:r>
      <w:r>
        <w:rPr>
          <w:rFonts w:cs="Times New Roman" w:ascii="Times New Roman" w:hAnsi="Times New Roman"/>
          <w:spacing w:val="4"/>
          <w:sz w:val="24"/>
          <w:szCs w:val="24"/>
          <w:lang w:val="kk-KZ" w:eastAsia="ko-KR"/>
        </w:rPr>
        <w:t>People and societies interact with many different cultures around the world, and the way to succeed in this interaction is through cultural intelligence.</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This section of the research paper reviews the literature on how to acquire and develop cultural intelligence. Triandis argued that in order for individuals to have cultural intelligence, they must have certain qualities. The first is that they must postpone thinking about others until they have the right information. A lot of information is needed to make good decisions. Since culture affects behavior and understanding, communication between cultures and the behavior of people differ in this regard. Cultures differ from each other in their characteristics. In this regard, two types of culture can be distinguished. One is collective culture, and the other is individual culture. Triandis argued that an individual increases his cultural intelligence by analyzing the positive and negative features of the culture in which he lives and of different cultures</w:t>
      </w:r>
      <w:r>
        <w:rPr>
          <w:rFonts w:cs="Times New Roman" w:ascii="Times New Roman" w:hAnsi="Times New Roman"/>
          <w:spacing w:val="4"/>
          <w:sz w:val="24"/>
          <w:szCs w:val="24"/>
          <w:lang w:val="en-US" w:eastAsia="ko-KR"/>
        </w:rPr>
        <w:t xml:space="preserve"> [9]</w:t>
      </w:r>
      <w:r>
        <w:rPr>
          <w:rFonts w:cs="Times New Roman" w:ascii="Times New Roman" w:hAnsi="Times New Roman"/>
          <w:spacing w:val="4"/>
          <w:sz w:val="24"/>
          <w:szCs w:val="24"/>
          <w:lang w:val="kk-KZ" w:eastAsia="ko-KR"/>
        </w:rPr>
        <w:t>.</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Earley</w:t>
      </w:r>
      <w:r>
        <w:rPr>
          <w:rFonts w:cs="Times New Roman" w:ascii="Times New Roman" w:hAnsi="Times New Roman"/>
          <w:spacing w:val="4"/>
          <w:sz w:val="24"/>
          <w:szCs w:val="24"/>
          <w:lang w:val="en-US" w:eastAsia="ko-KR"/>
        </w:rPr>
        <w:t xml:space="preserve"> et al. [10] </w:t>
      </w:r>
      <w:r>
        <w:rPr>
          <w:rFonts w:cs="Times New Roman" w:ascii="Times New Roman" w:hAnsi="Times New Roman"/>
          <w:spacing w:val="4"/>
          <w:sz w:val="24"/>
          <w:szCs w:val="24"/>
          <w:lang w:val="kk-KZ" w:eastAsia="ko-KR"/>
        </w:rPr>
        <w:t>argued that cultural intelligence is a concept that requires training, education, and training in terms of intelligence, emotion, and behavior. Intellectual education is based on categorizing individuals using various methods and giving them different names.</w:t>
      </w:r>
    </w:p>
    <w:p>
      <w:pPr>
        <w:pStyle w:val="Normal"/>
        <w:spacing w:lineRule="auto" w:line="240" w:before="0" w:after="0"/>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 xml:space="preserve">How we classify people around us varies from culture to culture. Behavioral training allows people to freely engage in their desired behaviors and actions, minimizing behaviors that are not generally accepted by the public. </w:t>
      </w:r>
      <w:r>
        <w:rPr>
          <w:rFonts w:cs="Times New Roman" w:ascii="Times New Roman" w:hAnsi="Times New Roman"/>
          <w:sz w:val="24"/>
          <w:szCs w:val="24"/>
          <w:lang w:val="en-US"/>
        </w:rPr>
        <w:t xml:space="preserve">Earley and Mosakowski [11] </w:t>
      </w:r>
      <w:r>
        <w:rPr>
          <w:rFonts w:cs="Times New Roman" w:ascii="Times New Roman" w:hAnsi="Times New Roman"/>
          <w:spacing w:val="4"/>
          <w:sz w:val="24"/>
          <w:szCs w:val="24"/>
          <w:lang w:val="kk-KZ" w:eastAsia="ko-KR"/>
        </w:rPr>
        <w:t xml:space="preserve">stated that people who are able to develop their cultural intelligence are psychologically healthy and professionally successful. </w:t>
      </w:r>
      <w:r>
        <w:rPr>
          <w:rFonts w:cs="Times New Roman" w:ascii="Times New Roman" w:hAnsi="Times New Roman"/>
          <w:sz w:val="24"/>
          <w:szCs w:val="24"/>
          <w:lang w:val="en-US"/>
        </w:rPr>
        <w:t xml:space="preserve">Earley and Mosakowski [12] </w:t>
      </w:r>
      <w:r>
        <w:rPr>
          <w:rFonts w:cs="Times New Roman" w:ascii="Times New Roman" w:hAnsi="Times New Roman"/>
          <w:spacing w:val="4"/>
          <w:sz w:val="24"/>
          <w:szCs w:val="24"/>
          <w:lang w:val="kk-KZ" w:eastAsia="ko-KR"/>
        </w:rPr>
        <w:t>also stated that cultural intelligence can be developed through a multi-stage approach (Figure 1). The first of these approaches is to analyze the strengths and weaknesses of individuals in order to determine how they can develop cultural intelligence. If we look at the relevant literature on this topic, we can see that various tools have been developed for the results of this analysis. In this context, questions have been developed that measure cultural intelligence differently, and these questions have revealed the strengths and weaknesses of individuals and formed the basis for the support and training that the individual should receive in view of this outcome. In the second stage, training, education, and training methods are selected to improve the weaknesses of the individual. In the third stage, education and training aimed at a specific individual or group begins. In the fourth stage, individuals or groups must organize their resources and opportunities around themselves to improve their weaknesses. In the fifth stage, the individual enters the cultural environment in which he must, must be. In this stage, he puts into practice what he has learned, demonstrating his strengths in terms of cultural intelligence and continuing his weaknesses. The final sixth stage is the stage of evaluation of the new skills acquired or mastered by the individual. This stage is carried out through personal feedback from the environment. After these steps, a decision is made whether the individual needs additional training or not.</w:t>
      </w:r>
    </w:p>
    <w:p>
      <w:pPr>
        <w:pStyle w:val="Normal"/>
        <w:spacing w:lineRule="auto" w:line="240"/>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en-US" w:eastAsia="ko-KR"/>
        </w:rPr>
      </w:r>
    </w:p>
    <w:p>
      <w:pPr>
        <w:pStyle w:val="ListParagraph"/>
        <w:tabs>
          <w:tab w:val="clear" w:pos="708"/>
          <w:tab w:val="left" w:pos="284" w:leader="none"/>
          <w:tab w:val="left" w:pos="993" w:leader="none"/>
        </w:tabs>
        <w:ind w:left="0" w:right="3"/>
        <w:jc w:val="center"/>
        <w:rPr>
          <w:lang w:val="en-US"/>
        </w:rPr>
      </w:pPr>
      <w:r>
        <w:rPr>
          <w:lang w:val="en-US"/>
        </w:rPr>
        <w:drawing>
          <wp:anchor behindDoc="0" distT="0" distB="0" distL="114300" distR="114300" simplePos="0" locked="0" layoutInCell="0" allowOverlap="1" relativeHeight="69">
            <wp:simplePos x="0" y="0"/>
            <wp:positionH relativeFrom="column">
              <wp:posOffset>891540</wp:posOffset>
            </wp:positionH>
            <wp:positionV relativeFrom="paragraph">
              <wp:posOffset>160020</wp:posOffset>
            </wp:positionV>
            <wp:extent cx="4625340" cy="2797175"/>
            <wp:effectExtent l="0" t="0" r="0" b="0"/>
            <wp:wrapTopAndBottom/>
            <wp:docPr id="50" name="Рисунок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80" descr=""/>
                    <pic:cNvPicPr>
                      <a:picLocks noChangeAspect="1" noChangeArrowheads="1"/>
                    </pic:cNvPicPr>
                  </pic:nvPicPr>
                  <pic:blipFill>
                    <a:blip r:embed="rId273"/>
                    <a:stretch>
                      <a:fillRect/>
                    </a:stretch>
                  </pic:blipFill>
                  <pic:spPr bwMode="auto">
                    <a:xfrm>
                      <a:off x="0" y="0"/>
                      <a:ext cx="4625340" cy="2797175"/>
                    </a:xfrm>
                    <a:prstGeom prst="rect">
                      <a:avLst/>
                    </a:prstGeom>
                    <a:noFill/>
                  </pic:spPr>
                </pic:pic>
              </a:graphicData>
            </a:graphic>
          </wp:anchor>
        </w:drawing>
      </w:r>
    </w:p>
    <w:p>
      <w:pPr>
        <w:pStyle w:val="Normal"/>
        <w:spacing w:lineRule="auto" w:line="240" w:before="0" w:after="0"/>
        <w:ind w:right="6"/>
        <w:jc w:val="center"/>
        <w:rPr>
          <w:rFonts w:ascii="Times New Roman" w:hAnsi="Times New Roman" w:cs="Times New Roman"/>
          <w:iCs/>
          <w:sz w:val="20"/>
          <w:szCs w:val="20"/>
          <w:lang w:val="en-US"/>
        </w:rPr>
      </w:pPr>
      <w:r>
        <w:rPr>
          <w:rFonts w:cs="Times New Roman" w:ascii="Times New Roman" w:hAnsi="Times New Roman"/>
          <w:b/>
          <w:bCs/>
          <w:iCs/>
          <w:sz w:val="20"/>
          <w:szCs w:val="20"/>
          <w:lang w:val="en-US"/>
        </w:rPr>
        <w:t xml:space="preserve">Fig. </w:t>
      </w:r>
      <w:r>
        <w:rPr>
          <w:rFonts w:cs="Times New Roman" w:ascii="Times New Roman" w:hAnsi="Times New Roman"/>
          <w:b/>
          <w:bCs/>
          <w:iCs/>
          <w:sz w:val="20"/>
          <w:szCs w:val="20"/>
          <w:lang w:val="kk-KZ"/>
        </w:rPr>
        <w:t>1</w:t>
      </w:r>
      <w:r>
        <w:rPr>
          <w:rFonts w:cs="Times New Roman" w:ascii="Times New Roman" w:hAnsi="Times New Roman"/>
          <w:b/>
          <w:bCs/>
          <w:iCs/>
          <w:sz w:val="20"/>
          <w:szCs w:val="20"/>
          <w:lang w:val="en-US"/>
        </w:rPr>
        <w:t xml:space="preserve"> - </w:t>
      </w:r>
      <w:r>
        <w:rPr>
          <w:rFonts w:cs="Times New Roman" w:ascii="Times New Roman" w:hAnsi="Times New Roman"/>
          <w:b/>
          <w:iCs/>
          <w:sz w:val="20"/>
          <w:szCs w:val="20"/>
          <w:lang w:val="en-US"/>
        </w:rPr>
        <w:t>The process of developing cultural intelligence</w:t>
      </w:r>
    </w:p>
    <w:p>
      <w:pPr>
        <w:pStyle w:val="ListParagraph"/>
        <w:tabs>
          <w:tab w:val="clear" w:pos="708"/>
          <w:tab w:val="left" w:pos="284" w:leader="none"/>
          <w:tab w:val="left" w:pos="993" w:leader="none"/>
        </w:tabs>
        <w:ind w:left="0" w:right="6"/>
        <w:rPr>
          <w:i/>
          <w:i/>
          <w:iCs/>
          <w:sz w:val="20"/>
          <w:szCs w:val="20"/>
          <w:lang w:val="en-US"/>
        </w:rPr>
      </w:pPr>
      <w:r>
        <w:rPr>
          <w:i/>
          <w:sz w:val="20"/>
          <w:szCs w:val="20"/>
          <w:lang w:val="en-US"/>
        </w:rPr>
        <w:t xml:space="preserve">Source: </w:t>
      </w:r>
      <w:r>
        <w:rPr>
          <w:i/>
          <w:iCs/>
          <w:sz w:val="20"/>
          <w:szCs w:val="20"/>
          <w:lang w:val="en-US"/>
        </w:rPr>
        <w:t>Compiled by the authors based on references</w:t>
      </w:r>
      <w:r>
        <w:rPr>
          <w:i/>
          <w:iCs/>
          <w:sz w:val="20"/>
          <w:szCs w:val="20"/>
          <w:lang w:val="kk-KZ"/>
        </w:rPr>
        <w:t xml:space="preserve"> </w:t>
      </w:r>
      <w:r>
        <w:rPr>
          <w:i/>
          <w:iCs/>
          <w:sz w:val="20"/>
          <w:szCs w:val="20"/>
          <w:lang w:val="en-US"/>
        </w:rPr>
        <w:t>[11,12]</w:t>
      </w:r>
    </w:p>
    <w:p>
      <w:pPr>
        <w:pStyle w:val="Normal"/>
        <w:spacing w:lineRule="auto" w:line="240"/>
        <w:rPr>
          <w:rFonts w:ascii="Times New Roman" w:hAnsi="Times New Roman" w:cs="Times New Roman"/>
          <w:spacing w:val="4"/>
          <w:lang w:val="kk-KZ" w:eastAsia="ko-KR"/>
        </w:rPr>
      </w:pPr>
      <w:r>
        <w:rPr>
          <w:rFonts w:cs="Times New Roman" w:ascii="Times New Roman" w:hAnsi="Times New Roman"/>
          <w:spacing w:val="4"/>
          <w:lang w:val="kk-KZ" w:eastAsia="ko-KR"/>
        </w:rPr>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Thomas and Inkson </w:t>
      </w:r>
      <w:r>
        <w:rPr>
          <w:rFonts w:cs="Times New Roman" w:ascii="Times New Roman" w:hAnsi="Times New Roman"/>
          <w:spacing w:val="4"/>
          <w:sz w:val="24"/>
          <w:szCs w:val="24"/>
          <w:lang w:val="en-US" w:eastAsia="ko-KR"/>
        </w:rPr>
        <w:t xml:space="preserve">[13] </w:t>
      </w:r>
      <w:r>
        <w:rPr>
          <w:rFonts w:cs="Times New Roman" w:ascii="Times New Roman" w:hAnsi="Times New Roman"/>
          <w:spacing w:val="4"/>
          <w:sz w:val="24"/>
          <w:szCs w:val="24"/>
          <w:lang w:val="kk-KZ" w:eastAsia="ko-KR"/>
        </w:rPr>
        <w:t>stated that experience is more effective than learning or education in developing cultural intelligence. Thomas and Inkson</w:t>
      </w:r>
      <w:r>
        <w:rPr>
          <w:rFonts w:cs="Times New Roman" w:ascii="Times New Roman" w:hAnsi="Times New Roman"/>
          <w:spacing w:val="4"/>
          <w:sz w:val="24"/>
          <w:szCs w:val="24"/>
          <w:lang w:val="en-US" w:eastAsia="ko-KR"/>
        </w:rPr>
        <w:t xml:space="preserve"> [13] </w:t>
      </w:r>
      <w:r>
        <w:rPr>
          <w:rFonts w:cs="Times New Roman" w:ascii="Times New Roman" w:hAnsi="Times New Roman"/>
          <w:spacing w:val="4"/>
          <w:sz w:val="24"/>
          <w:szCs w:val="24"/>
          <w:lang w:val="kk-KZ" w:eastAsia="ko-KR"/>
        </w:rPr>
        <w:t xml:space="preserve"> also stated that there are many factors that contribute to the development of cultural intelligence. They stated</w:t>
      </w:r>
      <w:r>
        <w:rPr>
          <w:rFonts w:cs="Times New Roman" w:ascii="Times New Roman" w:hAnsi="Times New Roman"/>
          <w:spacing w:val="4"/>
          <w:sz w:val="24"/>
          <w:szCs w:val="24"/>
          <w:lang w:val="en-US" w:eastAsia="ko-KR"/>
        </w:rPr>
        <w:t xml:space="preserve"> [14, 15, 16]</w:t>
      </w:r>
      <w:r>
        <w:rPr>
          <w:rFonts w:cs="Times New Roman" w:ascii="Times New Roman" w:hAnsi="Times New Roman"/>
          <w:spacing w:val="4"/>
          <w:sz w:val="24"/>
          <w:szCs w:val="24"/>
          <w:lang w:val="kk-KZ" w:eastAsia="ko-KR"/>
        </w:rPr>
        <w:t>:</w:t>
      </w:r>
      <w:r>
        <w:rPr>
          <w:rFonts w:cs="Times New Roman" w:ascii="Times New Roman" w:hAnsi="Times New Roman"/>
          <w:spacing w:val="4"/>
          <w:sz w:val="24"/>
          <w:szCs w:val="24"/>
          <w:lang w:val="en-US" w:eastAsia="ko-KR"/>
        </w:rPr>
        <w:t xml:space="preserve"> </w:t>
      </w:r>
      <w:r>
        <w:rPr>
          <w:rFonts w:cs="Times New Roman" w:ascii="Times New Roman" w:hAnsi="Times New Roman"/>
          <w:spacing w:val="4"/>
          <w:sz w:val="24"/>
          <w:szCs w:val="24"/>
          <w:lang w:val="kk-KZ" w:eastAsia="ko-KR"/>
        </w:rPr>
        <w:t>The first of these factors is that individuals have little exposure to or interest in other cultures because they are accustomed to using their own culture. The second factor is that one must be open to this situation in order to recognize and accept different cultures.</w:t>
      </w:r>
      <w:r>
        <w:rPr>
          <w:rFonts w:cs="Times New Roman" w:ascii="Times New Roman" w:hAnsi="Times New Roman"/>
          <w:spacing w:val="4"/>
          <w:sz w:val="24"/>
          <w:szCs w:val="24"/>
          <w:lang w:val="en-US" w:eastAsia="ko-KR"/>
        </w:rPr>
        <w:t xml:space="preserve"> </w:t>
      </w:r>
      <w:r>
        <w:rPr>
          <w:rFonts w:cs="Times New Roman" w:ascii="Times New Roman" w:hAnsi="Times New Roman"/>
          <w:spacing w:val="4"/>
          <w:sz w:val="24"/>
          <w:szCs w:val="24"/>
          <w:lang w:val="kk-KZ" w:eastAsia="ko-KR"/>
        </w:rPr>
        <w:t>The third stage, they try to accept the behaviors and rules of other cultures. Here, a detailed understanding of cultural differences begins to develop. The fourth stage, the rules of different cultures are adapted to alternative behavior.</w:t>
      </w:r>
      <w:r>
        <w:rPr>
          <w:rFonts w:cs="Times New Roman" w:ascii="Times New Roman" w:hAnsi="Times New Roman"/>
          <w:spacing w:val="4"/>
          <w:sz w:val="24"/>
          <w:szCs w:val="24"/>
          <w:lang w:val="en-US" w:eastAsia="ko-KR"/>
        </w:rPr>
        <w:t xml:space="preserve"> </w:t>
      </w:r>
      <w:r>
        <w:rPr>
          <w:rFonts w:cs="Times New Roman" w:ascii="Times New Roman" w:hAnsi="Times New Roman"/>
          <w:spacing w:val="4"/>
          <w:sz w:val="24"/>
          <w:szCs w:val="24"/>
          <w:lang w:val="kk-KZ" w:eastAsia="ko-KR"/>
        </w:rPr>
        <w:t>In the final fifth stage, these people are able to adapt to changes and differences more easily than other people in a multicultural environment.</w:t>
      </w:r>
    </w:p>
    <w:p>
      <w:pPr>
        <w:pStyle w:val="Normal"/>
        <w:spacing w:lineRule="auto" w:line="240" w:before="0" w:after="0"/>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According to Plum, cultural intelligence also encompasses the broader concept of culture. Culture is relevant to every organization, society, and individual. Therefore, the development of cultural intelligence is also important for the following situations</w:t>
      </w:r>
      <w:r>
        <w:rPr>
          <w:rFonts w:cs="Times New Roman" w:ascii="Times New Roman" w:hAnsi="Times New Roman"/>
          <w:spacing w:val="4"/>
          <w:sz w:val="24"/>
          <w:szCs w:val="24"/>
          <w:lang w:val="en-US" w:eastAsia="ko-KR"/>
        </w:rPr>
        <w:t xml:space="preserve"> [17]</w:t>
      </w:r>
      <w:r>
        <w:rPr>
          <w:rFonts w:cs="Times New Roman" w:ascii="Times New Roman" w:hAnsi="Times New Roman"/>
          <w:spacing w:val="4"/>
          <w:sz w:val="24"/>
          <w:szCs w:val="24"/>
          <w:lang w:val="kk-KZ" w:eastAsia="ko-KR"/>
        </w:rPr>
        <w:t>:</w:t>
      </w:r>
    </w:p>
    <w:p>
      <w:pPr>
        <w:pStyle w:val="ListParagraph"/>
        <w:widowControl w:val="false"/>
        <w:spacing w:before="0" w:after="0"/>
        <w:ind w:left="567"/>
        <w:contextualSpacing w:val="false"/>
        <w:jc w:val="both"/>
        <w:rPr>
          <w:spacing w:val="4"/>
          <w:lang w:val="kk-KZ"/>
        </w:rPr>
      </w:pPr>
      <w:r>
        <w:rPr>
          <w:spacing w:val="4"/>
          <w:lang w:val="en-US"/>
        </w:rPr>
        <w:t>-  w</w:t>
      </w:r>
      <w:r>
        <w:rPr>
          <w:spacing w:val="4"/>
          <w:lang w:val="kk-KZ"/>
        </w:rPr>
        <w:t>hen there is a structural change or merger in an organization, it is necessary to</w:t>
      </w:r>
    </w:p>
    <w:p>
      <w:pPr>
        <w:pStyle w:val="Normal"/>
        <w:widowControl w:val="false"/>
        <w:spacing w:lineRule="auto" w:line="240" w:before="0" w:after="0"/>
        <w:jc w:val="both"/>
        <w:rPr>
          <w:rFonts w:ascii="Times New Roman" w:hAnsi="Times New Roman" w:cs="Times New Roman"/>
          <w:spacing w:val="4"/>
          <w:sz w:val="24"/>
          <w:szCs w:val="24"/>
          <w:lang w:val="en-US"/>
        </w:rPr>
      </w:pPr>
      <w:r>
        <w:rPr>
          <w:rFonts w:cs="Times New Roman" w:ascii="Times New Roman" w:hAnsi="Times New Roman"/>
          <w:spacing w:val="4"/>
          <w:sz w:val="24"/>
          <w:szCs w:val="24"/>
          <w:lang w:val="kk-KZ"/>
        </w:rPr>
        <w:t>achieve harmony between different cultures and create a new organizational culture</w:t>
      </w:r>
      <w:r>
        <w:rPr>
          <w:rFonts w:cs="Times New Roman" w:ascii="Times New Roman" w:hAnsi="Times New Roman"/>
          <w:spacing w:val="4"/>
          <w:sz w:val="24"/>
          <w:szCs w:val="24"/>
          <w:lang w:val="en-US"/>
        </w:rPr>
        <w:t>;</w:t>
      </w:r>
    </w:p>
    <w:p>
      <w:pPr>
        <w:pStyle w:val="Normal"/>
        <w:widowControl w:val="false"/>
        <w:spacing w:lineRule="auto" w:line="240" w:before="0" w:after="0"/>
        <w:ind w:firstLine="708"/>
        <w:jc w:val="both"/>
        <w:rPr>
          <w:rFonts w:ascii="Times New Roman" w:hAnsi="Times New Roman" w:cs="Times New Roman"/>
          <w:spacing w:val="4"/>
          <w:sz w:val="24"/>
          <w:szCs w:val="24"/>
          <w:lang w:val="en-US"/>
        </w:rPr>
      </w:pPr>
      <w:r>
        <w:rPr>
          <w:rFonts w:cs="Times New Roman" w:ascii="Times New Roman" w:hAnsi="Times New Roman"/>
          <w:spacing w:val="4"/>
          <w:sz w:val="24"/>
          <w:szCs w:val="24"/>
          <w:lang w:val="kk-KZ"/>
        </w:rPr>
        <w:t>-</w:t>
      </w:r>
      <w:r>
        <w:rPr>
          <w:rFonts w:cs="Times New Roman" w:ascii="Times New Roman" w:hAnsi="Times New Roman"/>
          <w:spacing w:val="4"/>
          <w:sz w:val="24"/>
          <w:szCs w:val="24"/>
          <w:lang w:val="en-US"/>
        </w:rPr>
        <w:t xml:space="preserve"> s</w:t>
      </w:r>
      <w:r>
        <w:rPr>
          <w:rFonts w:cs="Times New Roman" w:ascii="Times New Roman" w:hAnsi="Times New Roman"/>
          <w:spacing w:val="4"/>
          <w:sz w:val="24"/>
          <w:szCs w:val="24"/>
          <w:lang w:val="kk-KZ"/>
        </w:rPr>
        <w:t>tructures with different departments should turn working conditions and methods into advantages and solve problems</w:t>
      </w:r>
      <w:r>
        <w:rPr>
          <w:rFonts w:cs="Times New Roman" w:ascii="Times New Roman" w:hAnsi="Times New Roman"/>
          <w:spacing w:val="4"/>
          <w:sz w:val="24"/>
          <w:szCs w:val="24"/>
          <w:lang w:val="en-US"/>
        </w:rPr>
        <w:t>;</w:t>
      </w:r>
    </w:p>
    <w:p>
      <w:pPr>
        <w:pStyle w:val="Normal"/>
        <w:widowControl w:val="false"/>
        <w:spacing w:lineRule="auto" w:line="240" w:before="0" w:after="0"/>
        <w:ind w:firstLine="708"/>
        <w:jc w:val="both"/>
        <w:rPr>
          <w:rFonts w:ascii="Times New Roman" w:hAnsi="Times New Roman" w:cs="Times New Roman"/>
          <w:spacing w:val="4"/>
          <w:sz w:val="24"/>
          <w:szCs w:val="24"/>
          <w:lang w:val="en-US"/>
        </w:rPr>
      </w:pPr>
      <w:r>
        <w:rPr>
          <w:rFonts w:cs="Times New Roman" w:ascii="Times New Roman" w:hAnsi="Times New Roman"/>
          <w:spacing w:val="4"/>
          <w:sz w:val="24"/>
          <w:szCs w:val="24"/>
          <w:lang w:val="kk-KZ"/>
        </w:rPr>
        <w:t xml:space="preserve">- </w:t>
      </w:r>
      <w:r>
        <w:rPr>
          <w:rFonts w:cs="Times New Roman" w:ascii="Times New Roman" w:hAnsi="Times New Roman"/>
          <w:spacing w:val="4"/>
          <w:sz w:val="24"/>
          <w:szCs w:val="24"/>
          <w:lang w:val="en-US"/>
        </w:rPr>
        <w:t>o</w:t>
      </w:r>
      <w:r>
        <w:rPr>
          <w:rFonts w:cs="Times New Roman" w:ascii="Times New Roman" w:hAnsi="Times New Roman"/>
          <w:spacing w:val="4"/>
          <w:sz w:val="24"/>
          <w:szCs w:val="24"/>
          <w:lang w:val="kk-KZ"/>
        </w:rPr>
        <w:t>rganizations with cross-cultural diversity should respect differences and integrate these differences into the business environment</w:t>
      </w:r>
      <w:r>
        <w:rPr>
          <w:rFonts w:cs="Times New Roman" w:ascii="Times New Roman" w:hAnsi="Times New Roman"/>
          <w:spacing w:val="4"/>
          <w:sz w:val="24"/>
          <w:szCs w:val="24"/>
          <w:lang w:val="en-US"/>
        </w:rPr>
        <w:t>;</w:t>
      </w:r>
    </w:p>
    <w:p>
      <w:pPr>
        <w:pStyle w:val="Normal"/>
        <w:widowControl w:val="false"/>
        <w:spacing w:lineRule="auto" w:line="240" w:before="0" w:after="0"/>
        <w:ind w:firstLine="708"/>
        <w:jc w:val="both"/>
        <w:rPr>
          <w:rFonts w:ascii="Times New Roman" w:hAnsi="Times New Roman" w:cs="Times New Roman"/>
          <w:spacing w:val="4"/>
          <w:sz w:val="24"/>
          <w:szCs w:val="24"/>
          <w:lang w:val="kk-KZ"/>
        </w:rPr>
      </w:pPr>
      <w:r>
        <w:rPr>
          <w:rFonts w:cs="Times New Roman" w:ascii="Times New Roman" w:hAnsi="Times New Roman"/>
          <w:spacing w:val="4"/>
          <w:sz w:val="24"/>
          <w:szCs w:val="24"/>
          <w:lang w:val="kk-KZ"/>
        </w:rPr>
        <w:t>-</w:t>
      </w:r>
      <w:r>
        <w:rPr>
          <w:rFonts w:cs="Times New Roman" w:ascii="Times New Roman" w:hAnsi="Times New Roman"/>
          <w:spacing w:val="4"/>
          <w:sz w:val="24"/>
          <w:szCs w:val="24"/>
          <w:lang w:val="en-US"/>
        </w:rPr>
        <w:t xml:space="preserve"> i</w:t>
      </w:r>
      <w:r>
        <w:rPr>
          <w:rFonts w:cs="Times New Roman" w:ascii="Times New Roman" w:hAnsi="Times New Roman"/>
          <w:spacing w:val="4"/>
          <w:sz w:val="24"/>
          <w:szCs w:val="24"/>
          <w:lang w:val="kk-KZ"/>
        </w:rPr>
        <w:t>n a multicultural environment, organizations with different structures (age, gender, education, race, etc.) should create effective cooperation and awareness in their workplaces.</w:t>
      </w:r>
    </w:p>
    <w:p>
      <w:pPr>
        <w:pStyle w:val="Normal"/>
        <w:spacing w:lineRule="auto" w:line="240" w:before="0" w:after="0"/>
        <w:ind w:firstLine="708"/>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From this perspective, cultural intelligence is the ability to absorb, perceive, interpret and accept different cultural characteristics in order to manage cultural differences in an environment where many different cultures live.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Cultural intelligence is a new phenomenon that has emerged with globalization. Therefore, we can say that cultural intelligence is a key ability that managers and employees in the 21st century must have. Cultural intelligence allows both managers and employees to adapt to different cultures, make informed and correct decisions, and establish good relationships.</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In this regard, if we dwell in detail on the research conducted in the field of cultural intelligence, their brief descriptions are presented in Table 1.</w:t>
      </w:r>
    </w:p>
    <w:p>
      <w:pPr>
        <w:pStyle w:val="Normal"/>
        <w:spacing w:lineRule="auto" w:line="240"/>
        <w:rPr>
          <w:spacing w:val="4"/>
          <w:lang w:val="en-US" w:eastAsia="ko-KR"/>
        </w:rPr>
      </w:pPr>
      <w:r>
        <w:rPr>
          <w:spacing w:val="4"/>
          <w:lang w:val="en-US" w:eastAsia="ko-KR"/>
        </w:rPr>
      </w:r>
    </w:p>
    <w:p>
      <w:pPr>
        <w:pStyle w:val="Normal"/>
        <w:spacing w:lineRule="auto" w:line="240"/>
        <w:jc w:val="center"/>
        <w:rPr>
          <w:rFonts w:ascii="Times New Roman" w:hAnsi="Times New Roman" w:cs="Times New Roman"/>
          <w:b/>
          <w:bCs/>
          <w:lang w:val="kk-KZ"/>
        </w:rPr>
      </w:pPr>
      <w:r>
        <w:rPr>
          <w:rFonts w:cs="Times New Roman" w:ascii="Times New Roman" w:hAnsi="Times New Roman"/>
          <w:b/>
          <w:lang w:val="en-US"/>
        </w:rPr>
        <w:t>Table 1</w:t>
      </w:r>
      <w:r>
        <w:rPr>
          <w:rFonts w:cs="Times New Roman" w:ascii="Times New Roman" w:hAnsi="Times New Roman"/>
          <w:b/>
          <w:lang w:val="kk-KZ"/>
        </w:rPr>
        <w:t xml:space="preserve"> -</w:t>
      </w:r>
      <w:r>
        <w:rPr>
          <w:rFonts w:cs="Times New Roman" w:ascii="Times New Roman" w:hAnsi="Times New Roman"/>
          <w:b/>
          <w:lang w:val="en-US"/>
        </w:rPr>
        <w:t xml:space="preserve"> </w:t>
      </w:r>
      <w:r>
        <w:rPr>
          <w:rFonts w:cs="Times New Roman" w:ascii="Times New Roman" w:hAnsi="Times New Roman"/>
          <w:b/>
          <w:bCs/>
          <w:lang w:val="en-US"/>
        </w:rPr>
        <w:t>Research conducted in the field of cultural intelligence</w:t>
      </w:r>
    </w:p>
    <w:p>
      <w:pPr>
        <w:pStyle w:val="Normal"/>
        <w:spacing w:lineRule="auto" w:line="240"/>
        <w:rPr>
          <w:rFonts w:ascii="Times New Roman" w:hAnsi="Times New Roman" w:cs="Times New Roman"/>
          <w:b/>
          <w:bCs/>
          <w:lang w:val="kk-KZ"/>
        </w:rPr>
      </w:pPr>
      <w:r>
        <w:rPr>
          <w:rFonts w:cs="Times New Roman" w:ascii="Times New Roman" w:hAnsi="Times New Roman"/>
          <w:b/>
          <w:bCs/>
          <w:lang w:val="kk-KZ"/>
        </w:rPr>
      </w:r>
    </w:p>
    <w:tbl>
      <w:tblPr>
        <w:tblStyle w:val="54"/>
        <w:tblW w:w="93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25"/>
        <w:gridCol w:w="3402"/>
        <w:gridCol w:w="5529"/>
      </w:tblGrid>
      <w:tr>
        <w:trPr/>
        <w:tc>
          <w:tcPr>
            <w:tcW w:w="425" w:type="dxa"/>
            <w:vMerge w:val="restart"/>
            <w:tcBorders/>
            <w:vAlign w:val="center"/>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1</w:t>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Purpose of the research</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Identify the relationship between the five major personality factors and dimensions of cultural intelligence</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The result of the research</w:t>
            </w:r>
          </w:p>
        </w:tc>
        <w:tc>
          <w:tcPr>
            <w:tcW w:w="5529" w:type="dxa"/>
            <w:tcBorders/>
          </w:tcPr>
          <w:p>
            <w:pPr>
              <w:pStyle w:val="Normal"/>
              <w:widowControl/>
              <w:spacing w:lineRule="auto" w:line="240" w:before="0" w:after="0"/>
              <w:jc w:val="left"/>
              <w:rPr>
                <w:rFonts w:ascii="Times New Roman" w:hAnsi="Times New Roman" w:cs="Times New Roman"/>
                <w:bCs/>
              </w:rPr>
            </w:pPr>
            <w:r>
              <w:rPr>
                <w:rFonts w:eastAsia="Calibri" w:cs="Times New Roman" w:ascii="Times New Roman" w:hAnsi="Times New Roman"/>
                <w:bCs/>
                <w:kern w:val="0"/>
                <w:sz w:val="22"/>
                <w:szCs w:val="22"/>
                <w:lang w:val="kk-KZ" w:eastAsia="en-US" w:bidi="ar-SA"/>
              </w:rPr>
              <w:t>Openness to experience was found to be an important personality factor, related to an individual's ability to interact effectively with people from different cultures. There was a positive relationship between mindfulness and high metacognitive cultural intelligence, and high adaptability was also found to be associated with behavioral cultural intelligence</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Characteristics of participants</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338 management undergraduate students participated</w:t>
            </w:r>
          </w:p>
        </w:tc>
      </w:tr>
      <w:tr>
        <w:trPr/>
        <w:tc>
          <w:tcPr>
            <w:tcW w:w="9356" w:type="dxa"/>
            <w:gridSpan w:val="3"/>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r>
      <w:tr>
        <w:trPr/>
        <w:tc>
          <w:tcPr>
            <w:tcW w:w="425" w:type="dxa"/>
            <w:vMerge w:val="restart"/>
            <w:tcBorders/>
            <w:vAlign w:val="center"/>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2</w:t>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Purpose of the research</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Identifying the role of cultural intelligence in intercultural leadership activities and practices</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The result of the research</w:t>
            </w:r>
          </w:p>
        </w:tc>
        <w:tc>
          <w:tcPr>
            <w:tcW w:w="5529" w:type="dxa"/>
            <w:tcBorders/>
          </w:tcPr>
          <w:p>
            <w:pPr>
              <w:pStyle w:val="Normal"/>
              <w:widowControl/>
              <w:spacing w:lineRule="auto" w:line="240" w:before="0" w:after="0"/>
              <w:jc w:val="left"/>
              <w:rPr>
                <w:rFonts w:ascii="Times New Roman" w:hAnsi="Times New Roman" w:cs="Times New Roman"/>
                <w:bCs/>
              </w:rPr>
            </w:pPr>
            <w:r>
              <w:rPr>
                <w:rFonts w:eastAsia="Calibri" w:cs="Times New Roman" w:ascii="Times New Roman" w:hAnsi="Times New Roman"/>
                <w:bCs/>
                <w:kern w:val="0"/>
                <w:sz w:val="22"/>
                <w:szCs w:val="22"/>
                <w:lang w:val="kk-KZ" w:eastAsia="en-US" w:bidi="ar-SA"/>
              </w:rPr>
              <w:t>It has been found that a leader's cultural intelligence is important in managing employees who have grown up in different cultural environments, and that the development of cultural intelligence increases in direct proportion to the time they spend living in another culture</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Characteristics of participants</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32 Western European managers (including 26 Australian managers) and 19 Chinese managers participated</w:t>
            </w:r>
          </w:p>
        </w:tc>
      </w:tr>
      <w:tr>
        <w:trPr/>
        <w:tc>
          <w:tcPr>
            <w:tcW w:w="9356" w:type="dxa"/>
            <w:gridSpan w:val="3"/>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r>
      <w:tr>
        <w:trPr/>
        <w:tc>
          <w:tcPr>
            <w:tcW w:w="425" w:type="dxa"/>
            <w:vMerge w:val="restart"/>
            <w:tcBorders/>
            <w:vAlign w:val="center"/>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3</w:t>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Purpose of the research</w:t>
            </w:r>
          </w:p>
        </w:tc>
        <w:tc>
          <w:tcPr>
            <w:tcW w:w="5529" w:type="dxa"/>
            <w:tcBorders/>
          </w:tcPr>
          <w:p>
            <w:pPr>
              <w:pStyle w:val="Normal"/>
              <w:widowControl/>
              <w:spacing w:lineRule="auto" w:line="240" w:before="0" w:after="0"/>
              <w:jc w:val="left"/>
              <w:rPr>
                <w:rFonts w:ascii="Times New Roman" w:hAnsi="Times New Roman" w:cs="Times New Roman"/>
                <w:bCs/>
              </w:rPr>
            </w:pPr>
            <w:r>
              <w:rPr>
                <w:rFonts w:eastAsia="Calibri" w:cs="Times New Roman" w:ascii="Times New Roman" w:hAnsi="Times New Roman"/>
                <w:bCs/>
                <w:kern w:val="0"/>
                <w:sz w:val="22"/>
                <w:szCs w:val="22"/>
                <w:lang w:val="kk-KZ" w:eastAsia="en-US" w:bidi="ar-SA"/>
              </w:rPr>
              <w:t>Determining the relationship between employees' academic performance and cultural intelligence</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The result of the research</w:t>
            </w:r>
          </w:p>
        </w:tc>
        <w:tc>
          <w:tcPr>
            <w:tcW w:w="5529" w:type="dxa"/>
            <w:tcBorders/>
          </w:tcPr>
          <w:p>
            <w:pPr>
              <w:pStyle w:val="Normal"/>
              <w:widowControl/>
              <w:spacing w:lineRule="auto" w:line="240" w:before="0" w:after="0"/>
              <w:jc w:val="left"/>
              <w:rPr>
                <w:rFonts w:ascii="Times New Roman" w:hAnsi="Times New Roman" w:cs="Times New Roman"/>
                <w:bCs/>
              </w:rPr>
            </w:pPr>
            <w:r>
              <w:rPr>
                <w:rFonts w:eastAsia="Calibri" w:cs="Times New Roman" w:ascii="Times New Roman" w:hAnsi="Times New Roman"/>
                <w:bCs/>
                <w:kern w:val="0"/>
                <w:sz w:val="22"/>
                <w:szCs w:val="22"/>
                <w:lang w:val="kk-KZ" w:eastAsia="en-US" w:bidi="ar-SA"/>
              </w:rPr>
              <w:t>A positive relationship was found between employees' academic performance and the motivational dimension of cultural intelligence. However, a negative relationship was found between the behavioral dimension of cultural intelligence</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Characteristics of participants</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Research conducted on declining industrial sectors</w:t>
            </w:r>
          </w:p>
        </w:tc>
      </w:tr>
      <w:tr>
        <w:trPr/>
        <w:tc>
          <w:tcPr>
            <w:tcW w:w="9356" w:type="dxa"/>
            <w:gridSpan w:val="3"/>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r>
      <w:tr>
        <w:trPr/>
        <w:tc>
          <w:tcPr>
            <w:tcW w:w="425" w:type="dxa"/>
            <w:vMerge w:val="restart"/>
            <w:tcBorders/>
            <w:vAlign w:val="center"/>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4</w:t>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Purpose of the research</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Identifying the relationship between cultural intelligence and organizational commitment (dependence)</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The result of the research</w:t>
            </w:r>
          </w:p>
        </w:tc>
        <w:tc>
          <w:tcPr>
            <w:tcW w:w="5529" w:type="dxa"/>
            <w:tcBorders/>
          </w:tcPr>
          <w:p>
            <w:pPr>
              <w:pStyle w:val="Normal"/>
              <w:widowControl/>
              <w:spacing w:lineRule="auto" w:line="240" w:before="0" w:after="0"/>
              <w:jc w:val="left"/>
              <w:rPr>
                <w:rFonts w:ascii="Times New Roman" w:hAnsi="Times New Roman" w:cs="Times New Roman"/>
                <w:bCs/>
              </w:rPr>
            </w:pPr>
            <w:r>
              <w:rPr>
                <w:rFonts w:eastAsia="Calibri" w:cs="Times New Roman" w:ascii="Times New Roman" w:hAnsi="Times New Roman"/>
                <w:bCs/>
                <w:kern w:val="0"/>
                <w:sz w:val="22"/>
                <w:szCs w:val="22"/>
                <w:lang w:val="kk-KZ" w:eastAsia="en-US" w:bidi="ar-SA"/>
              </w:rPr>
              <w:t>A positive relationship was found between organizational commitment (dependence) and informational, motivational, and behavioral dimensions of cultural intelligence. It was found that the greater the knowledge about culture and the nature of cultural differences, the higher the commitment (dependence) to the organization</w:t>
            </w:r>
          </w:p>
        </w:tc>
      </w:tr>
      <w:tr>
        <w:trPr/>
        <w:tc>
          <w:tcPr>
            <w:tcW w:w="425" w:type="dxa"/>
            <w:vMerge w:val="continue"/>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r>
          </w:p>
        </w:tc>
        <w:tc>
          <w:tcPr>
            <w:tcW w:w="3402" w:type="dxa"/>
            <w:tcBorders/>
          </w:tcPr>
          <w:p>
            <w:pPr>
              <w:pStyle w:val="Normal"/>
              <w:widowControl/>
              <w:spacing w:lineRule="auto" w:line="240" w:before="0" w:after="0"/>
              <w:jc w:val="left"/>
              <w:rPr>
                <w:rFonts w:ascii="Times New Roman" w:hAnsi="Times New Roman" w:cs="Times New Roman"/>
                <w:b/>
                <w:bCs/>
                <w:lang w:val="kk-KZ"/>
              </w:rPr>
            </w:pPr>
            <w:r>
              <w:rPr>
                <w:rFonts w:eastAsia="Calibri" w:cs="Times New Roman" w:ascii="Times New Roman" w:hAnsi="Times New Roman"/>
                <w:b/>
                <w:bCs/>
                <w:kern w:val="0"/>
                <w:sz w:val="22"/>
                <w:szCs w:val="22"/>
                <w:lang w:val="kk-KZ" w:eastAsia="en-US" w:bidi="ar-SA"/>
              </w:rPr>
              <w:t>Characteristics of participants</w:t>
            </w:r>
          </w:p>
        </w:tc>
        <w:tc>
          <w:tcPr>
            <w:tcW w:w="5529" w:type="dxa"/>
            <w:tcBorders/>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bCs/>
                <w:kern w:val="0"/>
                <w:sz w:val="22"/>
                <w:szCs w:val="22"/>
                <w:lang w:val="kk-KZ" w:eastAsia="en-US" w:bidi="ar-SA"/>
              </w:rPr>
              <w:t>100 university employees in Iran participated</w:t>
            </w:r>
          </w:p>
        </w:tc>
      </w:tr>
      <w:tr>
        <w:trPr/>
        <w:tc>
          <w:tcPr>
            <w:tcW w:w="9356" w:type="dxa"/>
            <w:gridSpan w:val="3"/>
            <w:tcBorders/>
            <w:vAlign w:val="center"/>
          </w:tcPr>
          <w:p>
            <w:pPr>
              <w:pStyle w:val="Normal"/>
              <w:widowControl/>
              <w:spacing w:lineRule="auto" w:line="240" w:before="0" w:after="0"/>
              <w:jc w:val="left"/>
              <w:rPr>
                <w:rFonts w:ascii="Times New Roman" w:hAnsi="Times New Roman" w:cs="Times New Roman"/>
                <w:bCs/>
                <w:lang w:val="kk-KZ"/>
              </w:rPr>
            </w:pPr>
            <w:r>
              <w:rPr>
                <w:rFonts w:eastAsia="Calibri" w:cs="Times New Roman" w:ascii="Times New Roman" w:hAnsi="Times New Roman"/>
                <w:i/>
                <w:kern w:val="0"/>
                <w:sz w:val="22"/>
                <w:szCs w:val="22"/>
                <w:lang w:val="en-US" w:eastAsia="en-US" w:bidi="ar-SA"/>
              </w:rPr>
              <w:t>Note:</w:t>
            </w:r>
            <w:r>
              <w:rPr>
                <w:rFonts w:eastAsia="Calibri" w:cs="Times New Roman" w:ascii="Times New Roman" w:hAnsi="Times New Roman"/>
                <w:kern w:val="0"/>
                <w:sz w:val="22"/>
                <w:szCs w:val="22"/>
                <w:lang w:val="en-US" w:eastAsia="en-US" w:bidi="ar-SA"/>
              </w:rPr>
              <w:t xml:space="preserve"> Compiled by the authors</w:t>
            </w:r>
          </w:p>
        </w:tc>
      </w:tr>
    </w:tbl>
    <w:p>
      <w:pPr>
        <w:pStyle w:val="Normal"/>
        <w:spacing w:lineRule="auto" w:line="240"/>
        <w:rPr>
          <w:rFonts w:ascii="Times New Roman" w:hAnsi="Times New Roman" w:cs="Times New Roman"/>
          <w:spacing w:val="4"/>
          <w:lang w:val="en-US" w:eastAsia="ko-KR"/>
        </w:rPr>
      </w:pPr>
      <w:r>
        <w:rPr>
          <w:rFonts w:cs="Times New Roman" w:ascii="Times New Roman" w:hAnsi="Times New Roman"/>
          <w:spacing w:val="4"/>
          <w:lang w:val="en-US" w:eastAsia="ko-KR"/>
        </w:rPr>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Thus, a review of some relevant literature published on the topic of the study was conducted, and although it is known that many studies have been conducted on culture, organizations, organizational culture and organizational structure, it is clearly seen that there has been no adequate research on cultural intelligence and cultural adaptation and their impact on academic performance during the screening</w:t>
      </w:r>
      <w:r>
        <w:rPr>
          <w:rFonts w:cs="Times New Roman" w:ascii="Times New Roman" w:hAnsi="Times New Roman"/>
          <w:spacing w:val="4"/>
          <w:sz w:val="24"/>
          <w:szCs w:val="24"/>
          <w:lang w:val="en-US" w:eastAsia="ko-KR"/>
        </w:rPr>
        <w:t xml:space="preserve"> [18]</w:t>
      </w:r>
      <w:r>
        <w:rPr>
          <w:rFonts w:cs="Times New Roman" w:ascii="Times New Roman" w:hAnsi="Times New Roman"/>
          <w:spacing w:val="4"/>
          <w:sz w:val="24"/>
          <w:szCs w:val="24"/>
          <w:lang w:val="kk-KZ" w:eastAsia="ko-KR"/>
        </w:rPr>
        <w:t>.</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In this regard, although it is known that scientific research is being conducted on the concepts and concepts of cultural intelligence and cultural adaptation in many countries, this does not apply to Kazakhstan. There are very few local scientific studies on the concepts of cultural intelligence and cultural adaptation, they only learn and try to study it from foreign sources. This is because the concepts and concepts of cultural intelligence and cultural adaptation are very new and are just beginning to be learned. </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b/>
          <w:sz w:val="24"/>
          <w:szCs w:val="24"/>
          <w:lang w:val="en-US"/>
        </w:rPr>
        <w:t xml:space="preserve">Materials and methods. </w:t>
      </w:r>
      <w:r>
        <w:rPr>
          <w:rFonts w:cs="Times New Roman" w:ascii="Times New Roman" w:hAnsi="Times New Roman"/>
          <w:spacing w:val="4"/>
          <w:sz w:val="24"/>
          <w:szCs w:val="24"/>
          <w:lang w:val="kk-KZ" w:eastAsia="ko-KR"/>
        </w:rPr>
        <w:t>The presence of people and societies in multicultural or intercultural environments for learning or teaching, traveling, working, and other living conditions leads to the coexistence of cultural diversity. In this context, adaptation, assimilation processes, and achievement levels affect individuals to different degrees. For this reason, this research study provides an opportunity to analyze the impact of cultural intelligence and cultural adaptation on academic performance based on research findings.</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This research study is an important resource or scientific literature, as it expands the concept of cultural intelligence, which is a new concept in the literature, and broadly reveals the impact of the concepts of academic performance and cultural adaptation on cultural intelligence.</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main hypotheses of the research work were also developed in accordance with the research objectives, that is, cultural intelligence as an independent variable and cultural adaptation as a dependent variable were formed between academic performance (GPA-grade point average). Therefore, there are two main hypotheses in this research work. They are:</w:t>
      </w:r>
    </w:p>
    <w:p>
      <w:pPr>
        <w:pStyle w:val="Normal"/>
        <w:spacing w:lineRule="auto" w:line="240" w:before="0" w:after="0"/>
        <w:ind w:firstLine="708"/>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      </w:t>
      </w:r>
      <w:r>
        <w:rPr>
          <w:rFonts w:cs="Times New Roman" w:ascii="Times New Roman" w:hAnsi="Times New Roman"/>
          <w:spacing w:val="4"/>
          <w:sz w:val="24"/>
          <w:szCs w:val="24"/>
          <w:lang w:val="kk-KZ" w:eastAsia="ko-KR"/>
        </w:rPr>
        <w:t>H</w:t>
      </w:r>
      <w:r>
        <w:rPr>
          <w:rFonts w:cs="Times New Roman" w:ascii="Times New Roman" w:hAnsi="Times New Roman"/>
          <w:spacing w:val="4"/>
          <w:sz w:val="24"/>
          <w:szCs w:val="24"/>
          <w:vertAlign w:val="subscript"/>
          <w:lang w:val="kk-KZ" w:eastAsia="ko-KR"/>
        </w:rPr>
        <w:t>1</w:t>
      </w:r>
      <w:r>
        <w:rPr>
          <w:rFonts w:cs="Times New Roman" w:ascii="Times New Roman" w:hAnsi="Times New Roman"/>
          <w:spacing w:val="4"/>
          <w:sz w:val="24"/>
          <w:szCs w:val="24"/>
          <w:lang w:val="kk-KZ" w:eastAsia="ko-KR"/>
        </w:rPr>
        <w:t>: Cultural intelligence has a significant and significant effect on academic performance;</w:t>
      </w:r>
    </w:p>
    <w:p>
      <w:pPr>
        <w:pStyle w:val="Normal"/>
        <w:spacing w:lineRule="auto" w:line="240" w:before="0" w:after="0"/>
        <w:ind w:firstLine="708"/>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     </w:t>
      </w:r>
      <w:r>
        <w:rPr>
          <w:rFonts w:cs="Times New Roman" w:ascii="Times New Roman" w:hAnsi="Times New Roman"/>
          <w:spacing w:val="4"/>
          <w:sz w:val="24"/>
          <w:szCs w:val="24"/>
          <w:lang w:val="kk-KZ" w:eastAsia="ko-KR"/>
        </w:rPr>
        <w:t>H</w:t>
      </w:r>
      <w:r>
        <w:rPr>
          <w:rFonts w:cs="Times New Roman" w:ascii="Times New Roman" w:hAnsi="Times New Roman"/>
          <w:spacing w:val="4"/>
          <w:sz w:val="24"/>
          <w:szCs w:val="24"/>
          <w:vertAlign w:val="subscript"/>
          <w:lang w:val="kk-KZ" w:eastAsia="ko-KR"/>
        </w:rPr>
        <w:t>2</w:t>
      </w:r>
      <w:r>
        <w:rPr>
          <w:rFonts w:cs="Times New Roman" w:ascii="Times New Roman" w:hAnsi="Times New Roman"/>
          <w:spacing w:val="4"/>
          <w:sz w:val="24"/>
          <w:szCs w:val="24"/>
          <w:lang w:val="kk-KZ" w:eastAsia="ko-KR"/>
        </w:rPr>
        <w:t>: Cultural adaptation has a significant and significant effect on academic performance.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In this regard, there are some limitations of this research work. The first limitation of the study arises from the selection of samples. The study participants (sample) were selected from the </w:t>
      </w:r>
      <w:r>
        <w:rPr>
          <w:rFonts w:cs="Times New Roman" w:ascii="Times New Roman" w:hAnsi="Times New Roman"/>
          <w:spacing w:val="4"/>
          <w:sz w:val="24"/>
          <w:szCs w:val="24"/>
          <w:lang w:val="en-US" w:eastAsia="ko-KR"/>
        </w:rPr>
        <w:t>Khoja Ahmet Yasawi International Kazakh-Turkish University</w:t>
      </w:r>
      <w:r>
        <w:rPr>
          <w:rFonts w:cs="Times New Roman" w:ascii="Times New Roman" w:hAnsi="Times New Roman"/>
          <w:spacing w:val="4"/>
          <w:sz w:val="24"/>
          <w:szCs w:val="24"/>
          <w:lang w:val="kk-KZ" w:eastAsia="ko-KR"/>
        </w:rPr>
        <w:t xml:space="preserve"> using the convenience (easy) sampling method. Although the convenience (easy) sampling method is a frequently used sampling method, its reliability is lower than other samples. Therefore, it can be considered a limitation of this study. </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Another limitation of the study is the sample size. As part of the study, a total of 275 foreign students were surveyed, and 253 of them completed and returned complete and correct responses. Although this number was sufficient for statistical analysis, more reliable results could have been achieved with a larger sample size. Another limitation of the study is time.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data collection process during the study lasted 3 months. Extending this period would have undoubtedly increased the sample size, but due to time constraints, this expansion was not possible.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final limitation of the study stems from the location of the sample. The sample consisted of foreign students studying only in the cities of Turkestan and Kentau. Since a significant proportion of foreign students are students from different countries, we can say that the reliability of the results is high.</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As mentioned above, the main population and sample of the study consisted of </w:t>
      </w:r>
      <w:r>
        <w:rPr>
          <w:rFonts w:cs="Times New Roman" w:ascii="Times New Roman" w:hAnsi="Times New Roman"/>
          <w:spacing w:val="4"/>
          <w:sz w:val="24"/>
          <w:szCs w:val="24"/>
          <w:lang w:val="en-US" w:eastAsia="ko-KR"/>
        </w:rPr>
        <w:t>the</w:t>
      </w:r>
      <w:r>
        <w:rPr>
          <w:rFonts w:cs="Times New Roman" w:ascii="Times New Roman" w:hAnsi="Times New Roman"/>
          <w:spacing w:val="4"/>
          <w:sz w:val="24"/>
          <w:szCs w:val="24"/>
          <w:lang w:val="kk-KZ" w:eastAsia="ko-KR"/>
        </w:rPr>
        <w:t xml:space="preserve"> foreign students studying at the departments of the </w:t>
      </w:r>
      <w:r>
        <w:rPr>
          <w:rFonts w:cs="Times New Roman" w:ascii="Times New Roman" w:hAnsi="Times New Roman"/>
          <w:spacing w:val="4"/>
          <w:sz w:val="24"/>
          <w:szCs w:val="24"/>
          <w:lang w:val="en-US" w:eastAsia="ko-KR"/>
        </w:rPr>
        <w:t>Khoja Ahmet Yasawi International Kazakh-Turkish University</w:t>
      </w:r>
      <w:r>
        <w:rPr>
          <w:rFonts w:cs="Times New Roman" w:ascii="Times New Roman" w:hAnsi="Times New Roman"/>
          <w:spacing w:val="4"/>
          <w:sz w:val="24"/>
          <w:szCs w:val="24"/>
          <w:lang w:val="kk-KZ" w:eastAsia="ko-KR"/>
        </w:rPr>
        <w:t xml:space="preserve"> in Turkestan and Kentau (preparatory, bachelor's, master's, doctoral studies). When selecting the research sample, a convenient (easy) sampling method was used.</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survey method was used in the study. The survey used in the study consists of three parts. The first part contains 5 questions to determine the demographic characteristics of the study participants. The second part of the survey contains a 20-question "Cultural Intelligence" scale aimed at determining the cultural intelligence of the participants. The last part of the study contains a 14-item "Cultural Adaptation" scale used to measure the cultural adaptation of the participants.</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Cultural Intelligence Scale included in the questionnaire was developed by Ang and colleagues</w:t>
      </w:r>
      <w:r>
        <w:rPr>
          <w:rFonts w:cs="Times New Roman" w:ascii="Times New Roman" w:hAnsi="Times New Roman"/>
          <w:spacing w:val="4"/>
          <w:sz w:val="24"/>
          <w:szCs w:val="24"/>
          <w:lang w:val="en-US" w:eastAsia="ko-KR"/>
        </w:rPr>
        <w:t xml:space="preserve"> [5]</w:t>
      </w:r>
      <w:r>
        <w:rPr>
          <w:rFonts w:cs="Times New Roman" w:ascii="Times New Roman" w:hAnsi="Times New Roman"/>
          <w:spacing w:val="4"/>
          <w:sz w:val="24"/>
          <w:szCs w:val="24"/>
          <w:lang w:val="kk-KZ" w:eastAsia="ko-KR"/>
        </w:rPr>
        <w:t>. This scale consists of 20 items (questions) (KZ1...-...KZ20). The scale consists of four dimensions: “Higher Cognitive (Metacognitive)”, “Cognitive (Cognitive)”, “Motivational” and “Behavioral”, which allow individuals to effectively conduct their activities in different cultural environments or multicultural environments and be successful in that environment. The scale aims to objectively reveal individuals’ perceptions of culture.        The scale used a 5-point Likert method, coded as “strongly disagree”, “disagree”, “unsure”, “agree” and “strongly agree”. Items 1, 2, 3 and 4 of the scale indicate “Higher Cognitive (Metacognitive) Intelligence”; Items 5, 6, 7, 8, 9, and 10 measure “Cognitive Intelligence”; items 11, 12, 13, 14, and 15 measure “Motivational Intelligence”; and items 16, 17, 18, 19, and 20 measure “Behavioral Intelligence.” Levels of cultural intelligence were determined according to the total score obtained on the scale. An individual with a high score was considered to have high cultural intelligence. A similar interpretation is valid for the smaller dimensions of the scale.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The Cultural Adaptation Scale included in the questionnaire was developed by Black </w:t>
      </w:r>
      <w:r>
        <w:rPr>
          <w:rFonts w:cs="Times New Roman" w:ascii="Times New Roman" w:hAnsi="Times New Roman"/>
          <w:spacing w:val="4"/>
          <w:sz w:val="24"/>
          <w:szCs w:val="24"/>
          <w:lang w:val="en-US" w:eastAsia="ko-KR"/>
        </w:rPr>
        <w:t>[19]</w:t>
      </w:r>
      <w:r>
        <w:rPr>
          <w:rFonts w:cs="Times New Roman" w:ascii="Times New Roman" w:hAnsi="Times New Roman"/>
          <w:spacing w:val="4"/>
          <w:sz w:val="24"/>
          <w:szCs w:val="24"/>
          <w:lang w:val="kk-KZ" w:eastAsia="ko-KR"/>
        </w:rPr>
        <w:t xml:space="preserve"> and Black </w:t>
      </w:r>
      <w:r>
        <w:rPr>
          <w:rFonts w:cs="Times New Roman" w:ascii="Times New Roman" w:hAnsi="Times New Roman"/>
          <w:spacing w:val="4"/>
          <w:sz w:val="24"/>
          <w:szCs w:val="24"/>
          <w:lang w:val="en-US" w:eastAsia="ko-KR"/>
        </w:rPr>
        <w:t>&amp;</w:t>
      </w:r>
      <w:r>
        <w:rPr>
          <w:rFonts w:cs="Times New Roman" w:ascii="Times New Roman" w:hAnsi="Times New Roman"/>
          <w:spacing w:val="4"/>
          <w:sz w:val="24"/>
          <w:szCs w:val="24"/>
          <w:lang w:val="kk-KZ" w:eastAsia="ko-KR"/>
        </w:rPr>
        <w:t xml:space="preserve"> Stephen </w:t>
      </w:r>
      <w:r>
        <w:rPr>
          <w:rFonts w:cs="Times New Roman" w:ascii="Times New Roman" w:hAnsi="Times New Roman"/>
          <w:spacing w:val="4"/>
          <w:sz w:val="24"/>
          <w:szCs w:val="24"/>
          <w:lang w:val="en-US" w:eastAsia="ko-KR"/>
        </w:rPr>
        <w:t>[20]</w:t>
      </w:r>
      <w:r>
        <w:rPr>
          <w:rFonts w:cs="Times New Roman" w:ascii="Times New Roman" w:hAnsi="Times New Roman"/>
          <w:spacing w:val="4"/>
          <w:sz w:val="24"/>
          <w:szCs w:val="24"/>
          <w:lang w:val="kk-KZ" w:eastAsia="ko-KR"/>
        </w:rPr>
        <w:t>. This scale consists of 14 items (questions) (KA1...-...KA14). The scale consists of three dimensions: "Physical Adaptation", "Social Adaptation", and "Work Environment Adaptation". The scale uses a 5-point Likert scale coded as "completely incompatible", "somewhat compatible", "compatible", and "completely compatible". Items 1, 2, 3, 5, 6, and 7 of the scale measure "Physical Adaptation"; items 8, 9, 10, and 11 measure "Social Adaptation"; and items 11, 12, 13, and 14 measure "Work Environment Adaptation".</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data obtained from the survey were analyzed using SPSS 23 and AMOS 23 data analysis software. In addition, “Descriptive Statistics”, “Confirmatory Factor Analysis” and “Structural Equation Modeling” were used in the analysis of the data and data.</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 xml:space="preserve">As mentioned above, the main population and sample of the study </w:t>
      </w:r>
      <w:r>
        <w:rPr>
          <w:rFonts w:cs="Times New Roman" w:ascii="Times New Roman" w:hAnsi="Times New Roman"/>
          <w:spacing w:val="4"/>
          <w:sz w:val="24"/>
          <w:szCs w:val="24"/>
          <w:lang w:val="en-US" w:eastAsia="ko-KR"/>
        </w:rPr>
        <w:t>which</w:t>
      </w:r>
      <w:r>
        <w:rPr>
          <w:rFonts w:cs="Times New Roman" w:ascii="Times New Roman" w:hAnsi="Times New Roman"/>
          <w:spacing w:val="4"/>
          <w:sz w:val="24"/>
          <w:szCs w:val="24"/>
          <w:lang w:val="kk-KZ" w:eastAsia="ko-KR"/>
        </w:rPr>
        <w:t xml:space="preserve"> foreign students studying at the International Kazakh-Turkish University named after Khoja Akhmet Yassawi (preparatory, undergraduate, graduate, doctoral). The demographic characteristics and characteristics of the sample are summarized in Table 2.</w:t>
      </w:r>
    </w:p>
    <w:p>
      <w:pPr>
        <w:pStyle w:val="Normal"/>
        <w:tabs>
          <w:tab w:val="clear" w:pos="708"/>
          <w:tab w:val="left" w:pos="7295" w:leader="none"/>
        </w:tabs>
        <w:spacing w:lineRule="auto" w:line="240"/>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en-US" w:eastAsia="ko-KR"/>
        </w:rPr>
        <w:tab/>
      </w:r>
    </w:p>
    <w:p>
      <w:pPr>
        <w:pStyle w:val="Normal"/>
        <w:spacing w:lineRule="auto" w:line="240"/>
        <w:jc w:val="center"/>
        <w:rPr>
          <w:rFonts w:ascii="Times New Roman" w:hAnsi="Times New Roman" w:cs="Times New Roman"/>
          <w:b/>
          <w:bCs/>
          <w:lang w:val="en-US"/>
        </w:rPr>
      </w:pPr>
      <w:r>
        <w:rPr>
          <w:rFonts w:cs="Times New Roman" w:ascii="Times New Roman" w:hAnsi="Times New Roman"/>
          <w:b/>
          <w:lang w:val="en-US"/>
        </w:rPr>
        <w:t xml:space="preserve">Table 2 - </w:t>
      </w:r>
      <w:r>
        <w:rPr>
          <w:rFonts w:cs="Times New Roman" w:ascii="Times New Roman" w:hAnsi="Times New Roman"/>
          <w:b/>
          <w:bCs/>
          <w:lang w:val="en-US"/>
        </w:rPr>
        <w:t>Demographic features and characteristics of participants</w:t>
      </w:r>
    </w:p>
    <w:p>
      <w:pPr>
        <w:pStyle w:val="Normal"/>
        <w:spacing w:lineRule="auto" w:line="240"/>
        <w:rPr>
          <w:rFonts w:ascii="Times New Roman" w:hAnsi="Times New Roman" w:cs="Times New Roman"/>
          <w:bCs/>
          <w:lang w:val="kk-KZ"/>
        </w:rPr>
      </w:pPr>
      <w:r>
        <w:rPr>
          <w:rFonts w:cs="Times New Roman" w:ascii="Times New Roman" w:hAnsi="Times New Roman"/>
          <w:bCs/>
          <w:lang w:val="kk-KZ"/>
        </w:rPr>
      </w:r>
    </w:p>
    <w:tbl>
      <w:tblPr>
        <w:tblW w:w="8605"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134"/>
        <w:gridCol w:w="1559"/>
        <w:gridCol w:w="1429"/>
        <w:gridCol w:w="1137"/>
        <w:gridCol w:w="1792"/>
        <w:gridCol w:w="1553"/>
      </w:tblGrid>
      <w:tr>
        <w:trPr>
          <w:trHeight w:val="533" w:hRule="atLeast"/>
        </w:trPr>
        <w:tc>
          <w:tcPr>
            <w:tcW w:w="2693"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
                <w:bCs/>
                <w:lang w:val="kk-KZ"/>
              </w:rPr>
            </w:pPr>
            <w:r>
              <w:rPr>
                <w:rFonts w:cs="Times New Roman" w:ascii="Times New Roman" w:hAnsi="Times New Roman"/>
                <w:b/>
                <w:bCs/>
                <w:lang w:val="kk-KZ"/>
              </w:rPr>
              <w:t>Frequency</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b/>
                <w:bCs/>
                <w:lang w:val="kk-KZ"/>
              </w:rPr>
            </w:pPr>
            <w:r>
              <w:rPr>
                <w:rFonts w:cs="Times New Roman" w:ascii="Times New Roman" w:hAnsi="Times New Roman"/>
                <w:b/>
                <w:bCs/>
                <w:lang w:val="kk-KZ"/>
              </w:rPr>
              <w:t>Share</w:t>
            </w:r>
          </w:p>
          <w:p>
            <w:pPr>
              <w:pStyle w:val="Normal"/>
              <w:spacing w:lineRule="auto" w:line="240" w:before="0" w:after="160"/>
              <w:jc w:val="center"/>
              <w:rPr>
                <w:rFonts w:ascii="Times New Roman" w:hAnsi="Times New Roman" w:cs="Times New Roman"/>
                <w:b/>
                <w:bCs/>
                <w:lang w:val="kk-KZ"/>
              </w:rPr>
            </w:pPr>
            <w:r>
              <w:rPr>
                <w:rFonts w:cs="Times New Roman" w:ascii="Times New Roman" w:hAnsi="Times New Roman"/>
                <w:b/>
                <w:bCs/>
                <w:lang w:val="kk-KZ"/>
              </w:rPr>
              <w:t>(%)</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b/>
                <w:bCs/>
                <w:lang w:val="kk-KZ"/>
              </w:rPr>
            </w:pPr>
            <w:r>
              <w:rPr>
                <w:rFonts w:cs="Times New Roman" w:ascii="Times New Roman" w:hAnsi="Times New Roman"/>
                <w:b/>
                <w:bCs/>
                <w:lang w:val="kk-KZ"/>
              </w:rPr>
              <w:t>Eliglibe Share</w:t>
            </w:r>
          </w:p>
          <w:p>
            <w:pPr>
              <w:pStyle w:val="Normal"/>
              <w:spacing w:lineRule="auto" w:line="240" w:before="0" w:after="160"/>
              <w:jc w:val="center"/>
              <w:rPr>
                <w:rFonts w:ascii="Times New Roman" w:hAnsi="Times New Roman" w:cs="Times New Roman"/>
                <w:b/>
                <w:bCs/>
                <w:lang w:val="kk-KZ"/>
              </w:rPr>
            </w:pPr>
            <w:r>
              <w:rPr>
                <w:rFonts w:cs="Times New Roman" w:ascii="Times New Roman" w:hAnsi="Times New Roman"/>
                <w:b/>
                <w:bCs/>
                <w:lang w:val="kk-KZ"/>
              </w:rPr>
              <w:t>(%)</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b/>
                <w:bCs/>
                <w:lang w:val="kk-KZ"/>
              </w:rPr>
            </w:pPr>
            <w:r>
              <w:rPr>
                <w:rFonts w:cs="Times New Roman" w:ascii="Times New Roman" w:hAnsi="Times New Roman"/>
                <w:b/>
                <w:bCs/>
                <w:lang w:val="kk-KZ"/>
              </w:rPr>
              <w:t>Total Share</w:t>
            </w:r>
          </w:p>
          <w:p>
            <w:pPr>
              <w:pStyle w:val="Normal"/>
              <w:spacing w:lineRule="auto" w:line="240" w:before="0" w:after="160"/>
              <w:jc w:val="center"/>
              <w:rPr>
                <w:rFonts w:ascii="Times New Roman" w:hAnsi="Times New Roman" w:cs="Times New Roman"/>
                <w:b/>
                <w:bCs/>
                <w:lang w:val="kk-KZ"/>
              </w:rPr>
            </w:pPr>
            <w:r>
              <w:rPr>
                <w:rFonts w:cs="Times New Roman" w:ascii="Times New Roman" w:hAnsi="Times New Roman"/>
                <w:b/>
                <w:bCs/>
                <w:lang w:val="kk-KZ"/>
              </w:rPr>
              <w:t>(%)</w:t>
            </w:r>
          </w:p>
        </w:tc>
      </w:tr>
      <w:tr>
        <w:trPr>
          <w:trHeight w:val="345" w:hRule="atLeast"/>
        </w:trPr>
        <w:tc>
          <w:tcPr>
            <w:tcW w:w="11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Gender</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Female</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145</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57,3</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57,3</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57,3</w:t>
            </w:r>
          </w:p>
        </w:tc>
      </w:tr>
      <w:tr>
        <w:trPr>
          <w:trHeight w:val="342"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Male</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108</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42,7</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42,7</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All</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253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r>
          </w:p>
        </w:tc>
      </w:tr>
      <w:tr>
        <w:trPr>
          <w:trHeight w:val="345" w:hRule="atLeast"/>
        </w:trPr>
        <w:tc>
          <w:tcPr>
            <w:tcW w:w="11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Age</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18-24</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118</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46,6</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46,6</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46,6</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25-31</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94</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37,2</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37,2</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83,8</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32-38</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31</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12,3</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12,3</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96,0</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39-45</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1,6</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1,6</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97,6</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46 ≤</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6</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2,4</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2,4</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r>
      <w:tr>
        <w:trPr>
          <w:trHeight w:val="388"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All</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253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r>
          </w:p>
        </w:tc>
      </w:tr>
      <w:tr>
        <w:trPr>
          <w:trHeight w:val="345" w:hRule="atLeast"/>
        </w:trPr>
        <w:tc>
          <w:tcPr>
            <w:tcW w:w="11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Country</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Turkey</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13,0</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13,0</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13,0</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Russia, China, Mongolia</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39,5</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39,5</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52,6</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Central Asia</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106</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41,9</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41,9</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94,5</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Other</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14</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5,5</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5,5</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r>
      <w:tr>
        <w:trPr>
          <w:trHeight w:val="345" w:hRule="atLeast"/>
        </w:trPr>
        <w:tc>
          <w:tcPr>
            <w:tcW w:w="1134"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All</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253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r>
          </w:p>
        </w:tc>
      </w:tr>
      <w:tr>
        <w:trPr>
          <w:trHeight w:val="345" w:hRule="atLeast"/>
        </w:trPr>
        <w:tc>
          <w:tcPr>
            <w:tcW w:w="11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en-US"/>
              </w:rPr>
              <w:t>GPA</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1.50 - 1.99</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0,8</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0,8</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0,8</w:t>
            </w:r>
          </w:p>
        </w:tc>
      </w:tr>
      <w:tr>
        <w:trPr>
          <w:trHeight w:val="342" w:hRule="atLeast"/>
        </w:trPr>
        <w:tc>
          <w:tcPr>
            <w:tcW w:w="1134" w:type="dxa"/>
            <w:vMerge w:val="continue"/>
            <w:tcBorders>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2.00 - 2.49</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16</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6,3</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6,3</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7,1</w:t>
            </w:r>
          </w:p>
        </w:tc>
      </w:tr>
      <w:tr>
        <w:trPr>
          <w:trHeight w:val="345" w:hRule="atLeast"/>
        </w:trPr>
        <w:tc>
          <w:tcPr>
            <w:tcW w:w="1134" w:type="dxa"/>
            <w:vMerge w:val="continue"/>
            <w:tcBorders>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2.50 - 2.99</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13,0</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13,0</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20,2</w:t>
            </w:r>
          </w:p>
        </w:tc>
      </w:tr>
      <w:tr>
        <w:trPr>
          <w:trHeight w:val="345" w:hRule="atLeast"/>
        </w:trPr>
        <w:tc>
          <w:tcPr>
            <w:tcW w:w="1134" w:type="dxa"/>
            <w:vMerge w:val="continue"/>
            <w:tcBorders>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3.00 - 3.49</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107</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42,3</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42,3</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62,5</w:t>
            </w:r>
          </w:p>
        </w:tc>
      </w:tr>
      <w:tr>
        <w:trPr>
          <w:trHeight w:val="345" w:hRule="atLeast"/>
        </w:trPr>
        <w:tc>
          <w:tcPr>
            <w:tcW w:w="1134" w:type="dxa"/>
            <w:vMerge w:val="continue"/>
            <w:tcBorders>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bCs/>
                <w:lang w:val="kk-KZ"/>
              </w:rPr>
              <w:t>3.50 - 4.00</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95</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37,5</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37,5</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r>
      <w:tr>
        <w:trPr>
          <w:trHeight w:val="204" w:hRule="atLeast"/>
        </w:trPr>
        <w:tc>
          <w:tcPr>
            <w:tcW w:w="1134" w:type="dxa"/>
            <w:vMerge w:val="continue"/>
            <w:tcBorders>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Cs/>
                <w:lang w:val="kk-KZ"/>
              </w:rPr>
            </w:pPr>
            <w:r>
              <w:rPr>
                <w:rFonts w:cs="Times New Roman" w:ascii="Times New Roman" w:hAnsi="Times New Roman"/>
                <w:bCs/>
                <w:lang w:val="kk-KZ"/>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bCs/>
                <w:lang w:val="kk-KZ"/>
              </w:rPr>
            </w:pPr>
            <w:r>
              <w:rPr>
                <w:rFonts w:cs="Times New Roman" w:ascii="Times New Roman" w:hAnsi="Times New Roman"/>
                <w:b/>
              </w:rPr>
              <w:t>All</w:t>
            </w:r>
          </w:p>
        </w:tc>
        <w:tc>
          <w:tcPr>
            <w:tcW w:w="14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253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7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t>100,0</w:t>
            </w:r>
          </w:p>
        </w:tc>
        <w:tc>
          <w:tcPr>
            <w:tcW w:w="15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bCs/>
                <w:lang w:val="kk-KZ"/>
              </w:rPr>
            </w:pPr>
            <w:r>
              <w:rPr>
                <w:rFonts w:cs="Times New Roman" w:ascii="Times New Roman" w:hAnsi="Times New Roman"/>
                <w:bCs/>
                <w:lang w:val="kk-KZ"/>
              </w:rPr>
            </w:r>
          </w:p>
        </w:tc>
      </w:tr>
      <w:tr>
        <w:trPr>
          <w:trHeight w:val="381" w:hRule="atLeast"/>
        </w:trPr>
        <w:tc>
          <w:tcPr>
            <w:tcW w:w="8604" w:type="dxa"/>
            <w:gridSpan w:val="6"/>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Cs/>
                <w:lang w:val="kk-KZ"/>
              </w:rPr>
            </w:pPr>
            <w:r>
              <w:rPr>
                <w:rFonts w:cs="Times New Roman" w:ascii="Times New Roman" w:hAnsi="Times New Roman"/>
                <w:i/>
                <w:lang w:val="en-US"/>
              </w:rPr>
              <w:t>Note:</w:t>
            </w:r>
            <w:r>
              <w:rPr>
                <w:rFonts w:cs="Times New Roman" w:ascii="Times New Roman" w:hAnsi="Times New Roman"/>
                <w:lang w:val="en-US"/>
              </w:rPr>
              <w:t xml:space="preserve"> Compiled by the author</w:t>
            </w:r>
          </w:p>
        </w:tc>
      </w:tr>
    </w:tbl>
    <w:p>
      <w:pPr>
        <w:pStyle w:val="Normal"/>
        <w:spacing w:lineRule="auto" w:line="240" w:before="0" w:after="0"/>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en-US" w:eastAsia="ko-KR"/>
        </w:rPr>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As shown in Table 2, of the foreign students who participated in the study, 145 (57.3%) were female and 108 (42.7%) were male. The majority of participants (46.6%) were under 24 years of age. 41.9% of participants came from Central Asian countries, 39.5% from Russia, China, Mongolia, 13.0% from Turkey, and the remaining 5.5% were students from other countries. The study assessed students’ academic performance using the average score. The analysis revealed that a significant proportion of foreign students (approximately 80%) who participated in the study had an average GPA of at least 3. In other words, the study was conducted with students who were good and very good students, that is, participants.</w:t>
      </w:r>
    </w:p>
    <w:p>
      <w:pPr>
        <w:pStyle w:val="Normal"/>
        <w:spacing w:lineRule="auto" w:line="240" w:before="0" w:after="0"/>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 xml:space="preserve">As mentioned in the previous section, the “Cultural Intelligence Scale” developed by Ang and colleagues </w:t>
      </w:r>
      <w:r>
        <w:rPr>
          <w:rFonts w:cs="Times New Roman" w:ascii="Times New Roman" w:hAnsi="Times New Roman"/>
          <w:spacing w:val="4"/>
          <w:sz w:val="24"/>
          <w:szCs w:val="24"/>
          <w:lang w:val="en-US" w:eastAsia="ko-KR"/>
        </w:rPr>
        <w:t>[21]</w:t>
      </w:r>
      <w:r>
        <w:rPr>
          <w:rFonts w:cs="Times New Roman" w:ascii="Times New Roman" w:hAnsi="Times New Roman"/>
          <w:spacing w:val="4"/>
          <w:sz w:val="24"/>
          <w:szCs w:val="24"/>
          <w:lang w:val="kk-KZ" w:eastAsia="ko-KR"/>
        </w:rPr>
        <w:t xml:space="preserve"> was introduced and used in the survey. In the following part of the study, basic statistical information on cultural intelligence, cultural adaptation and their subscales: arithmetic means and standard deviations were calculated, and the results obtained are summarized in Table 3.</w:t>
      </w:r>
    </w:p>
    <w:p>
      <w:pPr>
        <w:pStyle w:val="Normal"/>
        <w:spacing w:lineRule="auto" w:line="240" w:before="0" w:after="0"/>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en-US" w:eastAsia="ko-KR"/>
        </w:rPr>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lang w:val="en-US"/>
        </w:rPr>
        <w:t xml:space="preserve">Table 3 - </w:t>
      </w:r>
      <w:r>
        <w:rPr>
          <w:rFonts w:cs="Times New Roman" w:ascii="Times New Roman" w:hAnsi="Times New Roman"/>
          <w:b/>
          <w:bCs/>
          <w:lang w:val="en-US"/>
        </w:rPr>
        <w:t>Basic statistical information regarding cultural intelligence, cultural adaptation</w:t>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and their subscales</w:t>
      </w:r>
    </w:p>
    <w:p>
      <w:pPr>
        <w:pStyle w:val="Normal"/>
        <w:spacing w:lineRule="auto" w:line="240" w:before="0" w:after="0"/>
        <w:rPr>
          <w:rFonts w:ascii="Times New Roman" w:hAnsi="Times New Roman" w:cs="Times New Roman"/>
          <w:bCs/>
          <w:lang w:val="kk-KZ"/>
        </w:rPr>
      </w:pPr>
      <w:r>
        <w:rPr>
          <w:rFonts w:cs="Times New Roman" w:ascii="Times New Roman" w:hAnsi="Times New Roman"/>
          <w:bCs/>
          <w:lang w:val="kk-KZ"/>
        </w:rPr>
      </w:r>
    </w:p>
    <w:tbl>
      <w:tblPr>
        <w:tblW w:w="9214" w:type="dxa"/>
        <w:jc w:val="left"/>
        <w:tblInd w:w="250" w:type="dxa"/>
        <w:tblLayout w:type="fixed"/>
        <w:tblCellMar>
          <w:top w:w="0" w:type="dxa"/>
          <w:left w:w="108" w:type="dxa"/>
          <w:bottom w:w="0" w:type="dxa"/>
          <w:right w:w="108" w:type="dxa"/>
        </w:tblCellMar>
        <w:tblLook w:val="01e0" w:noHBand="0" w:noVBand="0" w:firstColumn="1" w:lastRow="1" w:lastColumn="1" w:firstRow="1"/>
      </w:tblPr>
      <w:tblGrid>
        <w:gridCol w:w="4394"/>
        <w:gridCol w:w="991"/>
        <w:gridCol w:w="2410"/>
        <w:gridCol w:w="1418"/>
      </w:tblGrid>
      <w:tr>
        <w:trPr>
          <w:trHeight w:val="622"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lang w:val="kk-KZ"/>
              </w:rPr>
            </w:pPr>
            <w:r>
              <w:rPr>
                <w:rFonts w:cs="Times New Roman" w:ascii="Times New Roman" w:hAnsi="Times New Roman"/>
                <w:lang w:val="kk-KZ"/>
              </w:rPr>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N</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Arithmetic mean</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Standard deviation</w:t>
            </w:r>
          </w:p>
        </w:tc>
      </w:tr>
      <w:tr>
        <w:trPr>
          <w:trHeight w:val="414"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Cultural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3,8731</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0,49210</w:t>
            </w:r>
          </w:p>
        </w:tc>
      </w:tr>
      <w:tr>
        <w:trPr>
          <w:trHeight w:val="412"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Cultural Adaptation</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3,4593</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0,57254</w:t>
            </w:r>
          </w:p>
        </w:tc>
      </w:tr>
      <w:tr>
        <w:trPr>
          <w:trHeight w:val="414"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Metacognitive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4,2069</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0,69566</w:t>
            </w:r>
          </w:p>
        </w:tc>
      </w:tr>
      <w:tr>
        <w:trPr>
          <w:trHeight w:val="415"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Cognitive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3,3887</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0,68880</w:t>
            </w:r>
          </w:p>
        </w:tc>
      </w:tr>
      <w:tr>
        <w:trPr>
          <w:trHeight w:val="412"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Motivational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4,0731</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0,66225</w:t>
            </w:r>
          </w:p>
        </w:tc>
      </w:tr>
      <w:tr>
        <w:trPr>
          <w:trHeight w:val="414"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Behavioral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3,8237</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0,71052</w:t>
            </w:r>
          </w:p>
        </w:tc>
      </w:tr>
      <w:tr>
        <w:trPr>
          <w:trHeight w:val="414"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Physical Adaptation</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3,4608</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0,61407</w:t>
            </w:r>
          </w:p>
        </w:tc>
      </w:tr>
      <w:tr>
        <w:trPr>
          <w:trHeight w:val="414"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Social Adaptation</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3,4585</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0,71044</w:t>
            </w:r>
          </w:p>
        </w:tc>
      </w:tr>
      <w:tr>
        <w:trPr>
          <w:trHeight w:val="414" w:hRule="atLeast"/>
        </w:trPr>
        <w:tc>
          <w:tcPr>
            <w:tcW w:w="4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Work Environment Adaptation</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253</w:t>
            </w:r>
          </w:p>
        </w:tc>
        <w:tc>
          <w:tcPr>
            <w:tcW w:w="24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3,4585</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t>0,74752</w:t>
            </w:r>
          </w:p>
        </w:tc>
      </w:tr>
      <w:tr>
        <w:trPr>
          <w:trHeight w:val="414" w:hRule="atLeast"/>
        </w:trPr>
        <w:tc>
          <w:tcPr>
            <w:tcW w:w="9213"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i/>
                <w:lang w:val="en-US"/>
              </w:rPr>
              <w:t>Note:</w:t>
            </w:r>
            <w:r>
              <w:rPr>
                <w:rFonts w:cs="Times New Roman" w:ascii="Times New Roman" w:hAnsi="Times New Roman"/>
                <w:lang w:val="en-US"/>
              </w:rPr>
              <w:t xml:space="preserve"> Compiled by the author</w:t>
            </w:r>
          </w:p>
        </w:tc>
      </w:tr>
    </w:tbl>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When examining Table 3, it was found that the participants had above average cultural intelligence and cultural adaptation. In general, it was also observed that the participants’ cultural intelligence levels (3.87) were higher than their cultural adaptation levels. It was also found that the participants had high levels of metacognitive intelligence, while their cognitive intelligence levels were relatively low. It was also observed that all sub-dimensions of cultural adaptation were at the same level.</w:t>
      </w:r>
    </w:p>
    <w:p>
      <w:pPr>
        <w:pStyle w:val="Normal"/>
        <w:spacing w:lineRule="auto" w:line="240" w:before="0" w:after="0"/>
        <w:jc w:val="both"/>
        <w:rPr>
          <w:rFonts w:ascii="Times New Roman" w:hAnsi="Times New Roman" w:cs="Times New Roman"/>
          <w:spacing w:val="4"/>
          <w:lang w:val="en-US" w:eastAsia="ko-KR"/>
        </w:rPr>
      </w:pPr>
      <w:r>
        <w:rPr>
          <w:rFonts w:cs="Times New Roman" w:ascii="Times New Roman" w:hAnsi="Times New Roman"/>
          <w:spacing w:val="4"/>
          <w:sz w:val="24"/>
          <w:szCs w:val="24"/>
          <w:lang w:val="kk-KZ" w:eastAsia="ko-KR"/>
        </w:rPr>
        <w:t xml:space="preserve">In the next part of the study, the relationship between cultural intelligence, which was used as one of the main variables in the study, and metacognitive, cognitive, motivational, and behavioral intelligences, which are sub-dimensions of cultural intelligence, and academic performance, was examined through correlation analysis. The results obtained are presented </w:t>
      </w:r>
      <w:r>
        <w:rPr>
          <w:rFonts w:cs="Times New Roman" w:ascii="Times New Roman" w:hAnsi="Times New Roman"/>
          <w:spacing w:val="4"/>
          <w:lang w:val="kk-KZ" w:eastAsia="ko-KR"/>
        </w:rPr>
        <w:t>in Table 4 below.</w:t>
      </w:r>
    </w:p>
    <w:p>
      <w:pPr>
        <w:pStyle w:val="Normal"/>
        <w:spacing w:lineRule="auto" w:line="240" w:before="0" w:after="0"/>
        <w:rPr>
          <w:rFonts w:ascii="Times New Roman" w:hAnsi="Times New Roman" w:cs="Times New Roman"/>
          <w:spacing w:val="4"/>
          <w:lang w:val="en-US" w:eastAsia="ko-KR"/>
        </w:rPr>
      </w:pPr>
      <w:r>
        <w:rPr>
          <w:rFonts w:cs="Times New Roman" w:ascii="Times New Roman" w:hAnsi="Times New Roman"/>
          <w:spacing w:val="4"/>
          <w:lang w:val="en-US" w:eastAsia="ko-KR"/>
        </w:rPr>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lang w:val="en-US"/>
        </w:rPr>
        <w:t xml:space="preserve">Table </w:t>
      </w:r>
      <w:r>
        <w:rPr>
          <w:rFonts w:cs="Times New Roman" w:ascii="Times New Roman" w:hAnsi="Times New Roman"/>
          <w:b/>
          <w:lang w:val="kk-KZ"/>
        </w:rPr>
        <w:t>4</w:t>
      </w:r>
      <w:r>
        <w:rPr>
          <w:rFonts w:cs="Times New Roman" w:ascii="Times New Roman" w:hAnsi="Times New Roman"/>
          <w:b/>
          <w:lang w:val="en-US"/>
        </w:rPr>
        <w:t xml:space="preserve"> - </w:t>
      </w:r>
      <w:r>
        <w:rPr>
          <w:rFonts w:cs="Times New Roman" w:ascii="Times New Roman" w:hAnsi="Times New Roman"/>
          <w:b/>
          <w:bCs/>
          <w:lang w:val="en-US"/>
        </w:rPr>
        <w:t>Results of correlation analysis on cultural intelligence, its subscales, and academic performance</w:t>
      </w:r>
    </w:p>
    <w:p>
      <w:pPr>
        <w:pStyle w:val="Normal"/>
        <w:spacing w:lineRule="auto" w:line="240" w:before="0" w:after="0"/>
        <w:rPr>
          <w:rFonts w:ascii="Times New Roman" w:hAnsi="Times New Roman" w:cs="Times New Roman"/>
          <w:bCs/>
          <w:lang w:val="kk-KZ"/>
        </w:rPr>
      </w:pPr>
      <w:r>
        <w:rPr>
          <w:rFonts w:cs="Times New Roman" w:ascii="Times New Roman" w:hAnsi="Times New Roman"/>
          <w:bCs/>
          <w:lang w:val="kk-KZ"/>
        </w:rPr>
      </w:r>
    </w:p>
    <w:tbl>
      <w:tblPr>
        <w:tblW w:w="9498"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426"/>
        <w:gridCol w:w="3260"/>
        <w:gridCol w:w="991"/>
        <w:gridCol w:w="993"/>
        <w:gridCol w:w="991"/>
        <w:gridCol w:w="994"/>
        <w:gridCol w:w="991"/>
        <w:gridCol w:w="850"/>
      </w:tblGrid>
      <w:tr>
        <w:trPr>
          <w:trHeight w:val="2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Name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1</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2</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3</w:t>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4</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5</w:t>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6</w:t>
            </w:r>
          </w:p>
        </w:tc>
      </w:tr>
      <w:tr>
        <w:trPr>
          <w:trHeight w:val="151"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rPr>
              <w:t>Average score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r>
      <w:tr>
        <w:trPr>
          <w:trHeight w:val="153"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rPr>
              <w:t>Cultural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,216**</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r>
      <w:tr>
        <w:trPr>
          <w:trHeight w:val="172"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3</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rPr>
              <w:t>Metacognitive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,178**</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,700**</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r>
      <w:tr>
        <w:trPr>
          <w:trHeight w:val="203"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4</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rPr>
              <w:t>Cognitive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,035</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,684**</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,310**</w:t>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r>
      <w:tr>
        <w:trPr>
          <w:trHeight w:val="20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5</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rPr>
              <w:t>Motivational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,185**</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,752**</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,451**</w:t>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,278**</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r>
          </w:p>
        </w:tc>
      </w:tr>
      <w:tr>
        <w:trPr>
          <w:trHeight w:val="97"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6</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rPr>
              <w:t>Behavioral intelligence</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,217**</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,721**</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,241**</w:t>
            </w:r>
          </w:p>
        </w:tc>
        <w:tc>
          <w:tcPr>
            <w:tcW w:w="994"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,362**</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,441**</w:t>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lang w:val="kk-KZ"/>
              </w:rPr>
              <w:t>1</w:t>
            </w:r>
          </w:p>
        </w:tc>
      </w:tr>
      <w:tr>
        <w:trPr>
          <w:trHeight w:val="116" w:hRule="atLeast"/>
        </w:trPr>
        <w:tc>
          <w:tcPr>
            <w:tcW w:w="9496" w:type="dxa"/>
            <w:gridSpan w:val="8"/>
            <w:tcBorders>
              <w:top w:val="single" w:sz="4" w:space="0" w:color="000000"/>
              <w:left w:val="single" w:sz="4" w:space="0" w:color="000000"/>
              <w:bottom w:val="single" w:sz="4" w:space="0" w:color="000000"/>
              <w:right w:val="single" w:sz="4" w:space="0" w:color="000000"/>
            </w:tcBorders>
          </w:tcPr>
          <w:p>
            <w:pPr>
              <w:pStyle w:val="Normal"/>
              <w:spacing w:before="0" w:after="160"/>
              <w:ind w:right="3"/>
              <w:rPr>
                <w:rFonts w:ascii="Times New Roman" w:hAnsi="Times New Roman" w:cs="Times New Roman"/>
                <w:lang w:val="kk-KZ"/>
              </w:rPr>
            </w:pPr>
            <w:r>
              <w:rPr>
                <w:rFonts w:cs="Times New Roman" w:ascii="Times New Roman" w:hAnsi="Times New Roman"/>
                <w:i/>
                <w:lang w:val="en-US"/>
              </w:rPr>
              <w:t>Note:</w:t>
            </w:r>
            <w:r>
              <w:rPr>
                <w:rFonts w:cs="Times New Roman" w:ascii="Times New Roman" w:hAnsi="Times New Roman"/>
                <w:lang w:val="en-US"/>
              </w:rPr>
              <w:t xml:space="preserve"> Compiled by the author</w:t>
            </w:r>
          </w:p>
        </w:tc>
      </w:tr>
    </w:tbl>
    <w:p>
      <w:pPr>
        <w:pStyle w:val="Normal"/>
        <w:ind w:right="3"/>
        <w:rPr>
          <w:rFonts w:ascii="Times New Roman" w:hAnsi="Times New Roman" w:cs="Times New Roman"/>
          <w:lang w:val="kk-KZ"/>
        </w:rPr>
      </w:pPr>
      <w:r>
        <w:rPr>
          <w:rFonts w:cs="Times New Roman" w:ascii="Times New Roman" w:hAnsi="Times New Roman"/>
          <w:lang w:val="kk-KZ"/>
        </w:rPr>
        <w:t>*p&lt;0,05</w:t>
      </w:r>
    </w:p>
    <w:p>
      <w:pPr>
        <w:pStyle w:val="Normal"/>
        <w:spacing w:lineRule="auto" w:line="240" w:before="0" w:after="0"/>
        <w:ind w:right="3"/>
        <w:rPr>
          <w:rFonts w:ascii="Times New Roman" w:hAnsi="Times New Roman" w:cs="Times New Roman"/>
          <w:lang w:val="kk-KZ"/>
        </w:rPr>
      </w:pPr>
      <w:r>
        <w:rPr>
          <w:rFonts w:cs="Times New Roman" w:ascii="Times New Roman" w:hAnsi="Times New Roman"/>
          <w:lang w:val="kk-KZ"/>
        </w:rPr>
        <w:t>**p&lt;0,01</w:t>
      </w:r>
    </w:p>
    <w:p>
      <w:pPr>
        <w:pStyle w:val="Normal"/>
        <w:spacing w:lineRule="auto" w:line="240" w:before="0" w:after="0"/>
        <w:ind w:firstLine="708"/>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As can be seen from Table 4, positive and significant relationships were found between the cultural intelligence of the foreign students participating in the study and their academic performance (grade point average) in all subscales except the subscale called cognitive intelligence (p&lt;0.05). In other words, the increase in the cultural intelligence of the foreign students participating in the study also increases their grade point average (grade point average).</w:t>
      </w:r>
    </w:p>
    <w:p>
      <w:pPr>
        <w:pStyle w:val="Normal"/>
        <w:spacing w:lineRule="auto" w:line="240" w:before="0" w:after="0"/>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Another key variable used in the study was cultural adaptation and the relationship between the subscales of cultural adaptation, physical adaptation, social adaptation, and work environment adaptation, and academic performance, which were also examined through correlation analysis, and the results are summarized in Table 5 below.</w:t>
      </w:r>
    </w:p>
    <w:p>
      <w:pPr>
        <w:pStyle w:val="Normal"/>
        <w:spacing w:lineRule="auto" w:line="240" w:before="0" w:after="0"/>
        <w:rPr>
          <w:rFonts w:ascii="Times New Roman" w:hAnsi="Times New Roman" w:cs="Times New Roman"/>
          <w:spacing w:val="4"/>
          <w:lang w:val="en-US" w:eastAsia="ko-KR"/>
        </w:rPr>
      </w:pPr>
      <w:r>
        <w:rPr>
          <w:rFonts w:cs="Times New Roman" w:ascii="Times New Roman" w:hAnsi="Times New Roman"/>
          <w:spacing w:val="4"/>
          <w:lang w:val="en-US" w:eastAsia="ko-KR"/>
        </w:rPr>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lang w:val="en-US"/>
        </w:rPr>
        <w:t>Tabl</w:t>
      </w:r>
      <w:r>
        <w:rPr>
          <w:rFonts w:cs="Times New Roman" w:ascii="Times New Roman" w:hAnsi="Times New Roman"/>
          <w:b/>
        </w:rPr>
        <w:t>е</w:t>
      </w:r>
      <w:r>
        <w:rPr>
          <w:rFonts w:cs="Times New Roman" w:ascii="Times New Roman" w:hAnsi="Times New Roman"/>
          <w:b/>
          <w:lang w:val="en-US"/>
        </w:rPr>
        <w:t xml:space="preserve">- </w:t>
      </w:r>
      <w:r>
        <w:rPr>
          <w:rFonts w:cs="Times New Roman" w:ascii="Times New Roman" w:hAnsi="Times New Roman"/>
          <w:b/>
          <w:bCs/>
          <w:lang w:val="en-US"/>
        </w:rPr>
        <w:t>Results of correlation analysis regarding cultural adaptation, its subscales, and academic performance</w:t>
      </w:r>
    </w:p>
    <w:p>
      <w:pPr>
        <w:pStyle w:val="Normal"/>
        <w:spacing w:lineRule="auto" w:line="240" w:before="0" w:after="0"/>
        <w:rPr>
          <w:rFonts w:ascii="Times New Roman" w:hAnsi="Times New Roman" w:cs="Times New Roman"/>
          <w:bCs/>
          <w:lang w:val="kk-KZ"/>
        </w:rPr>
      </w:pPr>
      <w:r>
        <w:rPr>
          <w:rFonts w:cs="Times New Roman" w:ascii="Times New Roman" w:hAnsi="Times New Roman"/>
          <w:bCs/>
          <w:lang w:val="kk-KZ"/>
        </w:rPr>
      </w:r>
    </w:p>
    <w:tbl>
      <w:tblPr>
        <w:tblW w:w="9214"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425"/>
        <w:gridCol w:w="3970"/>
        <w:gridCol w:w="992"/>
        <w:gridCol w:w="991"/>
        <w:gridCol w:w="993"/>
        <w:gridCol w:w="992"/>
        <w:gridCol w:w="850"/>
      </w:tblGrid>
      <w:tr>
        <w:trPr>
          <w:trHeight w:val="210"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Name</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1</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2</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3</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4</w:t>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5</w:t>
            </w:r>
          </w:p>
        </w:tc>
      </w:tr>
      <w:tr>
        <w:trPr>
          <w:trHeight w:val="227"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1</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Average grade</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260"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2</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Cultural adaptation</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,203**</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2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3</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Physical adaptation</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,220**</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,816**</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281"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4</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Social adaptation</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,132*</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,817**</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,507**</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258"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5</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Work environment adaptation</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,160*</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,851**</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,572**</w:t>
            </w:r>
          </w:p>
        </w:tc>
        <w:tc>
          <w:tcPr>
            <w:tcW w:w="9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,510**</w:t>
            </w:r>
          </w:p>
        </w:tc>
        <w:tc>
          <w:tcPr>
            <w:tcW w:w="8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r>
      <w:tr>
        <w:trPr>
          <w:trHeight w:val="133" w:hRule="atLeast"/>
        </w:trPr>
        <w:tc>
          <w:tcPr>
            <w:tcW w:w="9213" w:type="dxa"/>
            <w:gridSpan w:val="7"/>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bidi="tr-TR"/>
              </w:rPr>
            </w:pPr>
            <w:r>
              <w:rPr>
                <w:rFonts w:cs="Times New Roman" w:ascii="Times New Roman" w:hAnsi="Times New Roman"/>
                <w:i/>
                <w:lang w:val="en-US"/>
              </w:rPr>
              <w:t>Note:</w:t>
            </w:r>
            <w:r>
              <w:rPr>
                <w:rFonts w:cs="Times New Roman" w:ascii="Times New Roman" w:hAnsi="Times New Roman"/>
                <w:lang w:val="en-US"/>
              </w:rPr>
              <w:t xml:space="preserve"> Compiled by the author</w:t>
            </w:r>
          </w:p>
        </w:tc>
      </w:tr>
    </w:tbl>
    <w:p>
      <w:pPr>
        <w:pStyle w:val="Normal"/>
        <w:ind w:right="3"/>
        <w:rPr>
          <w:rFonts w:ascii="Times New Roman" w:hAnsi="Times New Roman" w:cs="Times New Roman"/>
          <w:lang w:val="kk-KZ"/>
        </w:rPr>
      </w:pPr>
      <w:r>
        <w:rPr>
          <w:rFonts w:cs="Times New Roman" w:ascii="Times New Roman" w:hAnsi="Times New Roman"/>
          <w:lang w:val="kk-KZ"/>
        </w:rPr>
        <w:t>*p&lt;0,05</w:t>
      </w:r>
    </w:p>
    <w:p>
      <w:pPr>
        <w:pStyle w:val="Normal"/>
        <w:ind w:right="3"/>
        <w:rPr>
          <w:rFonts w:ascii="Times New Roman" w:hAnsi="Times New Roman" w:cs="Times New Roman"/>
          <w:lang w:val="kk-KZ"/>
        </w:rPr>
      </w:pPr>
      <w:r>
        <w:rPr>
          <w:rFonts w:cs="Times New Roman" w:ascii="Times New Roman" w:hAnsi="Times New Roman"/>
          <w:lang w:val="kk-KZ"/>
        </w:rPr>
        <w:t>**p&lt;0,01</w:t>
      </w:r>
    </w:p>
    <w:p>
      <w:pPr>
        <w:pStyle w:val="Normal"/>
        <w:spacing w:lineRule="auto" w:line="240"/>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en-US" w:eastAsia="ko-KR"/>
        </w:rPr>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As can be seen from Table 5, there were positive and significant relationships (p&lt;0.05) between the cultural adaptation of the foreign students participating in the study and all subscales of cultural adaptation and their academic performance (average grades). In other words, the increase in cultural adaptation of the foreign students participating in the study also increases their average grades (progress).</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In this section of the study, the relationships between cultural intelligence and its subscales and cultural adaptation and its subscales were analyzed. The results obtained as a result of the correlation analysis are summarized in Table 6.</w:t>
      </w:r>
    </w:p>
    <w:p>
      <w:pPr>
        <w:pStyle w:val="Normal"/>
        <w:spacing w:lineRule="auto" w:line="240" w:before="0" w:after="0"/>
        <w:jc w:val="both"/>
        <w:rPr>
          <w:rFonts w:ascii="Times New Roman" w:hAnsi="Times New Roman" w:cs="Times New Roman"/>
          <w:spacing w:val="4"/>
          <w:lang w:val="en-US" w:eastAsia="ko-KR"/>
        </w:rPr>
      </w:pPr>
      <w:r>
        <w:rPr>
          <w:rFonts w:cs="Times New Roman" w:ascii="Times New Roman" w:hAnsi="Times New Roman"/>
          <w:spacing w:val="4"/>
          <w:lang w:val="en-US" w:eastAsia="ko-KR"/>
        </w:rPr>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lang w:val="en-US"/>
        </w:rPr>
        <w:t xml:space="preserve">Table </w:t>
      </w:r>
      <w:r>
        <w:rPr>
          <w:rFonts w:cs="Times New Roman" w:ascii="Times New Roman" w:hAnsi="Times New Roman"/>
          <w:b/>
          <w:lang w:val="kk-KZ"/>
        </w:rPr>
        <w:t>6</w:t>
      </w:r>
      <w:r>
        <w:rPr>
          <w:rFonts w:cs="Times New Roman" w:ascii="Times New Roman" w:hAnsi="Times New Roman"/>
          <w:b/>
          <w:lang w:val="en-US"/>
        </w:rPr>
        <w:t xml:space="preserve"> - </w:t>
      </w:r>
      <w:r>
        <w:rPr>
          <w:rFonts w:cs="Times New Roman" w:ascii="Times New Roman" w:hAnsi="Times New Roman"/>
          <w:b/>
          <w:bCs/>
          <w:lang w:val="en-US"/>
        </w:rPr>
        <w:t>Correlation analysis between cultural intelligence and its subscales and cultural adaptation and its subscales</w:t>
      </w:r>
    </w:p>
    <w:p>
      <w:pPr>
        <w:pStyle w:val="Normal"/>
        <w:spacing w:lineRule="auto" w:line="240" w:before="0" w:after="0"/>
        <w:rPr>
          <w:rFonts w:ascii="Times New Roman" w:hAnsi="Times New Roman" w:cs="Times New Roman"/>
          <w:bCs/>
          <w:lang w:val="kk-KZ"/>
        </w:rPr>
      </w:pPr>
      <w:r>
        <w:rPr>
          <w:rFonts w:cs="Times New Roman" w:ascii="Times New Roman" w:hAnsi="Times New Roman"/>
          <w:bCs/>
          <w:lang w:val="kk-KZ"/>
        </w:rPr>
      </w:r>
    </w:p>
    <w:tbl>
      <w:tblPr>
        <w:tblW w:w="9386" w:type="dxa"/>
        <w:jc w:val="left"/>
        <w:tblInd w:w="-34" w:type="dxa"/>
        <w:tblLayout w:type="fixed"/>
        <w:tblCellMar>
          <w:top w:w="0" w:type="dxa"/>
          <w:left w:w="108" w:type="dxa"/>
          <w:bottom w:w="0" w:type="dxa"/>
          <w:right w:w="108" w:type="dxa"/>
        </w:tblCellMar>
        <w:tblLook w:val="01e0" w:noHBand="0" w:noVBand="0" w:firstColumn="1" w:lastRow="1" w:lastColumn="1" w:firstRow="1"/>
      </w:tblPr>
      <w:tblGrid>
        <w:gridCol w:w="426"/>
        <w:gridCol w:w="2267"/>
        <w:gridCol w:w="867"/>
        <w:gridCol w:w="707"/>
        <w:gridCol w:w="710"/>
        <w:gridCol w:w="865"/>
        <w:gridCol w:w="851"/>
        <w:gridCol w:w="851"/>
        <w:gridCol w:w="693"/>
        <w:gridCol w:w="582"/>
        <w:gridCol w:w="565"/>
      </w:tblGrid>
      <w:tr>
        <w:trPr>
          <w:trHeight w:val="227"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Name</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1</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2</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3</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4</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5</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6</w:t>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7</w:t>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8</w:t>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lang w:val="kk-KZ"/>
              </w:rPr>
            </w:pPr>
            <w:r>
              <w:rPr>
                <w:rFonts w:cs="Times New Roman" w:ascii="Times New Roman" w:hAnsi="Times New Roman"/>
                <w:b/>
                <w:lang w:val="kk-KZ"/>
              </w:rPr>
              <w:t>9</w:t>
            </w:r>
          </w:p>
        </w:tc>
      </w:tr>
      <w:tr>
        <w:trPr>
          <w:trHeight w:val="260"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1</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Cultural Intelligence</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263"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2</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Cultural Adaptation</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,339**</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282"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3</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Metacognitive Intelligence</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,700**</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,173**</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41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4</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Cognitive Intelligence</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,684**</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,311**</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,310**</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rPr>
            </w:pPr>
            <w:r>
              <w:rPr>
                <w:rFonts w:cs="Times New Roman" w:ascii="Times New Roman" w:hAnsi="Times New Roman"/>
                <w:lang w:val="kk-KZ"/>
              </w:rPr>
            </w:r>
          </w:p>
        </w:tc>
      </w:tr>
      <w:tr>
        <w:trPr>
          <w:trHeight w:val="41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5</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Motivational Intelligence</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,752**</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,219**</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,451**</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,278**</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r>
      <w:tr>
        <w:trPr>
          <w:trHeight w:val="41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6</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Behavioral Intelligence</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,721**</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,266**</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,241**</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,362**</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,441**</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r>
      <w:tr>
        <w:trPr>
          <w:trHeight w:val="41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7</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rPr>
              <w:t>Physical Adaptation</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,298**</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,816**</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,173**</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,238**</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,174**</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lang w:val="kk-KZ" w:bidi="tr-TR"/>
              </w:rPr>
            </w:pPr>
            <w:r>
              <w:rPr>
                <w:rFonts w:cs="Times New Roman" w:ascii="Times New Roman" w:hAnsi="Times New Roman"/>
                <w:lang w:val="kk-KZ" w:bidi="tr-TR"/>
              </w:rPr>
              <w:t>,262*</w:t>
            </w:r>
          </w:p>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w:t>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r>
      <w:tr>
        <w:trPr>
          <w:trHeight w:val="41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8</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Social Adaptation</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,271**</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,817**</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,111*</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,260**</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,180**</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lang w:val="kk-KZ" w:bidi="tr-TR"/>
              </w:rPr>
            </w:pPr>
            <w:r>
              <w:rPr>
                <w:rFonts w:cs="Times New Roman" w:ascii="Times New Roman" w:hAnsi="Times New Roman"/>
                <w:lang w:val="kk-KZ" w:bidi="tr-TR"/>
              </w:rPr>
              <w:t>,222*</w:t>
            </w:r>
          </w:p>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w:t>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lang w:val="kk-KZ" w:bidi="tr-TR"/>
              </w:rPr>
            </w:pPr>
            <w:r>
              <w:rPr>
                <w:rFonts w:cs="Times New Roman" w:ascii="Times New Roman" w:hAnsi="Times New Roman"/>
                <w:lang w:val="kk-KZ" w:bidi="tr-TR"/>
              </w:rPr>
              <w:t>,507*</w:t>
            </w:r>
          </w:p>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w:t>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r>
          </w:p>
        </w:tc>
      </w:tr>
      <w:tr>
        <w:trPr>
          <w:trHeight w:val="41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9</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Work Environment Adaptation</w:t>
            </w:r>
          </w:p>
        </w:tc>
        <w:tc>
          <w:tcPr>
            <w:tcW w:w="8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,278**</w:t>
            </w:r>
          </w:p>
        </w:tc>
        <w:tc>
          <w:tcPr>
            <w:tcW w:w="7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,851**</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,149*</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,272**</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,188**</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lang w:val="kk-KZ" w:bidi="tr-TR"/>
              </w:rPr>
            </w:pPr>
            <w:r>
              <w:rPr>
                <w:rFonts w:cs="Times New Roman" w:ascii="Times New Roman" w:hAnsi="Times New Roman"/>
                <w:lang w:val="kk-KZ" w:bidi="tr-TR"/>
              </w:rPr>
              <w:t>,185*</w:t>
            </w:r>
          </w:p>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w:t>
            </w:r>
          </w:p>
        </w:tc>
        <w:tc>
          <w:tcPr>
            <w:tcW w:w="693"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lang w:val="kk-KZ" w:bidi="tr-TR"/>
              </w:rPr>
            </w:pPr>
            <w:r>
              <w:rPr>
                <w:rFonts w:cs="Times New Roman" w:ascii="Times New Roman" w:hAnsi="Times New Roman"/>
                <w:lang w:val="kk-KZ" w:bidi="tr-TR"/>
              </w:rPr>
              <w:t>,572*</w:t>
            </w:r>
          </w:p>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w:t>
            </w:r>
          </w:p>
        </w:tc>
        <w:tc>
          <w:tcPr>
            <w:tcW w:w="582"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Times New Roman" w:hAnsi="Times New Roman" w:cs="Times New Roman"/>
                <w:lang w:val="kk-KZ" w:bidi="tr-TR"/>
              </w:rPr>
            </w:pPr>
            <w:r>
              <w:rPr>
                <w:rFonts w:cs="Times New Roman" w:ascii="Times New Roman" w:hAnsi="Times New Roman"/>
                <w:lang w:val="kk-KZ" w:bidi="tr-TR"/>
              </w:rPr>
              <w:t>,510</w:t>
            </w:r>
          </w:p>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w:t>
            </w:r>
          </w:p>
        </w:tc>
        <w:tc>
          <w:tcPr>
            <w:tcW w:w="5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w:t>
            </w:r>
          </w:p>
        </w:tc>
      </w:tr>
      <w:tr>
        <w:trPr>
          <w:trHeight w:val="286" w:hRule="atLeast"/>
        </w:trPr>
        <w:tc>
          <w:tcPr>
            <w:tcW w:w="9384" w:type="dxa"/>
            <w:gridSpan w:val="11"/>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bidi="tr-TR"/>
              </w:rPr>
            </w:pPr>
            <w:r>
              <w:rPr>
                <w:rFonts w:cs="Times New Roman" w:ascii="Times New Roman" w:hAnsi="Times New Roman"/>
                <w:i/>
                <w:lang w:val="en-US"/>
              </w:rPr>
              <w:t>Note:</w:t>
            </w:r>
            <w:r>
              <w:rPr>
                <w:rFonts w:cs="Times New Roman" w:ascii="Times New Roman" w:hAnsi="Times New Roman"/>
                <w:lang w:val="en-US"/>
              </w:rPr>
              <w:t xml:space="preserve"> Compiled by the author</w:t>
            </w:r>
          </w:p>
        </w:tc>
      </w:tr>
    </w:tbl>
    <w:p>
      <w:pPr>
        <w:pStyle w:val="Normal"/>
        <w:ind w:right="3"/>
        <w:rPr>
          <w:rFonts w:ascii="Times New Roman" w:hAnsi="Times New Roman" w:cs="Times New Roman"/>
          <w:lang w:val="kk-KZ"/>
        </w:rPr>
      </w:pPr>
      <w:r>
        <w:rPr>
          <w:rFonts w:cs="Times New Roman" w:ascii="Times New Roman" w:hAnsi="Times New Roman"/>
          <w:lang w:val="kk-KZ"/>
        </w:rPr>
        <w:t>*p&lt;0,05</w:t>
      </w:r>
    </w:p>
    <w:p>
      <w:pPr>
        <w:pStyle w:val="Normal"/>
        <w:ind w:right="3"/>
        <w:rPr>
          <w:rFonts w:ascii="Times New Roman" w:hAnsi="Times New Roman" w:cs="Times New Roman"/>
          <w:lang w:val="kk-KZ"/>
        </w:rPr>
      </w:pPr>
      <w:r>
        <w:rPr>
          <w:rFonts w:cs="Times New Roman" w:ascii="Times New Roman" w:hAnsi="Times New Roman"/>
          <w:lang w:val="kk-KZ"/>
        </w:rPr>
        <w:t>**p&lt;0,01</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As can be seen from Table 6, positive and significant relationships were also found between cultural intelligence and all its subscales and cultural adaptation and all its subscales (p&lt;0.05).</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The information obtained after the structural model analysis performed with the AMOS program to test the main hypotheses of the study is shown in Table 7.</w:t>
      </w:r>
    </w:p>
    <w:p>
      <w:pPr>
        <w:pStyle w:val="Normal"/>
        <w:spacing w:lineRule="auto" w:line="240" w:before="0" w:after="0"/>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en-US" w:eastAsia="ko-KR"/>
        </w:rPr>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lang w:val="en-US"/>
        </w:rPr>
        <w:t xml:space="preserve">Table </w:t>
      </w:r>
      <w:r>
        <w:rPr>
          <w:rFonts w:cs="Times New Roman" w:ascii="Times New Roman" w:hAnsi="Times New Roman"/>
          <w:b/>
          <w:lang w:val="kk-KZ"/>
        </w:rPr>
        <w:t>7</w:t>
      </w:r>
      <w:r>
        <w:rPr>
          <w:rFonts w:cs="Times New Roman" w:ascii="Times New Roman" w:hAnsi="Times New Roman"/>
          <w:b/>
          <w:lang w:val="en-US"/>
        </w:rPr>
        <w:t xml:space="preserve"> - </w:t>
      </w:r>
      <w:r>
        <w:rPr>
          <w:rFonts w:cs="Times New Roman" w:ascii="Times New Roman" w:hAnsi="Times New Roman"/>
          <w:b/>
          <w:bCs/>
          <w:lang w:val="en-US"/>
        </w:rPr>
        <w:t>Relationships and coefficients in a structural model</w:t>
      </w:r>
    </w:p>
    <w:p>
      <w:pPr>
        <w:pStyle w:val="Normal"/>
        <w:spacing w:lineRule="auto" w:line="240" w:before="0" w:after="0"/>
        <w:jc w:val="center"/>
        <w:rPr>
          <w:b/>
          <w:bCs/>
          <w:lang w:val="kk-KZ"/>
        </w:rPr>
      </w:pPr>
      <w:r>
        <w:rPr>
          <w:b/>
          <w:bCs/>
          <w:lang w:val="kk-KZ"/>
        </w:rPr>
      </w:r>
    </w:p>
    <w:tbl>
      <w:tblPr>
        <w:tblW w:w="8505"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133"/>
        <w:gridCol w:w="710"/>
        <w:gridCol w:w="2268"/>
        <w:gridCol w:w="1418"/>
        <w:gridCol w:w="1275"/>
        <w:gridCol w:w="851"/>
        <w:gridCol w:w="849"/>
      </w:tblGrid>
      <w:tr>
        <w:trPr>
          <w:trHeight w:val="412"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lang w:val="kk-KZ"/>
              </w:rPr>
            </w:pPr>
            <w:r>
              <w:rPr>
                <w:rFonts w:cs="Times New Roman" w:ascii="Times New Roman" w:hAnsi="Times New Roman"/>
                <w:b/>
                <w:lang w:val="kk-KZ"/>
              </w:rPr>
              <w:t>Prediction coefficient</w:t>
            </w:r>
          </w:p>
        </w:tc>
        <w:tc>
          <w:tcPr>
            <w:tcW w:w="12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lang w:val="kk-KZ"/>
              </w:rPr>
            </w:pPr>
            <w:r>
              <w:rPr>
                <w:rFonts w:cs="Times New Roman" w:ascii="Times New Roman" w:hAnsi="Times New Roman"/>
                <w:b/>
                <w:lang w:val="kk-KZ"/>
              </w:rPr>
              <w:t>Standard error</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lang w:val="kk-KZ"/>
              </w:rPr>
            </w:pPr>
            <w:r>
              <w:rPr>
                <w:rFonts w:cs="Times New Roman" w:ascii="Times New Roman" w:hAnsi="Times New Roman"/>
                <w:b/>
                <w:lang w:val="kk-KZ"/>
              </w:rPr>
              <w:t>C.R.</w:t>
            </w:r>
          </w:p>
        </w:tc>
        <w:tc>
          <w:tcPr>
            <w:tcW w:w="8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b/>
                <w:lang w:val="kk-KZ"/>
              </w:rPr>
            </w:pPr>
            <w:r>
              <w:rPr>
                <w:rFonts w:cs="Times New Roman" w:ascii="Times New Roman" w:hAnsi="Times New Roman"/>
                <w:b/>
                <w:lang w:val="kk-KZ"/>
              </w:rPr>
              <w:t>P</w:t>
            </w:r>
          </w:p>
        </w:tc>
      </w:tr>
      <w:tr>
        <w:trPr>
          <w:trHeight w:val="407"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bidi="tr-TR"/>
              </w:rPr>
            </w:pPr>
            <w:r>
              <w:rPr>
                <w:rFonts w:cs="Times New Roman" w:ascii="Times New Roman" w:hAnsi="Times New Roman"/>
              </w:rPr>
              <w:t>Average grade</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&lt;---</w:t>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Cultural Intelligence</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,306</w:t>
            </w:r>
          </w:p>
        </w:tc>
        <w:tc>
          <w:tcPr>
            <w:tcW w:w="12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,119</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2,561</w:t>
            </w:r>
          </w:p>
        </w:tc>
        <w:tc>
          <w:tcPr>
            <w:tcW w:w="8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,010</w:t>
            </w:r>
          </w:p>
        </w:tc>
      </w:tr>
      <w:tr>
        <w:trPr>
          <w:trHeight w:val="410"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bidi="tr-TR"/>
              </w:rPr>
            </w:pPr>
            <w:r>
              <w:rPr>
                <w:rFonts w:cs="Times New Roman" w:ascii="Times New Roman" w:hAnsi="Times New Roman"/>
              </w:rPr>
              <w:t>Average grade</w:t>
            </w:r>
          </w:p>
        </w:tc>
        <w:tc>
          <w:tcPr>
            <w:tcW w:w="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rPr>
            </w:pPr>
            <w:r>
              <w:rPr>
                <w:rFonts w:cs="Times New Roman" w:ascii="Times New Roman" w:hAnsi="Times New Roman"/>
                <w:lang w:val="kk-KZ"/>
              </w:rPr>
              <w:t>&lt;---</w:t>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rPr>
            </w:pPr>
            <w:r>
              <w:rPr>
                <w:rFonts w:cs="Times New Roman" w:ascii="Times New Roman" w:hAnsi="Times New Roman"/>
              </w:rPr>
              <w:t>Cultural Adaptation</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,233</w:t>
            </w:r>
          </w:p>
        </w:tc>
        <w:tc>
          <w:tcPr>
            <w:tcW w:w="127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,103</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2,266</w:t>
            </w:r>
          </w:p>
        </w:tc>
        <w:tc>
          <w:tcPr>
            <w:tcW w:w="8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jc w:val="center"/>
              <w:rPr>
                <w:rFonts w:ascii="Times New Roman" w:hAnsi="Times New Roman" w:cs="Times New Roman"/>
                <w:lang w:val="kk-KZ" w:bidi="tr-TR"/>
              </w:rPr>
            </w:pPr>
            <w:r>
              <w:rPr>
                <w:rFonts w:cs="Times New Roman" w:ascii="Times New Roman" w:hAnsi="Times New Roman"/>
                <w:lang w:val="kk-KZ" w:bidi="tr-TR"/>
              </w:rPr>
              <w:t>,023</w:t>
            </w:r>
          </w:p>
        </w:tc>
      </w:tr>
      <w:tr>
        <w:trPr>
          <w:trHeight w:val="410" w:hRule="atLeast"/>
        </w:trPr>
        <w:tc>
          <w:tcPr>
            <w:tcW w:w="8504" w:type="dxa"/>
            <w:gridSpan w:val="7"/>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ascii="Times New Roman" w:hAnsi="Times New Roman" w:cs="Times New Roman"/>
                <w:lang w:val="kk-KZ" w:bidi="tr-TR"/>
              </w:rPr>
            </w:pPr>
            <w:r>
              <w:rPr>
                <w:rFonts w:cs="Times New Roman" w:ascii="Times New Roman" w:hAnsi="Times New Roman"/>
                <w:i/>
                <w:lang w:val="en-US"/>
              </w:rPr>
              <w:t>Note:</w:t>
            </w:r>
            <w:r>
              <w:rPr>
                <w:rFonts w:cs="Times New Roman" w:ascii="Times New Roman" w:hAnsi="Times New Roman"/>
                <w:lang w:val="en-US"/>
              </w:rPr>
              <w:t xml:space="preserve"> Compiled by the author</w:t>
            </w:r>
            <w:r>
              <w:rPr>
                <w:rFonts w:cs="Times New Roman" w:ascii="Times New Roman" w:hAnsi="Times New Roman"/>
                <w:lang w:val="kk-KZ"/>
              </w:rPr>
              <w:t xml:space="preserve"> </w:t>
            </w:r>
          </w:p>
        </w:tc>
      </w:tr>
    </w:tbl>
    <w:p>
      <w:pPr>
        <w:pStyle w:val="Normal"/>
        <w:spacing w:lineRule="auto" w:line="240"/>
        <w:rPr>
          <w:spacing w:val="4"/>
          <w:lang w:val="en-US" w:eastAsia="ko-KR"/>
        </w:rPr>
      </w:pPr>
      <w:r>
        <w:rPr>
          <w:spacing w:val="4"/>
          <w:lang w:val="en-US" w:eastAsia="ko-KR"/>
        </w:rPr>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As shown in Table 7, the analysis revealed a significant relationship (effect) between all variables at the p&lt;0.05 significance level. The analysis revealed a positive and significant relationship (ß=0.306) between cultural intelligence and academic performance (average grade) and a positive and significant relationship (ß=0.233) between cultural adaptation and academic performance (average grade). In other words, the main hypotheses of the study, H</w:t>
      </w:r>
      <w:r>
        <w:rPr>
          <w:rFonts w:cs="Times New Roman" w:ascii="Times New Roman" w:hAnsi="Times New Roman"/>
          <w:spacing w:val="4"/>
          <w:sz w:val="24"/>
          <w:szCs w:val="24"/>
          <w:vertAlign w:val="subscript"/>
          <w:lang w:val="kk-KZ" w:eastAsia="ko-KR"/>
        </w:rPr>
        <w:t>1</w:t>
      </w:r>
      <w:r>
        <w:rPr>
          <w:rFonts w:cs="Times New Roman" w:ascii="Times New Roman" w:hAnsi="Times New Roman"/>
          <w:spacing w:val="4"/>
          <w:sz w:val="24"/>
          <w:szCs w:val="24"/>
          <w:lang w:val="kk-KZ" w:eastAsia="ko-KR"/>
        </w:rPr>
        <w:t xml:space="preserve"> and H</w:t>
      </w:r>
      <w:r>
        <w:rPr>
          <w:rFonts w:cs="Times New Roman" w:ascii="Times New Roman" w:hAnsi="Times New Roman"/>
          <w:spacing w:val="4"/>
          <w:sz w:val="24"/>
          <w:szCs w:val="24"/>
          <w:vertAlign w:val="subscript"/>
          <w:lang w:val="kk-KZ" w:eastAsia="ko-KR"/>
        </w:rPr>
        <w:t>2</w:t>
      </w:r>
      <w:r>
        <w:rPr>
          <w:rFonts w:cs="Times New Roman" w:ascii="Times New Roman" w:hAnsi="Times New Roman"/>
          <w:spacing w:val="4"/>
          <w:sz w:val="24"/>
          <w:szCs w:val="24"/>
          <w:lang w:val="kk-KZ" w:eastAsia="ko-KR"/>
        </w:rPr>
        <w:t xml:space="preserve">, were accepted. </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b/>
          <w:sz w:val="24"/>
          <w:szCs w:val="24"/>
          <w:lang w:val="en-US"/>
        </w:rPr>
        <w:t>Results and discussion.</w:t>
      </w:r>
      <w:r>
        <w:rPr>
          <w:rFonts w:cs="Times New Roman" w:ascii="Times New Roman" w:hAnsi="Times New Roman"/>
          <w:sz w:val="24"/>
          <w:szCs w:val="24"/>
          <w:lang w:val="en-US"/>
        </w:rPr>
        <w:t xml:space="preserve"> </w:t>
      </w:r>
      <w:r>
        <w:rPr>
          <w:rFonts w:cs="Times New Roman" w:ascii="Times New Roman" w:hAnsi="Times New Roman"/>
          <w:spacing w:val="4"/>
          <w:sz w:val="24"/>
          <w:szCs w:val="24"/>
          <w:lang w:val="kk-KZ" w:eastAsia="ko-KR"/>
        </w:rPr>
        <w:t xml:space="preserve">In general, this research paper examined in detail the concepts of cultural intelligence and cultural adaptation, which can be used as a new strategy for managing differences in intercultural communication. In other words, this work was conducted to identify and explain the relationship between cultural intelligence, which is a new concept in the field of intercultural communication and adaptation, and cultural adaptation on academic performance. The results of this study showed how important the concepts of cultural intelligence and cultural adaptation are. Also, as a result of the study, we can say that in order to successfully establish and successfully continue intercultural communication, it is necessary to develop and effectively use the phenomenon of cultural intelligence. People with high cultural intelligence can easily solve problems that may arise from different cultures and successfully conduct the processes arising from such interactions. In the future, people who will succeed in different cultures will be those who increase their levels of cultural intelligence. </w:t>
      </w:r>
      <w:r>
        <w:rPr>
          <w:rFonts w:cs="Times New Roman" w:ascii="Times New Roman" w:hAnsi="Times New Roman"/>
          <w:spacing w:val="4"/>
          <w:sz w:val="24"/>
          <w:szCs w:val="24"/>
          <w:lang w:val="en-US" w:eastAsia="ko-KR"/>
        </w:rPr>
        <w:t xml:space="preserve">  </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en-US" w:eastAsia="ko-KR"/>
        </w:rPr>
        <w:t xml:space="preserve">  </w:t>
      </w:r>
      <w:r>
        <w:rPr>
          <w:rFonts w:cs="Times New Roman" w:ascii="Times New Roman" w:hAnsi="Times New Roman"/>
          <w:spacing w:val="4"/>
          <w:sz w:val="24"/>
          <w:szCs w:val="24"/>
          <w:lang w:val="kk-KZ" w:eastAsia="ko-KR"/>
        </w:rPr>
        <w:t>For this reason, people should effectively master and use the phenomenon of cultural intelligence. Therefore, this research paper is an important resource or scientific literature, because it expands the concept of cultural intelligence, which is a new concept in the literature, and widely reveals the impact of the concepts of academic performance and cultural adaptation on cultural intelligence.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If we focus on the results of the study individually, it was found that the cultural intelligence and cultural adaptation of the foreign students who participated in the study were above average. In general, it was also observed that the cultural intelligence levels of the participants were higher than their cultural adaptation levels. In addition, it was found that the participants had high levels of metacognitive intelligence, while their cognitive intelligence levels were relatively low. It was also observed that all subscales of cultural adaptation were at the same level.</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However, positive and significant relationships were found between the cultural intelligence of the foreign students who participated in the study and their academic performance (average grades) in all subscales except the subscale called cognitive intelligence (p&lt;0.05). In other words, an increase in the cultural intelligence of the foreign students who participated in the study also increases their average grades (progress). However, a positive and significant relationship was found between the cultural adaptation of the foreign students participating in the study and all subscales of cultural adaptation and their academic performance (grade point average) (p&lt;0.05). In other words, the increase in the cultural adaptation of the foreign students participating in the study also increases their grade point average (progress).</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The overall analysis revealed a positive and significant relationship (ß=0.306) between cultural intelligence and academic performance (average grade) and a positive and significant relationship (ß=0.233) between cultural adaptation and academic performance (average grade). In other words, the main hypotheses of the study, H1 and H2, were accepted.</w:t>
      </w:r>
    </w:p>
    <w:p>
      <w:pPr>
        <w:pStyle w:val="Normal"/>
        <w:spacing w:lineRule="auto" w:line="240" w:before="0" w:after="0"/>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It was also noted that the results obtained were consistent with the results of previous similar studies. Therefore, the results of this study will guide future research in the field of cultural intelligence and provide the following recommendations:</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 </w:t>
      </w:r>
      <w:r>
        <w:rPr>
          <w:rFonts w:cs="Times New Roman" w:ascii="Times New Roman" w:hAnsi="Times New Roman"/>
          <w:spacing w:val="4"/>
          <w:sz w:val="24"/>
          <w:szCs w:val="24"/>
          <w:lang w:val="en-US" w:eastAsia="ko-KR"/>
        </w:rPr>
        <w:t>i</w:t>
      </w:r>
      <w:r>
        <w:rPr>
          <w:rFonts w:cs="Times New Roman" w:ascii="Times New Roman" w:hAnsi="Times New Roman"/>
          <w:spacing w:val="4"/>
          <w:sz w:val="24"/>
          <w:szCs w:val="24"/>
          <w:lang w:val="kk-KZ" w:eastAsia="ko-KR"/>
        </w:rPr>
        <w:t>ndividuals will be more effective in adapting to cultural differences outside their own culture when interacting with people from that culture.</w:t>
      </w:r>
    </w:p>
    <w:p>
      <w:pPr>
        <w:pStyle w:val="Normal"/>
        <w:spacing w:lineRule="auto" w:line="240" w:before="0" w:after="0"/>
        <w:ind w:firstLine="708"/>
        <w:jc w:val="both"/>
        <w:rPr>
          <w:rFonts w:ascii="Times New Roman" w:hAnsi="Times New Roman" w:cs="Times New Roman"/>
          <w:spacing w:val="4"/>
          <w:sz w:val="24"/>
          <w:szCs w:val="24"/>
          <w:lang w:val="kk-KZ" w:eastAsia="ko-KR"/>
        </w:rPr>
      </w:pPr>
      <w:r>
        <w:rPr>
          <w:rFonts w:cs="Times New Roman" w:ascii="Times New Roman" w:hAnsi="Times New Roman"/>
          <w:spacing w:val="4"/>
          <w:sz w:val="24"/>
          <w:szCs w:val="24"/>
          <w:lang w:val="kk-KZ" w:eastAsia="ko-KR"/>
        </w:rPr>
        <w:t xml:space="preserve">- </w:t>
      </w:r>
      <w:r>
        <w:rPr>
          <w:rFonts w:cs="Times New Roman" w:ascii="Times New Roman" w:hAnsi="Times New Roman"/>
          <w:spacing w:val="4"/>
          <w:sz w:val="24"/>
          <w:szCs w:val="24"/>
          <w:lang w:val="en-US" w:eastAsia="ko-KR"/>
        </w:rPr>
        <w:t>a</w:t>
      </w:r>
      <w:r>
        <w:rPr>
          <w:rFonts w:cs="Times New Roman" w:ascii="Times New Roman" w:hAnsi="Times New Roman"/>
          <w:spacing w:val="4"/>
          <w:sz w:val="24"/>
          <w:szCs w:val="24"/>
          <w:lang w:val="kk-KZ" w:eastAsia="ko-KR"/>
        </w:rPr>
        <w:t>n important element in intercultural interaction and an important factor in ensuring successful integration is the language knowledge of that culture. For this reason, participants should be fluent in the language of the culture they live in.</w:t>
      </w:r>
    </w:p>
    <w:p>
      <w:pPr>
        <w:pStyle w:val="Normal"/>
        <w:spacing w:lineRule="auto" w:line="240" w:before="0" w:after="0"/>
        <w:ind w:firstLine="708"/>
        <w:jc w:val="both"/>
        <w:rPr>
          <w:rFonts w:ascii="Times New Roman" w:hAnsi="Times New Roman" w:cs="Times New Roman"/>
          <w:spacing w:val="4"/>
          <w:sz w:val="24"/>
          <w:szCs w:val="24"/>
          <w:lang w:val="en-US" w:eastAsia="ko-KR"/>
        </w:rPr>
      </w:pPr>
      <w:r>
        <w:rPr>
          <w:rFonts w:cs="Times New Roman" w:ascii="Times New Roman" w:hAnsi="Times New Roman"/>
          <w:spacing w:val="4"/>
          <w:sz w:val="24"/>
          <w:szCs w:val="24"/>
          <w:lang w:val="kk-KZ" w:eastAsia="ko-KR"/>
        </w:rPr>
        <w:t xml:space="preserve">- </w:t>
      </w:r>
      <w:r>
        <w:rPr>
          <w:rFonts w:cs="Times New Roman" w:ascii="Times New Roman" w:hAnsi="Times New Roman"/>
          <w:spacing w:val="4"/>
          <w:sz w:val="24"/>
          <w:szCs w:val="24"/>
          <w:lang w:val="en-US" w:eastAsia="ko-KR"/>
        </w:rPr>
        <w:t>f</w:t>
      </w:r>
      <w:r>
        <w:rPr>
          <w:rFonts w:cs="Times New Roman" w:ascii="Times New Roman" w:hAnsi="Times New Roman"/>
          <w:spacing w:val="4"/>
          <w:sz w:val="24"/>
          <w:szCs w:val="24"/>
          <w:lang w:val="kk-KZ" w:eastAsia="ko-KR"/>
        </w:rPr>
        <w:t>uture studies can investigate the impact of cultural intelligence on an individual's personality and how people's presence in different cultural environments can affect their personality. Therefore, in future studies, the dimensions of cultural intelligence can be considered separately.</w:t>
      </w:r>
    </w:p>
    <w:p>
      <w:pPr>
        <w:pStyle w:val="Normal"/>
        <w:spacing w:lineRule="auto" w:line="240" w:before="0" w:after="0"/>
        <w:ind w:firstLine="708"/>
        <w:jc w:val="both"/>
        <w:rPr>
          <w:rFonts w:ascii="Times New Roman" w:hAnsi="Times New Roman" w:eastAsia="Times New Roman" w:cs="Times New Roman"/>
          <w:sz w:val="24"/>
          <w:szCs w:val="24"/>
          <w:lang w:val="en-US"/>
        </w:rPr>
      </w:pPr>
      <w:r>
        <w:rPr>
          <w:rFonts w:eastAsia="Times New Roman" w:cs="Times New Roman" w:ascii="Times New Roman" w:hAnsi="Times New Roman"/>
          <w:b/>
          <w:sz w:val="24"/>
          <w:szCs w:val="24"/>
          <w:lang w:val="en-US"/>
        </w:rPr>
        <w:t>Conclusion.</w:t>
      </w:r>
      <w:r>
        <w:rPr>
          <w:rFonts w:eastAsia="Times New Roman" w:cs="Times New Roman" w:ascii="Times New Roman" w:hAnsi="Times New Roman"/>
          <w:b/>
          <w:color w:val="FF0000"/>
          <w:sz w:val="24"/>
          <w:szCs w:val="24"/>
          <w:lang w:val="en-US"/>
        </w:rPr>
        <w:t xml:space="preserve"> </w:t>
      </w:r>
      <w:r>
        <w:rPr>
          <w:rFonts w:eastAsia="Times New Roman" w:cs="Times New Roman" w:ascii="Times New Roman" w:hAnsi="Times New Roman"/>
          <w:sz w:val="24"/>
          <w:szCs w:val="24"/>
          <w:lang w:val="en-US"/>
        </w:rPr>
        <w:t>This study empirically examined the effect of cultural intelligence and cultural adaptation on the academic performance of international students studying at Khoja Akhmet Yassawi International Kazakh-Turkish University. The findings demonstrate that cultural intelligence</w:t>
      </w:r>
      <w:r>
        <w:rPr>
          <w:rFonts w:eastAsia="Times New Roman" w:cs="Times New Roman" w:ascii="Times New Roman" w:hAnsi="Times New Roman"/>
          <w:sz w:val="24"/>
          <w:szCs w:val="24"/>
          <w:lang w:val="kk-KZ"/>
        </w:rPr>
        <w:t xml:space="preserve"> - </w:t>
      </w:r>
      <w:r>
        <w:rPr>
          <w:rFonts w:eastAsia="Times New Roman" w:cs="Times New Roman" w:ascii="Times New Roman" w:hAnsi="Times New Roman"/>
          <w:sz w:val="24"/>
          <w:szCs w:val="24"/>
          <w:lang w:val="en-US"/>
        </w:rPr>
        <w:t>particularly its metacognitive and motivational dimensions</w:t>
      </w:r>
      <w:r>
        <w:rPr>
          <w:rFonts w:eastAsia="Times New Roman" w:cs="Times New Roman" w:ascii="Times New Roman" w:hAnsi="Times New Roman"/>
          <w:sz w:val="24"/>
          <w:szCs w:val="24"/>
          <w:lang w:val="kk-KZ"/>
        </w:rPr>
        <w:t xml:space="preserve"> - </w:t>
      </w:r>
      <w:r>
        <w:rPr>
          <w:rFonts w:eastAsia="Times New Roman" w:cs="Times New Roman" w:ascii="Times New Roman" w:hAnsi="Times New Roman"/>
          <w:sz w:val="24"/>
          <w:szCs w:val="24"/>
          <w:lang w:val="en-US"/>
        </w:rPr>
        <w:t>serves as a strong predictor of students’ academic success, whereas the cognitive dimension shows a comparatively weaker influence. Similarly, adaptation to the physical, social, and academic/work environment emerged as a significant determinant of academic outcomes, indicating that adjustment challenges extend beyond cultural knowledge and encompass students’ everyday interactions, emotional comfort, and integration into the learning ecosystem.</w:t>
      </w:r>
    </w:p>
    <w:p>
      <w:pPr>
        <w:pStyle w:val="Normal"/>
        <w:spacing w:lineRule="auto" w:line="240" w:before="0" w:after="0"/>
        <w:ind w:firstLine="708"/>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These results are broadly consistent with previous studies emphasizing the critical role of cultural adaptation in educational attainment. For instance, research by Earley &amp;</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lang w:val="en-US"/>
        </w:rPr>
        <w:t>Mosakowski (</w:t>
      </w:r>
      <w:r>
        <w:rPr>
          <w:rFonts w:eastAsia="Times New Roman" w:cs="Times New Roman" w:ascii="Times New Roman" w:hAnsi="Times New Roman"/>
          <w:sz w:val="24"/>
          <w:szCs w:val="24"/>
          <w:lang w:val="kk-KZ"/>
        </w:rPr>
        <w:t>2004</w:t>
      </w:r>
      <w:r>
        <w:rPr>
          <w:rFonts w:eastAsia="Times New Roman" w:cs="Times New Roman" w:ascii="Times New Roman" w:hAnsi="Times New Roman"/>
          <w:sz w:val="24"/>
          <w:szCs w:val="24"/>
          <w:lang w:val="en-US"/>
        </w:rPr>
        <w:t xml:space="preserve">) </w:t>
      </w:r>
      <w:r>
        <w:rPr>
          <w:rFonts w:cs="Times New Roman" w:ascii="Times New Roman" w:hAnsi="Times New Roman"/>
          <w:spacing w:val="4"/>
          <w:sz w:val="24"/>
          <w:szCs w:val="24"/>
          <w:lang w:val="en-US" w:eastAsia="ko-KR"/>
        </w:rPr>
        <w:t>[12]</w:t>
      </w:r>
      <w:r>
        <w:rPr>
          <w:rFonts w:eastAsia="Times New Roman" w:cs="Times New Roman" w:ascii="Times New Roman" w:hAnsi="Times New Roman"/>
          <w:sz w:val="24"/>
          <w:szCs w:val="24"/>
          <w:lang w:val="en-US"/>
        </w:rPr>
        <w:t xml:space="preserve">, Templer et al. (2006) </w:t>
      </w:r>
      <w:r>
        <w:rPr>
          <w:rFonts w:cs="Times New Roman" w:ascii="Times New Roman" w:hAnsi="Times New Roman"/>
          <w:spacing w:val="4"/>
          <w:sz w:val="24"/>
          <w:szCs w:val="24"/>
          <w:lang w:val="en-US" w:eastAsia="ko-KR"/>
        </w:rPr>
        <w:t>[14]</w:t>
      </w:r>
      <w:r>
        <w:rPr>
          <w:rFonts w:eastAsia="Times New Roman" w:cs="Times New Roman" w:ascii="Times New Roman" w:hAnsi="Times New Roman"/>
          <w:sz w:val="24"/>
          <w:szCs w:val="24"/>
          <w:lang w:val="en-US"/>
        </w:rPr>
        <w:t xml:space="preserve">, and Berry (2005) </w:t>
      </w:r>
      <w:r>
        <w:rPr>
          <w:rFonts w:cs="Times New Roman" w:ascii="Times New Roman" w:hAnsi="Times New Roman"/>
          <w:spacing w:val="4"/>
          <w:sz w:val="24"/>
          <w:szCs w:val="24"/>
          <w:lang w:val="en-US" w:eastAsia="ko-KR"/>
        </w:rPr>
        <w:t>[4]</w:t>
      </w:r>
      <w:r>
        <w:rPr>
          <w:rFonts w:eastAsia="Times New Roman" w:cs="Times New Roman" w:ascii="Times New Roman" w:hAnsi="Times New Roman"/>
          <w:sz w:val="24"/>
          <w:szCs w:val="24"/>
          <w:lang w:val="en-US"/>
        </w:rPr>
        <w:t xml:space="preserve"> similarly report that higher cultural adjustment is associated with lower acculturative stress and better academic outcomes among international students. Furthermore, our findings regarding the metacognitive and motivational components of cultural intelligence align with Ang et al. (2007) </w:t>
      </w:r>
      <w:r>
        <w:rPr>
          <w:rFonts w:cs="Times New Roman" w:ascii="Times New Roman" w:hAnsi="Times New Roman"/>
          <w:spacing w:val="4"/>
          <w:sz w:val="24"/>
          <w:szCs w:val="24"/>
          <w:lang w:val="en-US" w:eastAsia="ko-KR"/>
        </w:rPr>
        <w:t>[5]</w:t>
      </w:r>
      <w:r>
        <w:rPr>
          <w:rFonts w:eastAsia="Times New Roman" w:cs="Times New Roman" w:ascii="Times New Roman" w:hAnsi="Times New Roman"/>
          <w:sz w:val="24"/>
          <w:szCs w:val="24"/>
          <w:lang w:val="en-US"/>
        </w:rPr>
        <w:t>, who argue that students capable of regulating cultural knowledge and maintaining motivation in diverse environments are more likely to succeed academically. The weaker influence of the cognitive dimension also echoes earlier empirical studies demonstrating that mere cultural knowledge is insufficient without the ability to apply it effectively in real social contexts.</w:t>
      </w:r>
    </w:p>
    <w:p>
      <w:pPr>
        <w:pStyle w:val="Normal"/>
        <w:spacing w:lineRule="auto" w:line="240" w:before="0" w:after="0"/>
        <w:ind w:firstLine="708"/>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Beyond theoretical alignment, the results have important practical implications for higher education management. Universities hosting international students must recognize that cultural adaptation is not an automatic process but a developmental trajectory requiring systematic support. Intercultural communication training, language assistance, mentorship programs, and socially inclusive campus environments can substantially improve students’ adjustment experiences. Academic advisors and faculty should also be trained to recognize cultural barriers that may hinder performance and provide culturally responsive pedagogical strategies.</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Moreover, strengthening institutional support systems contributes not only to individual student performance but also to broader policy goals. Enhancing cultural adaptation aligns with Sustainable Development Goal 4 by ensuring equitable, inclusive, and quality education for diverse student groups. As higher education becomes increasingly internationalized, universities that invest in cultural intelligence development and structured adaptation programs will be better positioned to attract, retain, and empower global learners.</w:t>
      </w:r>
    </w:p>
    <w:p>
      <w:pPr>
        <w:pStyle w:val="Normal"/>
        <w:spacing w:lineRule="auto" w:line="240" w:before="0" w:after="0"/>
        <w:ind w:firstLine="708"/>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conclusion, the study reaffirms that cultural intelligence and cultural adaptation are foundational to the academic success of international students. Future research could further explore longitudinal effects, mediating variables such as acculturative stress or social support, and comparative analyses across different cultural or institutional contexts. Such extensions would deepen our understanding of how multicultural learning environments can be designed to unlock the full academic potential of international student populations.</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ind w:firstLine="708" w:left="2832"/>
        <w:jc w:val="both"/>
        <w:rPr>
          <w:rFonts w:ascii="Times New Roman" w:hAnsi="Times New Roman" w:cs="Times New Roman"/>
          <w:b/>
          <w:sz w:val="24"/>
          <w:szCs w:val="24"/>
          <w:lang w:val="en-US"/>
        </w:rPr>
      </w:pPr>
      <w:r>
        <w:rPr>
          <w:rFonts w:cs="Times New Roman" w:ascii="Times New Roman" w:hAnsi="Times New Roman"/>
          <w:b/>
          <w:sz w:val="24"/>
          <w:szCs w:val="24"/>
          <w:lang w:val="en-US"/>
        </w:rPr>
        <w:t>References</w:t>
      </w:r>
    </w:p>
    <w:p>
      <w:pPr>
        <w:pStyle w:val="Normal"/>
        <w:tabs>
          <w:tab w:val="clear" w:pos="708"/>
          <w:tab w:val="left" w:pos="426" w:leader="none"/>
        </w:tabs>
        <w:spacing w:lineRule="auto" w:line="240"/>
        <w:jc w:val="center"/>
        <w:rPr>
          <w:lang w:val="en-US"/>
        </w:rPr>
      </w:pPr>
      <w:r>
        <w:rPr>
          <w:lang w:val="en-US"/>
        </w:rPr>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 Tang L., Zhang Ch., Cui Y. Beyond borders: The effects of perceived cultural distance, cultural intelligence, cross-cultural adaptation on academic performance among international students of higher education // International Journal of Intercultural Relations. -2024. -Vol. 103: 102083. DOI 10.1016/j.ijintrel.2024.102083.</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 Robert B. A Formal Concept of Culture in the Classification of Alfred L. Kroeber and Clyde Kluckhohn // Analecta. -2016. -Vol. XXV. -P. 61–101.</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Fiori M., Vesely-Maillefer A.K. Emotional Intelligence as an Ability: Theory, Challenges, and New Directions // Emotional Intelligence in Education. -2018. -P.23-47.  DOI 10.1007/978-3-319-90633-1_2.</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Berry J.W., Colleen W. Commentary on Redefining Interactions Across Cultures and Organizations // Group &amp; Organization Management. -2006. -Vol. 31(1). -P. 64-78. DOI 10.1177/1059601105275264.</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Ang S., Van Dyne L., Koh C., Ng K.Y., Templer K.J., Tay C., Chandrasekar N.A. Cultural Intelligence: Its Measurement and Effects on Cultural Judgment and Decision Making, Cultural Adaptation and Task Performance // Management and Organization Review. -2007. -Vol. 3 (3). -P. 335-371. DOI 10.1111/j.1740-8784.2007.00082.x.</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 xml:space="preserve">Khoja Ahmet Yassawi International Kazakh–Turkish University. University website. – URL: </w:t>
      </w:r>
      <w:hyperlink r:id="rId274">
        <w:r>
          <w:rPr>
            <w:rStyle w:val="Style3"/>
            <w:lang w:val="en-US"/>
          </w:rPr>
          <w:t>https://ayu.edu.kz/en/2795/surdurulebilir-kalkinma-hedefleri</w:t>
        </w:r>
      </w:hyperlink>
      <w:r>
        <w:rPr>
          <w:lang w:val="en-US"/>
        </w:rPr>
        <w:t>. –Date of access: 02.08.2025.</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Satybaldiyeva D., Mukhanova G., Tymbayeva Zh., Tyshkanbayeva M., Bolatkyzy S. Applying the expert method to determine a company’s strategic goals // Transport Problems. -2023. -Vol. 18 (2). -P. 123–132. DOI 10.20858/tp.2023.18.2.11</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Tymbayeva Zh., Satybaldiyeva D., Kakitayeva Zh., Kazhmuratova A. Evaluation of the Feasibility of Maintaining Sustainable Consumer Behavior Among Generation Z Youth in Almaty// Eurasian Journal of Economic and Business Studies. -2024. -Vol. 68 (4). -P. 5–17. DOI 10.47703/ejebs.v68i4.428.</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Triandis H.C. Cultural Intelligence in Organisations // Group &amp; Organisation Management. -2006. -Vol. 31 (1). -P. 20–26. DOI 10.1177/1059601105275253.</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 xml:space="preserve">Earley P.Ch., Ang S., Tan J.S. CQ: Developing Cultural Intelligence at Work //California: Stanford University Press. -2006. DOI </w:t>
      </w:r>
      <w:hyperlink r:id="rId275" w:tgtFrame="_blank">
        <w:r>
          <w:rPr>
            <w:rStyle w:val="Style3"/>
          </w:rPr>
          <w:t>10.1515/9781503619715</w:t>
        </w:r>
      </w:hyperlink>
      <w:r>
        <w:rPr>
          <w:lang w:val="en-US"/>
        </w:rPr>
        <w:t>.</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Earley P.Ch., Mosakowski E. Cultural intelligence // Harvard Business Review. -2004. -Vol. 82 (10). -P. 139–146: 158. DOI 10.1007/978-3-8349-8724-2_4.</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Earley P.Ch., Mosakowski E. Toward culture intelligence: turning cultural differences into a workplace advantage //Academy of Management Perspectives. -2004. -Vol. 18 (3). -P. 151–157. DOI 10.5465/AME.2004.28561784.</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Thomas D.C., Inkson K. Cultural Intelligence: People skills for a global workplace/ Berrett-Koehler Publishers. -2004. -240 p. ISBN-13 978-1576752562.</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Templer K.J., Cheryl T., Anand N.Ch. Motivational Cultural Intelligence, Realistic Job Preview, Realistic Living Conditions Preview, and Cross-cultural Adjustment // Group &amp; Organization Management. -2006. -Vol. 31 (1). -P. 154–173.  DOI 10.1177/1059601105275293.</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Burhanuddin B., Ben F., Supriyanto A., Sunandar A., Sunarni S., Sumarsono R.B. Effects of university organizational culture on student academic behavior in Indonesia // International Journal of Educational Management. -2024. -Vol. 38 (2). -P. 549–567. DOI 10.1108/IJEM-11-2023-0553.</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Yeşil S. Kültürel Farklılıkların Yönetimi ve Alternatif Bir Strateji: Kültürel Zeka// Karamanoğlu Mehmetbey Üniversitesi Sosyal Ve Ekonomik Araştırmalar Dergi. -2009. -Vol. 11 (16). -P. 100–131. [in Turkish]</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 xml:space="preserve">Moran R.T., Harris P.R., Moran S.V. Managing Cultural Differences: Global Leadership Skills and Knowledge for the 21st Century, 8th ed./Routledge. -2011. -586 p. DOI </w:t>
      </w:r>
      <w:hyperlink r:id="rId276" w:tgtFrame="_blank">
        <w:r>
          <w:rPr>
            <w:rStyle w:val="Style3"/>
            <w:lang w:val="en-US"/>
          </w:rPr>
          <w:t>https://doi.org/10.4324/9781856179249</w:t>
        </w:r>
      </w:hyperlink>
      <w:r>
        <w:rPr>
          <w:lang w:val="en-US"/>
        </w:rPr>
        <w:t>.</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Sheng L., Dai J., Lei J. The impacts of academic adaptation on psychological and sociocultural adaptation among international students in China: The moderating role of friendship // International Journal of Intercultural Relations. -2022. -Vol. 8(6). -P. 79–89. DOI 10.1016/j.ijintrel.2022.06.001.</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Black J. Work Role Transitions: A Study of American Expatriate Managers in Japan // Journal of International Business Studies. -1988. -Vol. 19. -P. 277–294. DOI 10.1057/palgrave.jibs.8490383.</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Black J.S., Stephens G.K. The influence of the spouse on American expatriate adjustment and intent to stay in Pacific Rim overseas assignments // Journal of Management. -1989. -Vol. 15 (4). -P. 529–544. DOI 10.1177/014920638901500403.</w:t>
      </w:r>
    </w:p>
    <w:p>
      <w:pPr>
        <w:pStyle w:val="NormalWeb"/>
        <w:numPr>
          <w:ilvl w:val="0"/>
          <w:numId w:val="17"/>
        </w:numPr>
        <w:tabs>
          <w:tab w:val="clear" w:pos="708"/>
          <w:tab w:val="left" w:pos="142" w:leader="none"/>
          <w:tab w:val="left" w:pos="426" w:leader="none"/>
        </w:tabs>
        <w:spacing w:lineRule="auto" w:line="240" w:before="0" w:after="0"/>
        <w:ind w:hanging="0" w:left="0"/>
        <w:jc w:val="both"/>
        <w:rPr>
          <w:lang w:val="en-US"/>
        </w:rPr>
      </w:pPr>
      <w:r>
        <w:rPr>
          <w:lang w:val="en-US"/>
        </w:rPr>
        <w:t>Ang S., Van Dyne L., Koh C. Personality Correlates of the Four-Factor Model of Cultural Intelligence // Group &amp; Organization Management. -2006. -Vol. 31 (1). -P. 100–123. DOI 10.1177/1059601105275267.</w:t>
      </w:r>
    </w:p>
    <w:p>
      <w:pPr>
        <w:pStyle w:val="Normal"/>
        <w:tabs>
          <w:tab w:val="clear" w:pos="708"/>
          <w:tab w:val="left" w:pos="426" w:leader="none"/>
        </w:tabs>
        <w:spacing w:lineRule="auto" w:line="240" w:before="0" w:after="0"/>
        <w:rPr>
          <w:sz w:val="26"/>
          <w:szCs w:val="26"/>
          <w:lang w:val="en-US"/>
        </w:rPr>
      </w:pPr>
      <w:r>
        <w:rPr>
          <w:sz w:val="26"/>
          <w:szCs w:val="26"/>
          <w:lang w:val="en-US"/>
        </w:rPr>
      </w:r>
    </w:p>
    <w:p>
      <w:pPr>
        <w:pStyle w:val="Normal"/>
        <w:spacing w:lineRule="auto" w:line="240" w:before="0" w:after="0"/>
        <w:ind w:firstLine="708"/>
        <w:rPr>
          <w:rFonts w:ascii="Times New Roman" w:hAnsi="Times New Roman" w:cs="Times New Roman"/>
          <w:b/>
          <w:i/>
          <w:i/>
          <w:sz w:val="20"/>
          <w:szCs w:val="20"/>
        </w:rPr>
      </w:pPr>
      <w:r>
        <w:rPr>
          <w:rFonts w:cs="Times New Roman" w:ascii="Times New Roman" w:hAnsi="Times New Roman"/>
          <w:b/>
          <w:i/>
          <w:sz w:val="20"/>
          <w:szCs w:val="20"/>
        </w:rPr>
        <w:t>Сведения об авторах</w:t>
      </w:r>
    </w:p>
    <w:p>
      <w:pPr>
        <w:pStyle w:val="Normal"/>
        <w:spacing w:lineRule="auto" w:line="240" w:before="0" w:after="0"/>
        <w:ind w:firstLine="708"/>
        <w:rPr>
          <w:rFonts w:ascii="Times New Roman" w:hAnsi="Times New Roman" w:cs="Times New Roman"/>
          <w:b/>
          <w:i/>
          <w:i/>
          <w:sz w:val="20"/>
          <w:szCs w:val="20"/>
        </w:rPr>
      </w:pPr>
      <w:r>
        <w:rPr>
          <w:rFonts w:cs="Times New Roman" w:ascii="Times New Roman" w:hAnsi="Times New Roman"/>
          <w:b/>
          <w:i/>
          <w:sz w:val="20"/>
          <w:szCs w:val="20"/>
        </w:rPr>
      </w:r>
    </w:p>
    <w:p>
      <w:pPr>
        <w:pStyle w:val="ListParagraph"/>
        <w:tabs>
          <w:tab w:val="clear" w:pos="708"/>
          <w:tab w:val="left" w:pos="567" w:leader="none"/>
        </w:tabs>
        <w:ind w:left="0"/>
        <w:rPr>
          <w:rFonts w:eastAsia="Malgun Gothic"/>
          <w:spacing w:val="-3"/>
          <w:sz w:val="20"/>
          <w:szCs w:val="20"/>
          <w:shd w:fill="FFFFFF" w:val="clear"/>
        </w:rPr>
      </w:pPr>
      <w:r>
        <w:rPr>
          <w:sz w:val="20"/>
          <w:szCs w:val="20"/>
        </w:rPr>
        <w:t>Сатыбалдиева Д.</w:t>
      </w:r>
      <w:r>
        <w:rPr>
          <w:sz w:val="20"/>
          <w:szCs w:val="20"/>
          <w:lang w:val="kk-KZ"/>
        </w:rPr>
        <w:t>О</w:t>
      </w:r>
      <w:r>
        <w:rPr>
          <w:sz w:val="20"/>
          <w:szCs w:val="20"/>
        </w:rPr>
        <w:t>.</w:t>
      </w:r>
      <w:r>
        <w:rPr>
          <w:sz w:val="20"/>
          <w:szCs w:val="20"/>
          <w:lang w:val="kk-KZ"/>
        </w:rPr>
        <w:t xml:space="preserve">  </w:t>
      </w:r>
      <w:r>
        <w:rPr>
          <w:sz w:val="20"/>
          <w:szCs w:val="20"/>
        </w:rPr>
        <w:t>-</w:t>
      </w:r>
      <w:r>
        <w:rPr>
          <w:sz w:val="20"/>
          <w:szCs w:val="20"/>
          <w:lang w:val="kk-KZ"/>
        </w:rPr>
        <w:t xml:space="preserve"> </w:t>
      </w:r>
      <w:r>
        <w:rPr>
          <w:rFonts w:eastAsia="Malgun Gothic"/>
          <w:spacing w:val="-3"/>
          <w:sz w:val="20"/>
          <w:szCs w:val="20"/>
          <w:shd w:fill="FFFFFF" w:val="clear"/>
          <w:lang w:val="en-US"/>
        </w:rPr>
        <w:t>PhD</w:t>
      </w:r>
      <w:r>
        <w:rPr>
          <w:rFonts w:eastAsia="Malgun Gothic"/>
          <w:spacing w:val="-3"/>
          <w:sz w:val="20"/>
          <w:szCs w:val="20"/>
          <w:shd w:fill="FFFFFF" w:val="clear"/>
          <w:lang w:val="kk-KZ"/>
        </w:rPr>
        <w:t>, ассоциированный профессор,</w:t>
      </w:r>
      <w:r>
        <w:rPr>
          <w:sz w:val="20"/>
          <w:szCs w:val="20"/>
          <w:lang w:val="kk-KZ"/>
        </w:rPr>
        <w:t xml:space="preserve"> </w:t>
      </w:r>
      <w:r>
        <w:rPr>
          <w:rFonts w:eastAsia="Malgun Gothic"/>
          <w:spacing w:val="-3"/>
          <w:sz w:val="20"/>
          <w:szCs w:val="20"/>
          <w:shd w:fill="FFFFFF" w:val="clear"/>
          <w:lang w:val="kk-KZ"/>
        </w:rPr>
        <w:t>Казахский национальный исследовательский технический университет им.К.И.Сатпаева, Алматы, Казахстан, e-mail:d.satybaldiyeva@satbayev.university;</w:t>
      </w:r>
      <w:r>
        <w:rPr>
          <w:rFonts w:eastAsia="Malgun Gothic"/>
          <w:spacing w:val="-3"/>
          <w:sz w:val="20"/>
          <w:szCs w:val="20"/>
          <w:shd w:fill="FFFFFF" w:val="clear"/>
        </w:rPr>
        <w:t xml:space="preserve"> </w:t>
      </w:r>
    </w:p>
    <w:p>
      <w:pPr>
        <w:pStyle w:val="ListParagraph"/>
        <w:tabs>
          <w:tab w:val="clear" w:pos="708"/>
          <w:tab w:val="left" w:pos="567" w:leader="none"/>
        </w:tabs>
        <w:ind w:left="0"/>
        <w:rPr>
          <w:rFonts w:eastAsia="DSOpiumNew-Medium"/>
          <w:sz w:val="20"/>
          <w:szCs w:val="20"/>
        </w:rPr>
      </w:pPr>
      <w:r>
        <w:rPr>
          <w:sz w:val="20"/>
          <w:szCs w:val="20"/>
        </w:rPr>
        <w:t xml:space="preserve">Кенешбаев Б.Ж. - Ph.D, </w:t>
      </w:r>
      <w:r>
        <w:rPr>
          <w:sz w:val="20"/>
          <w:szCs w:val="20"/>
          <w:lang w:val="kk-KZ"/>
        </w:rPr>
        <w:t>Старший преподаватель</w:t>
      </w:r>
      <w:r>
        <w:rPr>
          <w:sz w:val="20"/>
          <w:szCs w:val="20"/>
        </w:rPr>
        <w:t xml:space="preserve">, </w:t>
      </w:r>
      <w:r>
        <w:rPr>
          <w:sz w:val="20"/>
          <w:szCs w:val="20"/>
          <w:lang w:val="kk-KZ"/>
        </w:rPr>
        <w:t>Международный казахско-турецкий университет им</w:t>
      </w:r>
      <w:r>
        <w:rPr>
          <w:sz w:val="20"/>
          <w:szCs w:val="20"/>
        </w:rPr>
        <w:t>.</w:t>
      </w:r>
      <w:r>
        <w:rPr>
          <w:sz w:val="20"/>
          <w:szCs w:val="20"/>
          <w:lang w:val="kk-KZ"/>
        </w:rPr>
        <w:t xml:space="preserve"> Ходжи Ахмеда Ясави</w:t>
      </w:r>
      <w:r>
        <w:rPr>
          <w:sz w:val="20"/>
          <w:szCs w:val="20"/>
        </w:rPr>
        <w:t xml:space="preserve">, </w:t>
      </w:r>
      <w:r>
        <w:rPr>
          <w:sz w:val="20"/>
          <w:szCs w:val="20"/>
          <w:lang w:val="kk-KZ"/>
        </w:rPr>
        <w:t>Туркестан, Казахстан, e-mail:</w:t>
      </w:r>
      <w:r>
        <w:rPr>
          <w:rFonts w:eastAsia="Malgun Gothic"/>
          <w:spacing w:val="-3"/>
          <w:sz w:val="20"/>
          <w:szCs w:val="20"/>
          <w:shd w:fill="FFFFFF" w:val="clear"/>
          <w:lang w:val="kk-KZ"/>
        </w:rPr>
        <w:t xml:space="preserve"> </w:t>
      </w:r>
      <w:hyperlink r:id="rId277">
        <w:r>
          <w:rPr>
            <w:rStyle w:val="Hyperlink"/>
            <w:rFonts w:eastAsia="DSOpiumNew-Medium"/>
            <w:color w:val="auto"/>
            <w:sz w:val="20"/>
            <w:szCs w:val="20"/>
            <w:u w:val="none"/>
          </w:rPr>
          <w:t>keneshbayev_bektur@ayu.edu.kz</w:t>
        </w:r>
      </w:hyperlink>
      <w:r>
        <w:rPr>
          <w:rFonts w:eastAsia="DSOpiumNew-Medium"/>
          <w:sz w:val="20"/>
          <w:szCs w:val="20"/>
        </w:rPr>
        <w:t>;</w:t>
      </w:r>
    </w:p>
    <w:p>
      <w:pPr>
        <w:pStyle w:val="ListParagraph"/>
        <w:tabs>
          <w:tab w:val="clear" w:pos="708"/>
          <w:tab w:val="left" w:pos="567" w:leader="none"/>
        </w:tabs>
        <w:ind w:left="0"/>
        <w:rPr>
          <w:sz w:val="20"/>
          <w:szCs w:val="20"/>
          <w:lang w:val="kk-KZ"/>
        </w:rPr>
      </w:pPr>
      <w:r>
        <w:rPr>
          <w:sz w:val="20"/>
          <w:szCs w:val="20"/>
        </w:rPr>
        <w:t>Тажибаева Р.М.</w:t>
      </w:r>
      <w:r>
        <w:rPr>
          <w:sz w:val="20"/>
          <w:szCs w:val="20"/>
          <w:lang w:val="kk-KZ"/>
        </w:rPr>
        <w:t xml:space="preserve"> </w:t>
      </w:r>
      <w:r>
        <w:rPr>
          <w:sz w:val="20"/>
          <w:szCs w:val="20"/>
        </w:rPr>
        <w:t>-</w:t>
      </w:r>
      <w:r>
        <w:rPr>
          <w:sz w:val="20"/>
          <w:szCs w:val="20"/>
          <w:lang w:val="kk-KZ"/>
        </w:rPr>
        <w:t xml:space="preserve"> </w:t>
      </w:r>
      <w:r>
        <w:rPr>
          <w:sz w:val="20"/>
          <w:szCs w:val="20"/>
        </w:rPr>
        <w:t>к.э.н., ассоциированный профессор (доцент) Школа гостеприимства</w:t>
      </w:r>
      <w:r>
        <w:rPr>
          <w:sz w:val="20"/>
          <w:szCs w:val="20"/>
          <w:lang w:val="kk-KZ"/>
        </w:rPr>
        <w:t xml:space="preserve">, Международный университет туризма и гостеприимства, Туркестан, Казахстан, </w:t>
      </w:r>
      <w:r>
        <w:rPr>
          <w:rFonts w:eastAsia="Malgun Gothic"/>
          <w:spacing w:val="-3"/>
          <w:sz w:val="20"/>
          <w:szCs w:val="20"/>
          <w:shd w:fill="FFFFFF" w:val="clear"/>
          <w:lang w:val="kk-KZ"/>
        </w:rPr>
        <w:t>e-mail</w:t>
      </w:r>
      <w:r>
        <w:rPr>
          <w:sz w:val="20"/>
          <w:szCs w:val="20"/>
        </w:rPr>
        <w:t xml:space="preserve"> </w:t>
      </w:r>
      <w:r>
        <w:rPr>
          <w:sz w:val="20"/>
          <w:szCs w:val="20"/>
          <w:lang w:val="en-US"/>
        </w:rPr>
        <w:t>raihan</w:t>
      </w:r>
      <w:r>
        <w:rPr>
          <w:sz w:val="20"/>
          <w:szCs w:val="20"/>
        </w:rPr>
        <w:t>.</w:t>
      </w:r>
      <w:r>
        <w:rPr>
          <w:sz w:val="20"/>
          <w:szCs w:val="20"/>
          <w:lang w:val="en-US"/>
        </w:rPr>
        <w:t>tazhibaeva</w:t>
      </w:r>
      <w:r>
        <w:rPr>
          <w:sz w:val="20"/>
          <w:szCs w:val="20"/>
        </w:rPr>
        <w:t>@</w:t>
      </w:r>
      <w:r>
        <w:rPr>
          <w:sz w:val="20"/>
          <w:szCs w:val="20"/>
          <w:lang w:val="en-US"/>
        </w:rPr>
        <w:t>iuth</w:t>
      </w:r>
      <w:r>
        <w:rPr>
          <w:sz w:val="20"/>
          <w:szCs w:val="20"/>
        </w:rPr>
        <w:t>.</w:t>
      </w:r>
      <w:r>
        <w:rPr>
          <w:sz w:val="20"/>
          <w:szCs w:val="20"/>
          <w:lang w:val="en-US"/>
        </w:rPr>
        <w:t>edu</w:t>
      </w:r>
      <w:r>
        <w:rPr>
          <w:sz w:val="20"/>
          <w:szCs w:val="20"/>
        </w:rPr>
        <w:t>.</w:t>
      </w:r>
      <w:r>
        <w:rPr>
          <w:sz w:val="20"/>
          <w:szCs w:val="20"/>
          <w:lang w:val="en-US"/>
        </w:rPr>
        <w:t>kz</w:t>
      </w:r>
      <w:r>
        <w:rPr>
          <w:sz w:val="20"/>
          <w:szCs w:val="20"/>
          <w:lang w:val="kk-KZ"/>
        </w:rPr>
        <w:t xml:space="preserve">; </w:t>
      </w:r>
    </w:p>
    <w:p>
      <w:pPr>
        <w:pStyle w:val="ListParagraph"/>
        <w:tabs>
          <w:tab w:val="clear" w:pos="708"/>
          <w:tab w:val="left" w:pos="567" w:leader="none"/>
        </w:tabs>
        <w:ind w:left="0"/>
        <w:rPr>
          <w:sz w:val="20"/>
          <w:szCs w:val="20"/>
          <w:lang w:val="kk-KZ"/>
        </w:rPr>
      </w:pPr>
      <w:r>
        <w:rPr>
          <w:sz w:val="20"/>
          <w:szCs w:val="20"/>
          <w:lang w:val="kk-KZ"/>
        </w:rPr>
        <w:t>Калтаева С</w:t>
      </w:r>
      <w:r>
        <w:rPr>
          <w:sz w:val="20"/>
          <w:szCs w:val="20"/>
        </w:rPr>
        <w:t>.</w:t>
      </w:r>
      <w:r>
        <w:rPr>
          <w:sz w:val="20"/>
          <w:szCs w:val="20"/>
          <w:lang w:val="kk-KZ"/>
        </w:rPr>
        <w:t>А</w:t>
      </w:r>
      <w:r>
        <w:rPr>
          <w:sz w:val="20"/>
          <w:szCs w:val="20"/>
        </w:rPr>
        <w:t>.</w:t>
      </w:r>
      <w:r>
        <w:rPr>
          <w:sz w:val="20"/>
          <w:szCs w:val="20"/>
          <w:lang w:val="kk-KZ"/>
        </w:rPr>
        <w:t xml:space="preserve"> </w:t>
      </w:r>
      <w:r>
        <w:rPr>
          <w:sz w:val="20"/>
          <w:szCs w:val="20"/>
        </w:rPr>
        <w:t>-</w:t>
      </w:r>
      <w:r>
        <w:rPr>
          <w:sz w:val="20"/>
          <w:szCs w:val="20"/>
          <w:lang w:val="kk-KZ"/>
        </w:rPr>
        <w:t xml:space="preserve"> </w:t>
      </w:r>
      <w:r>
        <w:rPr>
          <w:sz w:val="20"/>
          <w:szCs w:val="20"/>
        </w:rPr>
        <w:t xml:space="preserve">к.э.н., ассоциированный профессор (доцент) Школа гостеприимства, </w:t>
      </w:r>
      <w:r>
        <w:rPr>
          <w:sz w:val="20"/>
          <w:szCs w:val="20"/>
          <w:lang w:val="kk-KZ"/>
        </w:rPr>
        <w:t>Международный университет туризма и гостеприимства</w:t>
      </w:r>
      <w:r>
        <w:rPr>
          <w:sz w:val="20"/>
          <w:szCs w:val="20"/>
        </w:rPr>
        <w:t>, Туркестан, Казахстан</w:t>
      </w:r>
      <w:r>
        <w:rPr>
          <w:sz w:val="20"/>
          <w:szCs w:val="20"/>
          <w:lang w:val="kk-KZ"/>
        </w:rPr>
        <w:t xml:space="preserve">, </w:t>
      </w:r>
      <w:r>
        <w:rPr>
          <w:rFonts w:eastAsia="Malgun Gothic"/>
          <w:spacing w:val="-3"/>
          <w:sz w:val="20"/>
          <w:szCs w:val="20"/>
          <w:shd w:fill="FFFFFF" w:val="clear"/>
          <w:lang w:val="kk-KZ"/>
        </w:rPr>
        <w:t>e-mail</w:t>
      </w:r>
      <w:r>
        <w:rPr>
          <w:sz w:val="20"/>
          <w:szCs w:val="20"/>
        </w:rPr>
        <w:t xml:space="preserve"> </w:t>
      </w:r>
      <w:hyperlink r:id="rId278">
        <w:r>
          <w:rPr>
            <w:rStyle w:val="Hyperlink"/>
            <w:color w:val="auto"/>
            <w:sz w:val="20"/>
            <w:szCs w:val="20"/>
            <w:u w:val="none"/>
            <w:lang w:val="en-US"/>
          </w:rPr>
          <w:t>saule</w:t>
        </w:r>
        <w:r>
          <w:rPr>
            <w:rStyle w:val="Hyperlink"/>
            <w:color w:val="auto"/>
            <w:sz w:val="20"/>
            <w:szCs w:val="20"/>
            <w:u w:val="none"/>
          </w:rPr>
          <w:t>.</w:t>
        </w:r>
        <w:r>
          <w:rPr>
            <w:rStyle w:val="Hyperlink"/>
            <w:color w:val="auto"/>
            <w:sz w:val="20"/>
            <w:szCs w:val="20"/>
            <w:u w:val="none"/>
            <w:lang w:val="en-US"/>
          </w:rPr>
          <w:t>kaltaeva</w:t>
        </w:r>
        <w:r>
          <w:rPr>
            <w:rStyle w:val="Hyperlink"/>
            <w:color w:val="auto"/>
            <w:sz w:val="20"/>
            <w:szCs w:val="20"/>
            <w:u w:val="none"/>
          </w:rPr>
          <w:t>@</w:t>
        </w:r>
        <w:r>
          <w:rPr>
            <w:rStyle w:val="Hyperlink"/>
            <w:color w:val="auto"/>
            <w:sz w:val="20"/>
            <w:szCs w:val="20"/>
            <w:u w:val="none"/>
            <w:lang w:val="en-US"/>
          </w:rPr>
          <w:t>iuth</w:t>
        </w:r>
        <w:r>
          <w:rPr>
            <w:rStyle w:val="Hyperlink"/>
            <w:color w:val="auto"/>
            <w:sz w:val="20"/>
            <w:szCs w:val="20"/>
            <w:u w:val="none"/>
          </w:rPr>
          <w:t>.</w:t>
        </w:r>
        <w:r>
          <w:rPr>
            <w:rStyle w:val="Hyperlink"/>
            <w:color w:val="auto"/>
            <w:sz w:val="20"/>
            <w:szCs w:val="20"/>
            <w:u w:val="none"/>
            <w:lang w:val="en-US"/>
          </w:rPr>
          <w:t>edu</w:t>
        </w:r>
        <w:r>
          <w:rPr>
            <w:rStyle w:val="Hyperlink"/>
            <w:color w:val="auto"/>
            <w:sz w:val="20"/>
            <w:szCs w:val="20"/>
            <w:u w:val="none"/>
          </w:rPr>
          <w:t>.</w:t>
        </w:r>
        <w:r>
          <w:rPr>
            <w:rStyle w:val="Hyperlink"/>
            <w:color w:val="auto"/>
            <w:sz w:val="20"/>
            <w:szCs w:val="20"/>
            <w:u w:val="none"/>
            <w:lang w:val="en-US"/>
          </w:rPr>
          <w:t>kz</w:t>
        </w:r>
      </w:hyperlink>
      <w:r>
        <w:rPr>
          <w:sz w:val="20"/>
          <w:szCs w:val="20"/>
        </w:rPr>
        <w:t>;</w:t>
      </w:r>
    </w:p>
    <w:p>
      <w:pPr>
        <w:pStyle w:val="ListParagraph"/>
        <w:tabs>
          <w:tab w:val="clear" w:pos="708"/>
          <w:tab w:val="left" w:pos="567" w:leader="none"/>
        </w:tabs>
        <w:ind w:left="0"/>
        <w:rPr>
          <w:bCs/>
          <w:sz w:val="20"/>
          <w:szCs w:val="20"/>
        </w:rPr>
      </w:pPr>
      <w:r>
        <w:rPr>
          <w:bCs/>
          <w:sz w:val="20"/>
          <w:szCs w:val="20"/>
          <w:lang w:val="kk-KZ"/>
        </w:rPr>
        <w:t xml:space="preserve">Муталиева А.А. - PhD, Старший преподаватель, Региональный инновационный университет, Шымкент, Казахстан, </w:t>
      </w:r>
      <w:r>
        <w:rPr>
          <w:bCs/>
          <w:sz w:val="20"/>
          <w:szCs w:val="20"/>
        </w:rPr>
        <w:t>е-</w:t>
      </w:r>
      <w:r>
        <w:rPr>
          <w:bCs/>
          <w:sz w:val="20"/>
          <w:szCs w:val="20"/>
          <w:lang w:val="en-US"/>
        </w:rPr>
        <w:t>mail</w:t>
      </w:r>
      <w:r>
        <w:rPr>
          <w:bCs/>
          <w:sz w:val="20"/>
          <w:szCs w:val="20"/>
        </w:rPr>
        <w:t xml:space="preserve">: </w:t>
      </w:r>
      <w:hyperlink r:id="rId279">
        <w:r>
          <w:rPr>
            <w:rStyle w:val="Hyperlink"/>
            <w:bCs/>
            <w:color w:val="auto"/>
            <w:sz w:val="20"/>
            <w:szCs w:val="20"/>
            <w:u w:val="none"/>
            <w:lang w:val="kk-KZ"/>
          </w:rPr>
          <w:t>Alua012@mail.ru</w:t>
        </w:r>
      </w:hyperlink>
      <w:r>
        <w:rPr>
          <w:bCs/>
          <w:sz w:val="20"/>
          <w:szCs w:val="20"/>
        </w:rPr>
        <w:t>.</w:t>
      </w:r>
    </w:p>
    <w:p>
      <w:pPr>
        <w:pStyle w:val="Normal"/>
        <w:spacing w:lineRule="auto" w:line="240" w:before="0" w:after="0"/>
        <w:rPr>
          <w:sz w:val="20"/>
          <w:szCs w:val="20"/>
        </w:rPr>
      </w:pPr>
      <w:r>
        <w:rPr>
          <w:sz w:val="20"/>
          <w:szCs w:val="20"/>
        </w:rPr>
      </w:r>
    </w:p>
    <w:p>
      <w:pPr>
        <w:pStyle w:val="Normal"/>
        <w:spacing w:lineRule="auto" w:line="240" w:before="0" w:after="0"/>
        <w:ind w:firstLine="708"/>
        <w:rPr>
          <w:rFonts w:ascii="Times New Roman" w:hAnsi="Times New Roman" w:cs="Times New Roman"/>
          <w:b/>
          <w:i/>
          <w:i/>
          <w:sz w:val="20"/>
          <w:szCs w:val="20"/>
          <w:shd w:fill="FFFFFF" w:val="clear"/>
          <w:lang w:val="en-US"/>
        </w:rPr>
      </w:pPr>
      <w:r>
        <w:rPr>
          <w:rFonts w:cs="Times New Roman" w:ascii="Times New Roman" w:hAnsi="Times New Roman"/>
          <w:b/>
          <w:i/>
          <w:sz w:val="20"/>
          <w:szCs w:val="20"/>
          <w:shd w:fill="FFFFFF" w:val="clear"/>
          <w:lang w:val="en-US"/>
        </w:rPr>
        <w:t>Information about the authors</w:t>
      </w:r>
    </w:p>
    <w:p>
      <w:pPr>
        <w:pStyle w:val="Normal"/>
        <w:spacing w:lineRule="auto" w:line="240" w:before="0" w:after="0"/>
        <w:rPr>
          <w:rFonts w:ascii="Times New Roman" w:hAnsi="Times New Roman" w:cs="Times New Roman"/>
          <w:b/>
          <w:i/>
          <w:i/>
          <w:sz w:val="20"/>
          <w:szCs w:val="20"/>
          <w:shd w:fill="FFFFFF" w:val="clear"/>
          <w:lang w:val="en-US"/>
        </w:rPr>
      </w:pPr>
      <w:r>
        <w:rPr>
          <w:rFonts w:cs="Times New Roman" w:ascii="Times New Roman" w:hAnsi="Times New Roman"/>
          <w:b/>
          <w:i/>
          <w:sz w:val="20"/>
          <w:szCs w:val="20"/>
          <w:shd w:fill="FFFFFF" w:val="clear"/>
          <w:lang w:val="en-US"/>
        </w:rPr>
      </w:r>
    </w:p>
    <w:p>
      <w:pPr>
        <w:pStyle w:val="Normal"/>
        <w:spacing w:lineRule="auto" w:line="240" w:before="0" w:after="0"/>
        <w:rPr>
          <w:rFonts w:ascii="Times New Roman" w:hAnsi="Times New Roman" w:cs="Times New Roman"/>
          <w:bCs/>
          <w:sz w:val="20"/>
          <w:szCs w:val="20"/>
          <w:lang w:val="en-US"/>
        </w:rPr>
      </w:pPr>
      <w:r>
        <w:rPr>
          <w:rStyle w:val="Strong"/>
          <w:rFonts w:cs="Times New Roman" w:ascii="Times New Roman" w:hAnsi="Times New Roman"/>
          <w:b w:val="false"/>
          <w:sz w:val="20"/>
          <w:szCs w:val="20"/>
          <w:lang w:val="en-US"/>
        </w:rPr>
        <w:t>Satybaldiyeva D.O.</w:t>
      </w:r>
      <w:r>
        <w:rPr>
          <w:rFonts w:cs="Times New Roman" w:ascii="Times New Roman" w:hAnsi="Times New Roman"/>
          <w:sz w:val="20"/>
          <w:szCs w:val="20"/>
          <w:lang w:val="en-US"/>
        </w:rPr>
        <w:t xml:space="preserve"> - PhD, Associate Professor, K.I. Satpayev Kazakh National Research Technical University, Almaty, Kazakhstan</w:t>
      </w:r>
      <w:r>
        <w:rPr>
          <w:rFonts w:cs="Times New Roman" w:ascii="Times New Roman" w:hAnsi="Times New Roman"/>
          <w:sz w:val="20"/>
          <w:szCs w:val="20"/>
          <w:lang w:val="kk-KZ"/>
        </w:rPr>
        <w:t xml:space="preserve">, </w:t>
      </w:r>
      <w:r>
        <w:rPr>
          <w:rFonts w:cs="Times New Roman" w:ascii="Times New Roman" w:hAnsi="Times New Roman"/>
          <w:sz w:val="20"/>
          <w:szCs w:val="20"/>
          <w:lang w:val="en-US"/>
        </w:rPr>
        <w:t>e-mail: d.satybaldiyeva@satbayev.university;</w:t>
      </w:r>
      <w:r>
        <w:rPr>
          <w:rFonts w:cs="Times New Roman" w:ascii="Times New Roman" w:hAnsi="Times New Roman"/>
          <w:sz w:val="20"/>
          <w:szCs w:val="20"/>
          <w:lang w:val="kk-KZ"/>
        </w:rPr>
        <w:t xml:space="preserve"> </w:t>
      </w:r>
    </w:p>
    <w:p>
      <w:pPr>
        <w:pStyle w:val="Normal"/>
        <w:spacing w:lineRule="auto" w:line="240" w:before="0" w:after="0"/>
        <w:rPr>
          <w:rFonts w:ascii="Times New Roman" w:hAnsi="Times New Roman" w:cs="Times New Roman"/>
          <w:bCs/>
          <w:sz w:val="20"/>
          <w:szCs w:val="20"/>
          <w:lang w:val="en-US"/>
        </w:rPr>
      </w:pPr>
      <w:r>
        <w:rPr>
          <w:rStyle w:val="Strong"/>
          <w:rFonts w:cs="Times New Roman" w:ascii="Times New Roman" w:hAnsi="Times New Roman"/>
          <w:b w:val="false"/>
          <w:sz w:val="20"/>
          <w:szCs w:val="20"/>
          <w:lang w:val="en-US"/>
        </w:rPr>
        <w:t>Keneshbayev B.Zh.</w:t>
      </w:r>
      <w:r>
        <w:rPr>
          <w:rFonts w:cs="Times New Roman" w:ascii="Times New Roman" w:hAnsi="Times New Roman"/>
          <w:sz w:val="20"/>
          <w:szCs w:val="20"/>
          <w:lang w:val="en-US"/>
        </w:rPr>
        <w:t xml:space="preserve"> - Ph.D., Senior Lecturer, Khoja Akhmet Yassawi International Kazakh–Turkish University, Turkestan, Kazakhstan</w:t>
      </w:r>
      <w:r>
        <w:rPr>
          <w:rFonts w:cs="Times New Roman" w:ascii="Times New Roman" w:hAnsi="Times New Roman"/>
          <w:sz w:val="20"/>
          <w:szCs w:val="20"/>
          <w:lang w:val="kk-KZ"/>
        </w:rPr>
        <w:t xml:space="preserve">, </w:t>
      </w:r>
      <w:r>
        <w:rPr>
          <w:rFonts w:cs="Times New Roman" w:ascii="Times New Roman" w:hAnsi="Times New Roman"/>
          <w:sz w:val="20"/>
          <w:szCs w:val="20"/>
          <w:lang w:val="en-US"/>
        </w:rPr>
        <w:t>e-mail: keneshbayev_bektur@ayu.edu.kz;</w:t>
      </w:r>
    </w:p>
    <w:p>
      <w:pPr>
        <w:pStyle w:val="Normal"/>
        <w:spacing w:lineRule="auto" w:line="240" w:before="0" w:after="0"/>
        <w:rPr>
          <w:rFonts w:ascii="Times New Roman" w:hAnsi="Times New Roman" w:cs="Times New Roman"/>
          <w:sz w:val="20"/>
          <w:szCs w:val="20"/>
          <w:lang w:val="en-US"/>
        </w:rPr>
      </w:pPr>
      <w:r>
        <w:rPr>
          <w:rStyle w:val="Strong"/>
          <w:rFonts w:cs="Times New Roman" w:ascii="Times New Roman" w:hAnsi="Times New Roman"/>
          <w:b w:val="false"/>
          <w:sz w:val="20"/>
          <w:szCs w:val="20"/>
          <w:lang w:val="en-US"/>
        </w:rPr>
        <w:t>Tazhibayeva R.M.</w:t>
      </w:r>
      <w:r>
        <w:rPr>
          <w:rFonts w:cs="Times New Roman" w:ascii="Times New Roman" w:hAnsi="Times New Roman"/>
          <w:sz w:val="20"/>
          <w:szCs w:val="20"/>
          <w:lang w:val="en-US"/>
        </w:rPr>
        <w:t xml:space="preserve"> - Candidate of Economic Sciences, Associate Professor (Docent), School of Hospitality, International University of Tourism and Hospitality, Turkestan, Kazakhstan</w:t>
      </w:r>
      <w:r>
        <w:rPr>
          <w:rFonts w:cs="Times New Roman" w:ascii="Times New Roman" w:hAnsi="Times New Roman"/>
          <w:sz w:val="20"/>
          <w:szCs w:val="20"/>
          <w:lang w:val="kk-KZ"/>
        </w:rPr>
        <w:t xml:space="preserve">, </w:t>
      </w:r>
      <w:r>
        <w:rPr>
          <w:rFonts w:cs="Times New Roman" w:ascii="Times New Roman" w:hAnsi="Times New Roman"/>
          <w:sz w:val="20"/>
          <w:szCs w:val="20"/>
          <w:lang w:val="en-US"/>
        </w:rPr>
        <w:t>e-mail: raihan.tazhibaeva@iuth.edu.kz;</w:t>
      </w:r>
    </w:p>
    <w:p>
      <w:pPr>
        <w:pStyle w:val="Normal"/>
        <w:spacing w:lineRule="auto" w:line="240" w:before="0" w:after="0"/>
        <w:rPr>
          <w:rFonts w:ascii="Times New Roman" w:hAnsi="Times New Roman" w:cs="Times New Roman"/>
          <w:sz w:val="20"/>
          <w:szCs w:val="20"/>
          <w:lang w:val="en-US"/>
        </w:rPr>
      </w:pPr>
      <w:r>
        <w:rPr>
          <w:rStyle w:val="Strong"/>
          <w:rFonts w:cs="Times New Roman" w:ascii="Times New Roman" w:hAnsi="Times New Roman"/>
          <w:b w:val="false"/>
          <w:sz w:val="20"/>
          <w:szCs w:val="20"/>
          <w:lang w:val="en-US"/>
        </w:rPr>
        <w:t>Kaltaeva S.A.</w:t>
      </w:r>
      <w:r>
        <w:rPr>
          <w:rFonts w:cs="Times New Roman" w:ascii="Times New Roman" w:hAnsi="Times New Roman"/>
          <w:sz w:val="20"/>
          <w:szCs w:val="20"/>
          <w:lang w:val="en-US"/>
        </w:rPr>
        <w:t xml:space="preserve"> - Candidate of Economic Sciences, Associate Professor (Docent), School of Hospitality, International University of Tourism and Hospitality, Turkestan, Kazakhstan</w:t>
      </w:r>
      <w:r>
        <w:rPr>
          <w:rFonts w:cs="Times New Roman" w:ascii="Times New Roman" w:hAnsi="Times New Roman"/>
          <w:sz w:val="20"/>
          <w:szCs w:val="20"/>
          <w:lang w:val="kk-KZ"/>
        </w:rPr>
        <w:t xml:space="preserve">, </w:t>
      </w:r>
      <w:r>
        <w:rPr>
          <w:rFonts w:cs="Times New Roman" w:ascii="Times New Roman" w:hAnsi="Times New Roman"/>
          <w:sz w:val="20"/>
          <w:szCs w:val="20"/>
          <w:lang w:val="en-US"/>
        </w:rPr>
        <w:t>e-mail: saule.kaltaeva@iuth.edu.kz</w:t>
      </w:r>
      <w:r>
        <w:rPr>
          <w:rFonts w:cs="Times New Roman" w:ascii="Times New Roman" w:hAnsi="Times New Roman"/>
          <w:sz w:val="20"/>
          <w:szCs w:val="20"/>
          <w:lang w:val="kk-KZ"/>
        </w:rPr>
        <w:t xml:space="preserve">; </w:t>
      </w:r>
    </w:p>
    <w:p>
      <w:pPr>
        <w:pStyle w:val="Normal"/>
        <w:spacing w:lineRule="auto" w:line="240" w:before="0" w:after="0"/>
        <w:rPr>
          <w:rFonts w:ascii="Times New Roman" w:hAnsi="Times New Roman" w:cs="Times New Roman"/>
          <w:sz w:val="20"/>
          <w:szCs w:val="20"/>
          <w:lang w:val="kk-KZ"/>
        </w:rPr>
      </w:pPr>
      <w:r>
        <w:rPr>
          <w:rFonts w:cs="Times New Roman" w:ascii="Times New Roman" w:hAnsi="Times New Roman"/>
          <w:bCs/>
          <w:sz w:val="20"/>
          <w:szCs w:val="20"/>
          <w:lang w:val="kk-KZ"/>
        </w:rPr>
        <w:t>Mutaliyeva A</w:t>
      </w:r>
      <w:r>
        <w:rPr>
          <w:rFonts w:cs="Times New Roman" w:ascii="Times New Roman" w:hAnsi="Times New Roman"/>
          <w:bCs/>
          <w:sz w:val="20"/>
          <w:szCs w:val="20"/>
          <w:lang w:val="en-US"/>
        </w:rPr>
        <w:t xml:space="preserve">.A. - </w:t>
      </w:r>
      <w:r>
        <w:rPr>
          <w:rFonts w:cs="Times New Roman" w:ascii="Times New Roman" w:hAnsi="Times New Roman"/>
          <w:bCs/>
          <w:sz w:val="20"/>
          <w:szCs w:val="20"/>
          <w:lang w:val="kk-KZ"/>
        </w:rPr>
        <w:t>PhD, Senior Lecturer, Regional Innovation University, Shymkent, Kazakhstan</w:t>
      </w:r>
      <w:r>
        <w:rPr>
          <w:rFonts w:cs="Times New Roman" w:ascii="Times New Roman" w:hAnsi="Times New Roman"/>
          <w:bCs/>
          <w:sz w:val="20"/>
          <w:szCs w:val="20"/>
          <w:lang w:val="en-US"/>
        </w:rPr>
        <w:t xml:space="preserve">, е-mail: </w:t>
      </w:r>
      <w:r>
        <w:rPr>
          <w:rFonts w:cs="Times New Roman" w:ascii="Times New Roman" w:hAnsi="Times New Roman"/>
          <w:bCs/>
          <w:sz w:val="20"/>
          <w:szCs w:val="20"/>
          <w:lang w:val="kk-KZ"/>
        </w:rPr>
        <w:t>Alua012@mail.ru.</w:t>
      </w:r>
    </w:p>
    <w:p>
      <w:pPr>
        <w:pStyle w:val="Normal"/>
        <w:spacing w:lineRule="auto" w:line="240" w:before="0" w:after="0"/>
        <w:rPr>
          <w:lang w:val="kk-KZ"/>
        </w:rPr>
      </w:pPr>
      <w:r>
        <w:rPr>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before="0" w:after="0"/>
        <w:ind w:firstLine="567"/>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spacing w:lineRule="auto" w:line="240" w:before="0" w:after="0"/>
        <w:ind w:firstLine="567"/>
        <w:rPr>
          <w:rFonts w:ascii="Times New Roman" w:hAnsi="Times New Roman" w:eastAsia="Times New Roman" w:cs="Times New Roman"/>
          <w:bCs/>
          <w:lang w:val="en-US"/>
        </w:rPr>
      </w:pPr>
      <w:r>
        <w:rPr>
          <w:rFonts w:eastAsia="Times New Roman" w:cs="Times New Roman" w:ascii="Times New Roman" w:hAnsi="Times New Roman"/>
          <w:bCs/>
          <w:lang w:val="en-US"/>
        </w:rPr>
        <w:t>IRSTI 06.81.55</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lang w:val="en-US"/>
        </w:rPr>
      </w:pPr>
      <w:r>
        <w:rPr>
          <w:rFonts w:eastAsia="Times New Roman" w:cs="Times New Roman" w:ascii="Times New Roman" w:hAnsi="Times New Roman"/>
          <w:b/>
          <w:lang w:val="en-US"/>
        </w:rPr>
        <w:t>ECONOMIC ANALYSIS OF DIGITAL HEALTHCARE DEVELOPMENT IN THE EAST KAZAKHSTAN REGION</w:t>
      </w:r>
    </w:p>
    <w:p>
      <w:pPr>
        <w:pStyle w:val="Normal"/>
        <w:spacing w:lineRule="auto" w:line="240" w:before="0" w:after="0"/>
        <w:ind w:firstLine="567"/>
        <w:jc w:val="center"/>
        <w:rPr>
          <w:rFonts w:ascii="Times New Roman" w:hAnsi="Times New Roman" w:eastAsia="Times New Roman" w:cs="Times New Roman"/>
          <w:b/>
          <w:bCs/>
          <w:lang w:val="en-US"/>
        </w:rPr>
      </w:pPr>
      <w:r>
        <w:rPr>
          <w:rFonts w:eastAsia="Times New Roman" w:cs="Times New Roman" w:ascii="Times New Roman" w:hAnsi="Times New Roman"/>
          <w:b/>
          <w:bCs/>
          <w:lang w:val="en-US"/>
        </w:rPr>
      </w:r>
    </w:p>
    <w:p>
      <w:pPr>
        <w:pStyle w:val="Normal"/>
        <w:spacing w:lineRule="auto" w:line="240" w:before="0" w:after="0"/>
        <w:ind w:firstLine="567"/>
        <w:jc w:val="center"/>
        <w:rPr>
          <w:rFonts w:ascii="Times New Roman" w:hAnsi="Times New Roman" w:eastAsia="Times New Roman" w:cs="Times New Roman"/>
          <w:sz w:val="20"/>
          <w:szCs w:val="20"/>
          <w:vertAlign w:val="superscript"/>
          <w:lang w:val="en-US"/>
        </w:rPr>
      </w:pPr>
      <w:r>
        <w:rPr>
          <w:rFonts w:eastAsia="Times New Roman" w:cs="Times New Roman" w:ascii="Times New Roman" w:hAnsi="Times New Roman"/>
          <w:b/>
          <w:bCs/>
          <w:vertAlign w:val="superscript"/>
          <w:lang w:val="en-US"/>
        </w:rPr>
        <w:t>1</w:t>
      </w:r>
      <w:r>
        <w:rPr>
          <w:rFonts w:eastAsia="Times New Roman" w:cs="Times New Roman" w:ascii="Times New Roman" w:hAnsi="Times New Roman"/>
          <w:b/>
          <w:bCs/>
          <w:lang w:val="en-US"/>
        </w:rPr>
        <w:t>A. Maldynova</w:t>
      </w:r>
      <w:r>
        <w:rPr/>
        <w:drawing>
          <wp:inline distT="0" distB="0" distL="0" distR="0">
            <wp:extent cx="133985" cy="133985"/>
            <wp:effectExtent l="0" t="0" r="0" b="0"/>
            <wp:docPr id="51" name="Image3" descr="">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 descr="">
                      <a:hlinkClick r:id="rId281"/>
                    </pic:cNvPr>
                    <pic:cNvPicPr>
                      <a:picLocks noChangeAspect="1" noChangeArrowheads="1"/>
                    </pic:cNvPicPr>
                  </pic:nvPicPr>
                  <pic:blipFill>
                    <a:blip r:embed="rId280"/>
                    <a:stretch>
                      <a:fillRect/>
                    </a:stretch>
                  </pic:blipFill>
                  <pic:spPr bwMode="auto">
                    <a:xfrm>
                      <a:off x="0" y="0"/>
                      <a:ext cx="133985" cy="133985"/>
                    </a:xfrm>
                    <a:prstGeom prst="rect">
                      <a:avLst/>
                    </a:prstGeom>
                    <a:solidFill>
                      <a:srgbClr val="ffffff"/>
                    </a:solidFill>
                  </pic:spPr>
                </pic:pic>
              </a:graphicData>
            </a:graphic>
          </wp:inline>
        </w:drawing>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2</w:t>
      </w:r>
      <w:r>
        <w:rPr>
          <w:rFonts w:eastAsia="Times New Roman" w:cs="Times New Roman" w:ascii="Times New Roman" w:hAnsi="Times New Roman"/>
          <w:b/>
          <w:bCs/>
          <w:lang w:val="en-US"/>
        </w:rPr>
        <w:t>N. Aidargaliyeva</w:t>
      </w:r>
      <w:r>
        <w:rPr/>
        <w:drawing>
          <wp:inline distT="0" distB="0" distL="0" distR="0">
            <wp:extent cx="152400" cy="152400"/>
            <wp:effectExtent l="0" t="0" r="0" b="0"/>
            <wp:docPr id="52" name="Image4" descr="">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 descr="">
                      <a:hlinkClick r:id="rId283"/>
                    </pic:cNvPr>
                    <pic:cNvPicPr>
                      <a:picLocks noChangeAspect="1" noChangeArrowheads="1"/>
                    </pic:cNvPicPr>
                  </pic:nvPicPr>
                  <pic:blipFill>
                    <a:blip r:embed="rId282"/>
                    <a:stretch>
                      <a:fillRect/>
                    </a:stretch>
                  </pic:blipFill>
                  <pic:spPr bwMode="auto">
                    <a:xfrm>
                      <a:off x="0" y="0"/>
                      <a:ext cx="152400" cy="152400"/>
                    </a:xfrm>
                    <a:prstGeom prst="rect">
                      <a:avLst/>
                    </a:prstGeom>
                    <a:solidFill>
                      <a:srgbClr val="ffffff"/>
                    </a:solidFill>
                  </pic:spPr>
                </pic:pic>
              </a:graphicData>
            </a:graphic>
          </wp:inline>
        </w:drawing>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3</w:t>
      </w:r>
      <w:r>
        <w:rPr>
          <w:rFonts w:eastAsia="Times New Roman" w:cs="Times New Roman" w:ascii="Times New Roman" w:hAnsi="Times New Roman"/>
          <w:b/>
          <w:bCs/>
          <w:lang w:val="en-US"/>
        </w:rPr>
        <w:t>D. Mussabalina</w:t>
      </w:r>
      <w:r>
        <w:rPr/>
        <w:drawing>
          <wp:inline distT="0" distB="0" distL="0" distR="0">
            <wp:extent cx="152400" cy="152400"/>
            <wp:effectExtent l="0" t="0" r="0" b="0"/>
            <wp:docPr id="53" name="Image5" descr="">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 descr="">
                      <a:hlinkClick r:id="rId285"/>
                    </pic:cNvPr>
                    <pic:cNvPicPr>
                      <a:picLocks noChangeAspect="1" noChangeArrowheads="1"/>
                    </pic:cNvPicPr>
                  </pic:nvPicPr>
                  <pic:blipFill>
                    <a:blip r:embed="rId284"/>
                    <a:stretch>
                      <a:fillRect/>
                    </a:stretch>
                  </pic:blipFill>
                  <pic:spPr bwMode="auto">
                    <a:xfrm>
                      <a:off x="0" y="0"/>
                      <a:ext cx="152400" cy="152400"/>
                    </a:xfrm>
                    <a:prstGeom prst="rect">
                      <a:avLst/>
                    </a:prstGeom>
                    <a:solidFill>
                      <a:srgbClr val="ffffff"/>
                    </a:solidFill>
                  </pic:spPr>
                </pic:pic>
              </a:graphicData>
            </a:graphic>
          </wp:inline>
        </w:drawing>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4</w:t>
      </w:r>
      <w:r>
        <w:rPr>
          <w:rFonts w:eastAsia="Times New Roman" w:cs="Times New Roman" w:ascii="Times New Roman" w:hAnsi="Times New Roman"/>
          <w:b/>
          <w:bCs/>
          <w:lang w:val="en-US"/>
        </w:rPr>
        <w:t>Zh.S. Abdrakhmanova</w:t>
      </w:r>
      <w:r>
        <w:rPr/>
        <w:drawing>
          <wp:inline distT="0" distB="0" distL="0" distR="0">
            <wp:extent cx="133985" cy="133985"/>
            <wp:effectExtent l="0" t="0" r="0" b="0"/>
            <wp:docPr id="54" name="Image6" descr="">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 descr="">
                      <a:hlinkClick r:id="rId287"/>
                    </pic:cNvPr>
                    <pic:cNvPicPr>
                      <a:picLocks noChangeAspect="1" noChangeArrowheads="1"/>
                    </pic:cNvPicPr>
                  </pic:nvPicPr>
                  <pic:blipFill>
                    <a:blip r:embed="rId286"/>
                    <a:stretch>
                      <a:fillRect/>
                    </a:stretch>
                  </pic:blipFill>
                  <pic:spPr bwMode="auto">
                    <a:xfrm>
                      <a:off x="0" y="0"/>
                      <a:ext cx="133985" cy="133985"/>
                    </a:xfrm>
                    <a:prstGeom prst="rect">
                      <a:avLst/>
                    </a:prstGeom>
                    <a:solidFill>
                      <a:srgbClr val="ffffff"/>
                    </a:solidFill>
                  </pic:spPr>
                </pic:pic>
              </a:graphicData>
            </a:graphic>
          </wp:inline>
        </w:drawing>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5</w:t>
      </w:r>
      <w:r>
        <w:rPr>
          <w:rFonts w:eastAsia="Times New Roman" w:cs="Times New Roman" w:ascii="Times New Roman" w:hAnsi="Times New Roman"/>
          <w:b/>
          <w:bCs/>
          <w:lang w:val="en-US"/>
        </w:rPr>
        <w:t>T.Demesinov</w:t>
      </w:r>
      <w:r>
        <w:rPr/>
        <w:drawing>
          <wp:inline distT="0" distB="0" distL="0" distR="0">
            <wp:extent cx="152400" cy="152400"/>
            <wp:effectExtent l="0" t="0" r="0" b="0"/>
            <wp:docPr id="55" name="Image7" descr="">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7" descr="">
                      <a:hlinkClick r:id="rId289"/>
                    </pic:cNvPr>
                    <pic:cNvPicPr>
                      <a:picLocks noChangeAspect="1" noChangeArrowheads="1"/>
                    </pic:cNvPicPr>
                  </pic:nvPicPr>
                  <pic:blipFill>
                    <a:blip r:embed="rId288"/>
                    <a:stretch>
                      <a:fillRect/>
                    </a:stretch>
                  </pic:blipFill>
                  <pic:spPr bwMode="auto">
                    <a:xfrm>
                      <a:off x="0" y="0"/>
                      <a:ext cx="152400" cy="152400"/>
                    </a:xfrm>
                    <a:prstGeom prst="rect">
                      <a:avLst/>
                    </a:prstGeom>
                    <a:solidFill>
                      <a:srgbClr val="ffffff"/>
                    </a:solidFill>
                  </pic:spPr>
                </pic:pic>
              </a:graphicData>
            </a:graphic>
          </wp:inline>
        </w:drawing>
      </w:r>
    </w:p>
    <w:p>
      <w:pPr>
        <w:pStyle w:val="Normal"/>
        <w:spacing w:lineRule="auto" w:line="240" w:before="0" w:after="0"/>
        <w:ind w:firstLine="567"/>
        <w:jc w:val="center"/>
        <w:rPr>
          <w:rFonts w:ascii="Times New Roman" w:hAnsi="Times New Roman" w:eastAsia="Times New Roman" w:cs="Times New Roman"/>
          <w:i/>
          <w:i/>
          <w:iCs/>
          <w:sz w:val="20"/>
          <w:szCs w:val="20"/>
          <w:vertAlign w:val="superscript"/>
          <w:lang w:val="en-US"/>
        </w:rPr>
      </w:pPr>
      <w:r>
        <w:rPr>
          <w:rFonts w:eastAsia="Times New Roman" w:cs="Times New Roman" w:ascii="Times New Roman" w:hAnsi="Times New Roman"/>
          <w:i/>
          <w:sz w:val="20"/>
          <w:szCs w:val="20"/>
          <w:vertAlign w:val="superscript"/>
          <w:lang w:val="en-US"/>
        </w:rPr>
        <w:t>1</w:t>
      </w:r>
      <w:r>
        <w:rPr>
          <w:rFonts w:eastAsia="Times New Roman" w:cs="Times New Roman" w:ascii="Times New Roman" w:hAnsi="Times New Roman"/>
          <w:i/>
          <w:iCs/>
          <w:sz w:val="20"/>
          <w:szCs w:val="20"/>
          <w:lang w:val="en-US"/>
        </w:rPr>
        <w:t>Kenzhegali Sagadiyev University of International Business, Almaty, Kazakhstan,</w:t>
        <w:br/>
      </w:r>
      <w:r>
        <w:rPr>
          <w:rFonts w:eastAsia="Times New Roman" w:cs="Times New Roman" w:ascii="Times New Roman" w:hAnsi="Times New Roman"/>
          <w:i/>
          <w:iCs/>
          <w:sz w:val="20"/>
          <w:szCs w:val="20"/>
          <w:vertAlign w:val="superscript"/>
          <w:lang w:val="en-US"/>
        </w:rPr>
        <w:t>2</w:t>
      </w:r>
      <w:r>
        <w:rPr>
          <w:rFonts w:eastAsia="Times New Roman" w:cs="Times New Roman" w:ascii="Times New Roman" w:hAnsi="Times New Roman"/>
          <w:i/>
          <w:iCs/>
          <w:sz w:val="20"/>
          <w:szCs w:val="20"/>
          <w:lang w:val="en-US"/>
        </w:rPr>
        <w:t>L.N. Gumilyov Eurasian National University, Astana, Kazakhstan,</w:t>
        <w:br/>
      </w:r>
      <w:r>
        <w:rPr>
          <w:rFonts w:eastAsia="Times New Roman" w:cs="Times New Roman" w:ascii="Times New Roman" w:hAnsi="Times New Roman"/>
          <w:i/>
          <w:iCs/>
          <w:sz w:val="20"/>
          <w:szCs w:val="20"/>
          <w:vertAlign w:val="superscript"/>
          <w:lang w:val="en-US"/>
        </w:rPr>
        <w:t>3</w:t>
      </w:r>
      <w:r>
        <w:rPr>
          <w:rFonts w:eastAsia="Times New Roman" w:cs="Times New Roman" w:ascii="Times New Roman" w:hAnsi="Times New Roman"/>
          <w:i/>
          <w:iCs/>
          <w:sz w:val="20"/>
          <w:szCs w:val="20"/>
          <w:lang w:val="en-US"/>
        </w:rPr>
        <w:t>Abai Kazakh National Pedagogical University, Almaty, Kazakhstan,</w:t>
        <w:br/>
      </w:r>
      <w:r>
        <w:rPr>
          <w:rFonts w:eastAsia="Times New Roman" w:cs="Times New Roman" w:ascii="Times New Roman" w:hAnsi="Times New Roman"/>
          <w:i/>
          <w:sz w:val="20"/>
          <w:szCs w:val="20"/>
          <w:vertAlign w:val="superscript"/>
          <w:lang w:val="en-US"/>
        </w:rPr>
        <w:t>4</w:t>
      </w:r>
      <w:r>
        <w:rPr>
          <w:rFonts w:cs="Times New Roman" w:ascii="Times New Roman" w:hAnsi="Times New Roman"/>
          <w:bCs/>
          <w:i/>
          <w:iCs/>
          <w:sz w:val="20"/>
          <w:szCs w:val="20"/>
          <w:lang w:val="en-US"/>
        </w:rPr>
        <w:t>D.Serikbayev East Kazakhstan Technical University,</w:t>
      </w:r>
      <w:r>
        <w:rPr>
          <w:i/>
          <w:iCs/>
          <w:sz w:val="20"/>
          <w:szCs w:val="20"/>
          <w:lang w:val="en-US"/>
        </w:rPr>
        <w:t xml:space="preserve"> </w:t>
      </w:r>
      <w:r>
        <w:rPr>
          <w:rFonts w:cs="Times New Roman" w:ascii="Times New Roman" w:hAnsi="Times New Roman"/>
          <w:bCs/>
          <w:i/>
          <w:iCs/>
          <w:sz w:val="20"/>
          <w:szCs w:val="20"/>
          <w:lang w:val="en-US"/>
        </w:rPr>
        <w:t xml:space="preserve">Ust-Kamenogorsk, </w:t>
      </w:r>
      <w:r>
        <w:rPr>
          <w:rFonts w:eastAsia="Times New Roman" w:cs="Times New Roman" w:ascii="Times New Roman" w:hAnsi="Times New Roman"/>
          <w:i/>
          <w:iCs/>
          <w:sz w:val="20"/>
          <w:szCs w:val="20"/>
          <w:lang w:val="en-US"/>
        </w:rPr>
        <w:t>Kazakhstan,</w:t>
      </w:r>
    </w:p>
    <w:p>
      <w:pPr>
        <w:pStyle w:val="Normal"/>
        <w:spacing w:lineRule="auto" w:line="240" w:before="0" w:after="0"/>
        <w:ind w:firstLine="567"/>
        <w:jc w:val="center"/>
        <w:rPr>
          <w:rFonts w:ascii="Times New Roman" w:hAnsi="Times New Roman" w:eastAsia="Times New Roman" w:cs="Times New Roman"/>
          <w:i/>
          <w:i/>
          <w:iCs/>
          <w:sz w:val="20"/>
          <w:szCs w:val="20"/>
          <w:lang w:val="en-US"/>
        </w:rPr>
      </w:pPr>
      <w:r>
        <w:rPr>
          <w:rFonts w:eastAsia="Times New Roman" w:cs="Times New Roman" w:ascii="Times New Roman" w:hAnsi="Times New Roman"/>
          <w:i/>
          <w:iCs/>
          <w:sz w:val="20"/>
          <w:szCs w:val="20"/>
          <w:vertAlign w:val="superscript"/>
          <w:lang w:val="en-US"/>
        </w:rPr>
        <w:t>5</w:t>
      </w:r>
      <w:r>
        <w:rPr>
          <w:rFonts w:eastAsia="Times New Roman" w:cs="Times New Roman" w:ascii="Times New Roman" w:hAnsi="Times New Roman"/>
          <w:i/>
          <w:iCs/>
          <w:sz w:val="20"/>
          <w:szCs w:val="20"/>
          <w:lang w:val="en-US"/>
        </w:rPr>
        <w:t>Sh. Ualikhanov Kokshetau University, Kokshetau, Kazakhstan</w:t>
      </w:r>
    </w:p>
    <w:p>
      <w:pPr>
        <w:pStyle w:val="Normal"/>
        <w:spacing w:lineRule="auto" w:line="240" w:before="0" w:after="0"/>
        <w:ind w:firstLine="567"/>
        <w:jc w:val="center"/>
        <w:rPr>
          <w:rFonts w:ascii="Wingdings" w:hAnsi="Wingdings" w:eastAsia="Wingdings" w:cs="Wingdings"/>
          <w:b/>
          <w:bCs/>
          <w:i/>
          <w:i/>
          <w:color w:val="1F497D"/>
          <w:sz w:val="20"/>
          <w:szCs w:val="20"/>
          <w:vertAlign w:val="superscript"/>
          <w:lang w:val="en-US"/>
        </w:rPr>
      </w:pPr>
      <w:r>
        <w:rPr>
          <w:rFonts w:eastAsia="Wingdings" w:cs="Wingdings" w:ascii="Wingdings" w:hAnsi="Wingdings"/>
          <w:b/>
          <w:bCs/>
          <w:i/>
          <w:color w:val="1F497D"/>
          <w:sz w:val="20"/>
          <w:szCs w:val="20"/>
          <w:vertAlign w:val="superscript"/>
          <w:lang w:val="en-US"/>
        </w:rPr>
      </w:r>
    </w:p>
    <w:p>
      <w:pPr>
        <w:pStyle w:val="Normal"/>
        <w:spacing w:lineRule="auto" w:line="240" w:before="0" w:after="0"/>
        <w:rPr>
          <w:rFonts w:ascii="Times New Roman" w:hAnsi="Times New Roman" w:eastAsia="Times New Roman" w:cs="Times New Roman"/>
          <w:lang w:val="en-US"/>
        </w:rPr>
      </w:pPr>
      <w:r>
        <w:rPr>
          <w:rFonts w:eastAsia="Wingdings" w:cs="Wingdings" w:ascii="Wingdings" w:hAnsi="Wingdings"/>
          <w:b/>
          <w:bCs/>
          <w:color w:val="1F497D"/>
          <w:vertAlign w:val="superscript"/>
        </w:rPr>
        <w:sym w:font="Wingdings" w:char="f02a"/>
      </w:r>
      <w:r>
        <w:rPr>
          <w:rFonts w:eastAsia="Times New Roman" w:cs="Times New Roman" w:ascii="Times New Roman" w:hAnsi="Times New Roman"/>
          <w:lang w:val="en-US"/>
        </w:rPr>
        <w:t>Corresponding- author</w:t>
      </w:r>
      <w:r>
        <w:rPr>
          <w:rFonts w:eastAsia="Times New Roman" w:cs="Times New Roman" w:ascii="Times New Roman" w:hAnsi="Times New Roman"/>
          <w:b/>
          <w:bCs/>
          <w:lang w:val="en-US"/>
        </w:rPr>
        <w:t>:</w:t>
      </w:r>
      <w:r>
        <w:rPr>
          <w:rFonts w:eastAsia="Times New Roman" w:cs="Times New Roman" w:ascii="Times New Roman" w:hAnsi="Times New Roman"/>
          <w:lang w:val="en-US"/>
        </w:rPr>
        <w:t xml:space="preserve"> maldynova.a@uib.kz</w:t>
      </w:r>
    </w:p>
    <w:p>
      <w:pPr>
        <w:pStyle w:val="Normal"/>
        <w:spacing w:lineRule="auto" w:line="240" w:before="0" w:after="0"/>
        <w:ind w:firstLine="567"/>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digitalization of healthcare is becoming a crucial factor in improving the efficiency and accessibility of medical services worldwide. In Kazakhstan, the level of digital transformation remains uneven across regions. This research focuses on the East Kazakhstan Region, aiming to evaluate the impact of digitalization on healthcare services and identify the relationship between ICT integration and key demographic indicators.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research is based on statistical data from the Bureau of National Statistics of Kazakhstan, Ministry of Healthcare reports, and international sources covering the period 2020–2024. Methods applied include comparative and statistical analysis, trend modeling, and geographical contextualization with emphasis on regional healthcare infrastructure in Ust-Kamenogorsk.</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research revealed a positive correlation between the increase in ICT specialists and improvements in mortality indicators, particularly maternal mortality. Results demonstrate a twofold increase in computer literacy among healthcare employees, significant growth in internet usage for professional tasks, and progressive but uneven adoption of ICT across healthcare institutions. Despite positive dynamics, challenges persist: insufficient funding for ICT, shortage of cybersecurity specialists, and limited training opportunities.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sz w:val="24"/>
          <w:szCs w:val="24"/>
          <w:lang w:val="en-US"/>
        </w:rPr>
        <w:t>The novelty of this research lies in its regional focus: it is the first systematic analysis of healthcare digitalization in the East Kazakhstan Region. The findings extend existing theoretical frameworks by incorporating regional heterogeneity and provide practical insights for policymakers to enhance digital healthcare strategies in Kazakhstan.</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t xml:space="preserve">Keywords: </w:t>
      </w:r>
      <w:r>
        <w:rPr>
          <w:rFonts w:eastAsia="Times New Roman" w:cs="Times New Roman" w:ascii="Times New Roman" w:hAnsi="Times New Roman"/>
          <w:bCs/>
          <w:sz w:val="24"/>
          <w:szCs w:val="24"/>
          <w:lang w:val="en-US"/>
        </w:rPr>
        <w:t>economics, economics of medical services, e-health, socio-economic development, digitalization, information and communication technologies.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spacing w:lineRule="auto" w:line="240" w:before="0" w:after="0"/>
        <w:ind w:firstLine="567"/>
        <w:jc w:val="center"/>
        <w:rPr>
          <w:rFonts w:ascii="Times New Roman" w:hAnsi="Times New Roman" w:eastAsia="Times New Roman" w:cs="Times New Roman"/>
          <w:b/>
          <w:lang w:val="en-US"/>
        </w:rPr>
      </w:pPr>
      <w:r>
        <w:rPr>
          <w:rFonts w:eastAsia="Times New Roman" w:cs="Times New Roman" w:ascii="Times New Roman" w:hAnsi="Times New Roman"/>
          <w:b/>
        </w:rPr>
        <w:t>ШЫҒЫС</w:t>
      </w:r>
      <w:r>
        <w:rPr>
          <w:rFonts w:eastAsia="Times New Roman" w:cs="Times New Roman" w:ascii="Times New Roman" w:hAnsi="Times New Roman"/>
          <w:b/>
          <w:lang w:val="en-US"/>
        </w:rPr>
        <w:t xml:space="preserve"> </w:t>
      </w:r>
      <w:r>
        <w:rPr>
          <w:rFonts w:eastAsia="Times New Roman" w:cs="Times New Roman" w:ascii="Times New Roman" w:hAnsi="Times New Roman"/>
          <w:b/>
        </w:rPr>
        <w:t>ҚАЗАҚСТАН</w:t>
      </w:r>
      <w:r>
        <w:rPr>
          <w:rFonts w:eastAsia="Times New Roman" w:cs="Times New Roman" w:ascii="Times New Roman" w:hAnsi="Times New Roman"/>
          <w:b/>
          <w:lang w:val="en-US"/>
        </w:rPr>
        <w:t xml:space="preserve"> </w:t>
      </w:r>
      <w:r>
        <w:rPr>
          <w:rFonts w:eastAsia="Times New Roman" w:cs="Times New Roman" w:ascii="Times New Roman" w:hAnsi="Times New Roman"/>
          <w:b/>
        </w:rPr>
        <w:t>ОБЛЫСЫНДАҒЫ</w:t>
      </w:r>
      <w:r>
        <w:rPr>
          <w:rFonts w:eastAsia="Times New Roman" w:cs="Times New Roman" w:ascii="Times New Roman" w:hAnsi="Times New Roman"/>
          <w:b/>
          <w:lang w:val="en-US"/>
        </w:rPr>
        <w:t xml:space="preserve"> </w:t>
      </w:r>
      <w:r>
        <w:rPr>
          <w:rFonts w:eastAsia="Times New Roman" w:cs="Times New Roman" w:ascii="Times New Roman" w:hAnsi="Times New Roman"/>
          <w:b/>
        </w:rPr>
        <w:t>ЦИФРЛЫҚ</w:t>
      </w:r>
      <w:r>
        <w:rPr>
          <w:rFonts w:eastAsia="Times New Roman" w:cs="Times New Roman" w:ascii="Times New Roman" w:hAnsi="Times New Roman"/>
          <w:b/>
          <w:lang w:val="en-US"/>
        </w:rPr>
        <w:t xml:space="preserve"> </w:t>
      </w:r>
      <w:r>
        <w:rPr>
          <w:rFonts w:eastAsia="Times New Roman" w:cs="Times New Roman" w:ascii="Times New Roman" w:hAnsi="Times New Roman"/>
          <w:b/>
        </w:rPr>
        <w:t>ДЕНСАУЛЫҚ</w:t>
      </w:r>
      <w:r>
        <w:rPr>
          <w:rFonts w:eastAsia="Times New Roman" w:cs="Times New Roman" w:ascii="Times New Roman" w:hAnsi="Times New Roman"/>
          <w:b/>
          <w:lang w:val="en-US"/>
        </w:rPr>
        <w:t xml:space="preserve"> </w:t>
      </w:r>
      <w:r>
        <w:rPr>
          <w:rFonts w:eastAsia="Times New Roman" w:cs="Times New Roman" w:ascii="Times New Roman" w:hAnsi="Times New Roman"/>
          <w:b/>
        </w:rPr>
        <w:t>САҚТАУДЫҢ</w:t>
      </w:r>
      <w:r>
        <w:rPr>
          <w:rFonts w:eastAsia="Times New Roman" w:cs="Times New Roman" w:ascii="Times New Roman" w:hAnsi="Times New Roman"/>
          <w:b/>
          <w:lang w:val="en-US"/>
        </w:rPr>
        <w:t xml:space="preserve"> </w:t>
      </w:r>
      <w:r>
        <w:rPr>
          <w:rFonts w:eastAsia="Times New Roman" w:cs="Times New Roman" w:ascii="Times New Roman" w:hAnsi="Times New Roman"/>
          <w:b/>
        </w:rPr>
        <w:t>ДАМУЫНЫҢ</w:t>
      </w:r>
      <w:r>
        <w:rPr>
          <w:rFonts w:eastAsia="Times New Roman" w:cs="Times New Roman" w:ascii="Times New Roman" w:hAnsi="Times New Roman"/>
          <w:b/>
          <w:lang w:val="en-US"/>
        </w:rPr>
        <w:t xml:space="preserve"> </w:t>
      </w:r>
      <w:r>
        <w:rPr>
          <w:rFonts w:eastAsia="Times New Roman" w:cs="Times New Roman" w:ascii="Times New Roman" w:hAnsi="Times New Roman"/>
          <w:b/>
        </w:rPr>
        <w:t>ЭКОНОМИКАЛЫҚ</w:t>
      </w:r>
      <w:r>
        <w:rPr>
          <w:rFonts w:eastAsia="Times New Roman" w:cs="Times New Roman" w:ascii="Times New Roman" w:hAnsi="Times New Roman"/>
          <w:b/>
          <w:lang w:val="en-US"/>
        </w:rPr>
        <w:t xml:space="preserve"> </w:t>
      </w:r>
      <w:r>
        <w:rPr>
          <w:rFonts w:eastAsia="Times New Roman" w:cs="Times New Roman" w:ascii="Times New Roman" w:hAnsi="Times New Roman"/>
          <w:b/>
        </w:rPr>
        <w:t>ТАЛДАУЫ</w:t>
      </w:r>
    </w:p>
    <w:p>
      <w:pPr>
        <w:pStyle w:val="Normal"/>
        <w:spacing w:lineRule="auto" w:line="240" w:before="0" w:after="0"/>
        <w:ind w:firstLine="567"/>
        <w:jc w:val="center"/>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spacing w:lineRule="auto" w:line="240" w:before="0" w:after="0"/>
        <w:ind w:firstLine="567"/>
        <w:jc w:val="center"/>
        <w:rPr>
          <w:rFonts w:ascii="Times New Roman" w:hAnsi="Times New Roman" w:eastAsia="Times New Roman" w:cs="Times New Roman"/>
          <w:i/>
          <w:i/>
          <w:iCs/>
          <w:sz w:val="20"/>
          <w:szCs w:val="20"/>
          <w:vertAlign w:val="superscript"/>
          <w:lang w:val="en-US"/>
        </w:rPr>
      </w:pPr>
      <w:r>
        <w:rPr>
          <w:rFonts w:eastAsia="Times New Roman" w:cs="Times New Roman" w:ascii="Times New Roman" w:hAnsi="Times New Roman"/>
          <w:vertAlign w:val="superscript"/>
          <w:lang w:val="en-US"/>
        </w:rPr>
        <w:t>1</w:t>
      </w:r>
      <w:r>
        <w:rPr>
          <w:rFonts w:eastAsia="Times New Roman" w:cs="Times New Roman" w:ascii="Times New Roman" w:hAnsi="Times New Roman"/>
          <w:b/>
          <w:bCs/>
        </w:rPr>
        <w:t>А</w:t>
      </w:r>
      <w:r>
        <w:rPr>
          <w:rFonts w:eastAsia="Times New Roman" w:cs="Times New Roman" w:ascii="Times New Roman" w:hAnsi="Times New Roman"/>
          <w:b/>
          <w:bCs/>
          <w:lang w:val="en-US"/>
        </w:rPr>
        <w:t>.</w:t>
      </w:r>
      <w:r>
        <w:rPr>
          <w:rFonts w:eastAsia="Times New Roman" w:cs="Times New Roman" w:ascii="Times New Roman" w:hAnsi="Times New Roman"/>
          <w:b/>
          <w:bCs/>
        </w:rPr>
        <w:t>В</w:t>
      </w:r>
      <w:r>
        <w:rPr>
          <w:rFonts w:eastAsia="Times New Roman" w:cs="Times New Roman" w:ascii="Times New Roman" w:hAnsi="Times New Roman"/>
          <w:b/>
          <w:bCs/>
          <w:lang w:val="en-US"/>
        </w:rPr>
        <w:t xml:space="preserve">. </w:t>
      </w:r>
      <w:r>
        <w:rPr>
          <w:rFonts w:eastAsia="Times New Roman" w:cs="Times New Roman" w:ascii="Times New Roman" w:hAnsi="Times New Roman"/>
          <w:b/>
          <w:bCs/>
        </w:rPr>
        <w:t>Малдынова</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2</w:t>
      </w:r>
      <w:r>
        <w:rPr>
          <w:rFonts w:eastAsia="Times New Roman" w:cs="Times New Roman" w:ascii="Times New Roman" w:hAnsi="Times New Roman"/>
          <w:b/>
          <w:bCs/>
        </w:rPr>
        <w:t>Н</w:t>
      </w:r>
      <w:r>
        <w:rPr>
          <w:rFonts w:eastAsia="Times New Roman" w:cs="Times New Roman" w:ascii="Times New Roman" w:hAnsi="Times New Roman"/>
          <w:b/>
          <w:bCs/>
          <w:lang w:val="en-US"/>
        </w:rPr>
        <w:t xml:space="preserve">. </w:t>
      </w:r>
      <w:r>
        <w:rPr>
          <w:rFonts w:eastAsia="Times New Roman" w:cs="Times New Roman" w:ascii="Times New Roman" w:hAnsi="Times New Roman"/>
          <w:b/>
          <w:bCs/>
        </w:rPr>
        <w:t>Айдарғалиева</w:t>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3</w:t>
      </w:r>
      <w:r>
        <w:rPr>
          <w:rFonts w:eastAsia="Times New Roman" w:cs="Times New Roman" w:ascii="Times New Roman" w:hAnsi="Times New Roman"/>
          <w:b/>
          <w:bCs/>
        </w:rPr>
        <w:t>Д</w:t>
      </w:r>
      <w:r>
        <w:rPr>
          <w:rFonts w:eastAsia="Times New Roman" w:cs="Times New Roman" w:ascii="Times New Roman" w:hAnsi="Times New Roman"/>
          <w:b/>
          <w:bCs/>
          <w:lang w:val="en-US"/>
        </w:rPr>
        <w:t>.</w:t>
      </w:r>
      <w:r>
        <w:rPr>
          <w:rFonts w:eastAsia="Times New Roman" w:cs="Times New Roman" w:ascii="Times New Roman" w:hAnsi="Times New Roman"/>
          <w:b/>
          <w:bCs/>
        </w:rPr>
        <w:t>Мұсабалина</w:t>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4</w:t>
      </w:r>
      <w:r>
        <w:rPr>
          <w:rFonts w:eastAsia="Times New Roman" w:cs="Times New Roman" w:ascii="Times New Roman" w:hAnsi="Times New Roman"/>
          <w:b/>
          <w:bCs/>
        </w:rPr>
        <w:t>Ж</w:t>
      </w:r>
      <w:r>
        <w:rPr>
          <w:rFonts w:eastAsia="Times New Roman" w:cs="Times New Roman" w:ascii="Times New Roman" w:hAnsi="Times New Roman"/>
          <w:b/>
          <w:bCs/>
          <w:lang w:val="en-US"/>
        </w:rPr>
        <w:t>.</w:t>
      </w:r>
      <w:r>
        <w:rPr>
          <w:rFonts w:eastAsia="Times New Roman" w:cs="Times New Roman" w:ascii="Times New Roman" w:hAnsi="Times New Roman"/>
          <w:b/>
          <w:bCs/>
        </w:rPr>
        <w:t>С</w:t>
      </w:r>
      <w:r>
        <w:rPr>
          <w:rFonts w:eastAsia="Times New Roman" w:cs="Times New Roman" w:ascii="Times New Roman" w:hAnsi="Times New Roman"/>
          <w:b/>
          <w:bCs/>
          <w:lang w:val="en-US"/>
        </w:rPr>
        <w:t xml:space="preserve">. </w:t>
      </w:r>
      <w:r>
        <w:rPr>
          <w:rFonts w:eastAsia="Times New Roman" w:cs="Times New Roman" w:ascii="Times New Roman" w:hAnsi="Times New Roman"/>
          <w:b/>
          <w:bCs/>
        </w:rPr>
        <w:t>Әбдрахманова</w:t>
      </w:r>
      <w:r>
        <w:rPr>
          <w:rFonts w:eastAsia="Times New Roman" w:cs="Times New Roman" w:ascii="Times New Roman" w:hAnsi="Times New Roman"/>
          <w:b/>
          <w:bCs/>
          <w:lang w:val="en-US"/>
        </w:rPr>
        <w:t xml:space="preserve">, </w:t>
      </w:r>
      <w:r>
        <w:rPr>
          <w:rFonts w:eastAsia="Times New Roman" w:cs="Times New Roman" w:ascii="Times New Roman" w:hAnsi="Times New Roman"/>
          <w:b/>
          <w:bCs/>
          <w:vertAlign w:val="superscript"/>
          <w:lang w:val="en-US"/>
        </w:rPr>
        <w:t>5</w:t>
      </w:r>
      <w:r>
        <w:rPr>
          <w:rFonts w:eastAsia="Times New Roman" w:cs="Times New Roman" w:ascii="Times New Roman" w:hAnsi="Times New Roman"/>
          <w:b/>
          <w:bCs/>
        </w:rPr>
        <w:t>Т</w:t>
      </w:r>
      <w:r>
        <w:rPr>
          <w:rFonts w:eastAsia="Times New Roman" w:cs="Times New Roman" w:ascii="Times New Roman" w:hAnsi="Times New Roman"/>
          <w:b/>
          <w:bCs/>
          <w:lang w:val="en-US"/>
        </w:rPr>
        <w:t>.</w:t>
      </w:r>
      <w:r>
        <w:rPr>
          <w:rFonts w:eastAsia="Times New Roman" w:cs="Times New Roman" w:ascii="Times New Roman" w:hAnsi="Times New Roman"/>
          <w:b/>
          <w:bCs/>
        </w:rPr>
        <w:t>Ж</w:t>
      </w:r>
      <w:r>
        <w:rPr>
          <w:rFonts w:eastAsia="Times New Roman" w:cs="Times New Roman" w:ascii="Times New Roman" w:hAnsi="Times New Roman"/>
          <w:b/>
          <w:bCs/>
          <w:lang w:val="en-US"/>
        </w:rPr>
        <w:t>.</w:t>
      </w:r>
      <w:r>
        <w:rPr>
          <w:rFonts w:eastAsia="Times New Roman" w:cs="Times New Roman" w:ascii="Times New Roman" w:hAnsi="Times New Roman"/>
          <w:b/>
          <w:bCs/>
        </w:rPr>
        <w:t>Демесинов</w:t>
      </w:r>
    </w:p>
    <w:p>
      <w:pPr>
        <w:pStyle w:val="Normal"/>
        <w:spacing w:lineRule="auto" w:line="240" w:before="0" w:after="0"/>
        <w:ind w:firstLine="567"/>
        <w:jc w:val="center"/>
        <w:rPr>
          <w:rFonts w:ascii="Times New Roman" w:hAnsi="Times New Roman" w:eastAsia="Times New Roman" w:cs="Times New Roman"/>
          <w:i/>
          <w:i/>
          <w:iCs/>
          <w:sz w:val="20"/>
          <w:szCs w:val="20"/>
          <w:vertAlign w:val="superscript"/>
          <w:lang w:val="en-US"/>
        </w:rPr>
      </w:pPr>
      <w:r>
        <w:rPr>
          <w:rFonts w:eastAsia="Times New Roman" w:cs="Times New Roman" w:ascii="Times New Roman" w:hAnsi="Times New Roman"/>
          <w:i/>
          <w:iCs/>
          <w:sz w:val="20"/>
          <w:szCs w:val="20"/>
          <w:vertAlign w:val="superscript"/>
          <w:lang w:val="en-US"/>
        </w:rPr>
        <w:t>1</w:t>
      </w:r>
      <w:r>
        <w:rPr>
          <w:rFonts w:eastAsia="Times New Roman" w:cs="Times New Roman" w:ascii="Times New Roman" w:hAnsi="Times New Roman"/>
          <w:i/>
          <w:iCs/>
          <w:sz w:val="20"/>
          <w:szCs w:val="20"/>
        </w:rPr>
        <w:t>Кенжегали</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Сагадиев</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атындағы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Халықаралық</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бизнес</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университеті</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Алматы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Қазақстан</w:t>
      </w:r>
      <w:r>
        <w:rPr>
          <w:rFonts w:eastAsia="Times New Roman" w:cs="Times New Roman" w:ascii="Times New Roman" w:hAnsi="Times New Roman"/>
          <w:i/>
          <w:iCs/>
          <w:sz w:val="20"/>
          <w:szCs w:val="20"/>
          <w:lang w:val="en-US"/>
        </w:rPr>
        <w:t>,</w:t>
        <w:br/>
      </w:r>
      <w:r>
        <w:rPr>
          <w:rFonts w:eastAsia="Times New Roman" w:cs="Times New Roman" w:ascii="Times New Roman" w:hAnsi="Times New Roman"/>
          <w:i/>
          <w:iCs/>
          <w:sz w:val="20"/>
          <w:szCs w:val="20"/>
          <w:vertAlign w:val="superscript"/>
          <w:lang w:val="en-US"/>
        </w:rPr>
        <w:t>2</w:t>
      </w:r>
      <w:r>
        <w:rPr>
          <w:rFonts w:eastAsia="Times New Roman" w:cs="Times New Roman" w:ascii="Times New Roman" w:hAnsi="Times New Roman"/>
          <w:i/>
          <w:iCs/>
          <w:sz w:val="20"/>
          <w:szCs w:val="20"/>
        </w:rPr>
        <w:t>Л</w:t>
      </w:r>
      <w:r>
        <w:rPr>
          <w:rFonts w:eastAsia="Times New Roman" w:cs="Times New Roman" w:ascii="Times New Roman" w:hAnsi="Times New Roman"/>
          <w:i/>
          <w:iCs/>
          <w:sz w:val="20"/>
          <w:szCs w:val="20"/>
          <w:lang w:val="en-US"/>
        </w:rPr>
        <w:t>.</w:t>
      </w:r>
      <w:r>
        <w:rPr>
          <w:rFonts w:eastAsia="Times New Roman" w:cs="Times New Roman" w:ascii="Times New Roman" w:hAnsi="Times New Roman"/>
          <w:i/>
          <w:iCs/>
          <w:sz w:val="20"/>
          <w:szCs w:val="20"/>
        </w:rPr>
        <w:t>Н</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Гумилев</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атындағы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Еуразия</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ұлттық</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университеті</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Астана</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Қазақстан</w:t>
      </w:r>
      <w:r>
        <w:rPr>
          <w:rFonts w:eastAsia="Times New Roman" w:cs="Times New Roman" w:ascii="Times New Roman" w:hAnsi="Times New Roman"/>
          <w:i/>
          <w:iCs/>
          <w:sz w:val="20"/>
          <w:szCs w:val="20"/>
          <w:lang w:val="en-US"/>
        </w:rPr>
        <w:t>,</w:t>
        <w:br/>
      </w:r>
      <w:r>
        <w:rPr>
          <w:rFonts w:eastAsia="Times New Roman" w:cs="Times New Roman" w:ascii="Times New Roman" w:hAnsi="Times New Roman"/>
          <w:i/>
          <w:iCs/>
          <w:sz w:val="20"/>
          <w:szCs w:val="20"/>
          <w:vertAlign w:val="superscript"/>
          <w:lang w:val="en-US"/>
        </w:rPr>
        <w:t>3</w:t>
      </w:r>
      <w:r>
        <w:rPr>
          <w:rFonts w:eastAsia="Times New Roman" w:cs="Times New Roman" w:ascii="Times New Roman" w:hAnsi="Times New Roman"/>
          <w:i/>
          <w:iCs/>
          <w:sz w:val="20"/>
          <w:szCs w:val="20"/>
        </w:rPr>
        <w:t>Абай</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атындағы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ұлттық</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педагогикалық</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университеті</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Алматы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Қазақстан</w:t>
      </w:r>
      <w:r>
        <w:rPr>
          <w:rFonts w:eastAsia="Times New Roman" w:cs="Times New Roman" w:ascii="Times New Roman" w:hAnsi="Times New Roman"/>
          <w:i/>
          <w:iCs/>
          <w:sz w:val="20"/>
          <w:szCs w:val="20"/>
          <w:lang w:val="en-US"/>
        </w:rPr>
        <w:t>,</w:t>
        <w:br/>
      </w:r>
      <w:r>
        <w:rPr>
          <w:rFonts w:eastAsia="Times New Roman" w:cs="Times New Roman" w:ascii="Times New Roman" w:hAnsi="Times New Roman"/>
          <w:i/>
          <w:iCs/>
          <w:sz w:val="20"/>
          <w:szCs w:val="20"/>
          <w:vertAlign w:val="superscript"/>
          <w:lang w:val="en-US"/>
        </w:rPr>
        <w:t>4</w:t>
      </w:r>
      <w:r>
        <w:rPr>
          <w:rFonts w:eastAsia="Times New Roman" w:cs="Times New Roman" w:ascii="Times New Roman" w:hAnsi="Times New Roman"/>
          <w:i/>
          <w:iCs/>
          <w:sz w:val="20"/>
          <w:szCs w:val="20"/>
        </w:rPr>
        <w:t>Д</w:t>
      </w:r>
      <w:r>
        <w:rPr>
          <w:rFonts w:eastAsia="Times New Roman" w:cs="Times New Roman" w:ascii="Times New Roman" w:hAnsi="Times New Roman"/>
          <w:i/>
          <w:iCs/>
          <w:sz w:val="20"/>
          <w:szCs w:val="20"/>
          <w:lang w:val="en-US"/>
        </w:rPr>
        <w:t>.</w:t>
      </w:r>
      <w:r>
        <w:rPr>
          <w:rFonts w:eastAsia="Times New Roman" w:cs="Times New Roman" w:ascii="Times New Roman" w:hAnsi="Times New Roman"/>
          <w:i/>
          <w:iCs/>
          <w:sz w:val="20"/>
          <w:szCs w:val="20"/>
        </w:rPr>
        <w:t>Серікбаев</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атындағы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Шығыс</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Қазақстан</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техникалық</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университеті</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Өскемен</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Қазақстан</w:t>
      </w:r>
      <w:r>
        <w:rPr>
          <w:rFonts w:eastAsia="Times New Roman" w:cs="Times New Roman" w:ascii="Times New Roman" w:hAnsi="Times New Roman"/>
          <w:i/>
          <w:iCs/>
          <w:sz w:val="20"/>
          <w:szCs w:val="20"/>
          <w:lang w:val="en-US"/>
        </w:rPr>
        <w:t>,</w:t>
      </w:r>
    </w:p>
    <w:p>
      <w:pPr>
        <w:pStyle w:val="Normal"/>
        <w:spacing w:lineRule="auto" w:line="240" w:before="0" w:after="0"/>
        <w:ind w:firstLine="567"/>
        <w:jc w:val="center"/>
        <w:rPr>
          <w:rFonts w:ascii="Wingdings" w:hAnsi="Wingdings" w:eastAsia="Wingdings" w:cs="Wingdings"/>
          <w:b/>
          <w:bCs/>
          <w:color w:val="1F497D"/>
          <w:sz w:val="20"/>
          <w:szCs w:val="20"/>
          <w:vertAlign w:val="superscript"/>
          <w:lang w:val="en-US"/>
        </w:rPr>
      </w:pPr>
      <w:r>
        <w:rPr>
          <w:rFonts w:eastAsia="Times New Roman" w:cs="Times New Roman" w:ascii="Times New Roman" w:hAnsi="Times New Roman"/>
          <w:i/>
          <w:iCs/>
          <w:sz w:val="20"/>
          <w:szCs w:val="20"/>
          <w:vertAlign w:val="superscript"/>
          <w:lang w:val="en-US"/>
        </w:rPr>
        <w:t>5</w:t>
      </w:r>
      <w:r>
        <w:rPr>
          <w:rFonts w:eastAsia="Times New Roman" w:cs="Times New Roman" w:ascii="Times New Roman" w:hAnsi="Times New Roman"/>
          <w:i/>
          <w:iCs/>
          <w:sz w:val="20"/>
          <w:szCs w:val="20"/>
        </w:rPr>
        <w:t>Ш</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Уәлиханов</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атындағы</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Көкшетау</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университеті</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Көкшетау</w:t>
      </w:r>
      <w:r>
        <w:rPr>
          <w:rFonts w:eastAsia="Times New Roman" w:cs="Times New Roman" w:ascii="Times New Roman" w:hAnsi="Times New Roman"/>
          <w:i/>
          <w:iCs/>
          <w:sz w:val="20"/>
          <w:szCs w:val="20"/>
          <w:lang w:val="en-US"/>
        </w:rPr>
        <w:t xml:space="preserve">, </w:t>
      </w:r>
      <w:r>
        <w:rPr>
          <w:rFonts w:eastAsia="Times New Roman" w:cs="Times New Roman" w:ascii="Times New Roman" w:hAnsi="Times New Roman"/>
          <w:i/>
          <w:iCs/>
          <w:sz w:val="20"/>
          <w:szCs w:val="20"/>
        </w:rPr>
        <w:t>Қазақстан</w:t>
      </w:r>
      <w:r>
        <w:rPr>
          <w:rFonts w:eastAsia="Times New Roman" w:cs="Times New Roman" w:ascii="Times New Roman" w:hAnsi="Times New Roman"/>
          <w:i/>
          <w:iCs/>
          <w:sz w:val="20"/>
          <w:szCs w:val="20"/>
          <w:lang w:val="en-US"/>
        </w:rPr>
        <w:t>,</w:t>
      </w:r>
    </w:p>
    <w:p>
      <w:pPr>
        <w:pStyle w:val="Normal"/>
        <w:spacing w:lineRule="auto" w:line="240" w:before="0" w:after="0"/>
        <w:ind w:firstLine="567"/>
        <w:jc w:val="center"/>
        <w:rPr>
          <w:rFonts w:ascii="Times New Roman" w:hAnsi="Times New Roman" w:eastAsia="Times New Roman" w:cs="Times New Roman"/>
          <w:b/>
          <w:lang w:val="en-US"/>
        </w:rPr>
      </w:pPr>
      <w:r>
        <w:rPr>
          <w:rFonts w:eastAsia="Times New Roman" w:cs="Times New Roman" w:ascii="Times New Roman" w:hAnsi="Times New Roman"/>
          <w:iCs/>
          <w:lang w:val="en-US"/>
        </w:rPr>
        <w:t>e-mail: maldynova.a@uib.kz</w:t>
      </w:r>
    </w:p>
    <w:p>
      <w:pPr>
        <w:pStyle w:val="Normal"/>
        <w:spacing w:lineRule="auto" w:line="240" w:before="0" w:after="0"/>
        <w:ind w:firstLine="567"/>
        <w:jc w:val="center"/>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spacing w:lineRule="auto" w:line="240" w:before="0" w:after="0"/>
        <w:ind w:firstLine="567"/>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сақтауды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цифрландыру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бүкіл</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әлем</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бойынша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қызметтерінің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тиімділігі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мен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қолжетімділігін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арттырудың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маңызды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факторына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айналуда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Қазақстанда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цифрлық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трансформация</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деңгейі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өңірлер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бойынша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біркелкі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емес</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Бұл</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зерттеу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Шығыс</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Қазақстан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облысына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бағытталған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цифрландырудың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қызметтеріне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әсерін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бағалауға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АКТ</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интеграциясы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мен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негізгі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демографиялық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көрсеткіштер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арасындағы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байланысты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анықтауға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бағытталған</w:t>
      </w:r>
      <w:r>
        <w:rPr>
          <w:rFonts w:eastAsia="Times New Roman" w:cs="Times New Roman" w:ascii="Times New Roman" w:hAnsi="Times New Roman"/>
          <w:bCs/>
          <w:sz w:val="24"/>
          <w:szCs w:val="24"/>
          <w:lang w:val="en-US"/>
        </w:rPr>
        <w:t>.</w:t>
      </w:r>
    </w:p>
    <w:p>
      <w:pPr>
        <w:pStyle w:val="Normal"/>
        <w:spacing w:lineRule="auto" w:line="240" w:before="0" w:after="0"/>
        <w:ind w:firstLine="567"/>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rPr>
        <w:t>Зерттеу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Қазақстан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Республикасы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Ұлттық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статистика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басқармасының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статистикалық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деректеріне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министрлігінің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есептеріне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2020–2024 </w:t>
      </w:r>
      <w:r>
        <w:rPr>
          <w:rFonts w:eastAsia="Times New Roman" w:cs="Times New Roman" w:ascii="Times New Roman" w:hAnsi="Times New Roman"/>
          <w:bCs/>
          <w:sz w:val="24"/>
          <w:szCs w:val="24"/>
        </w:rPr>
        <w:t>жылдарға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арналған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халықаралық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ақпарат</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көздеріне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негізделген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Пайдаланылған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әдістерге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салыстырмалы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статистикалық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талдау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трендтерді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модельдеу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Өскемендегі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сақтаудың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өңірлік</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инфрақұрылымына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назар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аудара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отырып</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географиялық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контекстуализация</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кіреді</w:t>
      </w:r>
      <w:r>
        <w:rPr>
          <w:rFonts w:eastAsia="Times New Roman" w:cs="Times New Roman" w:ascii="Times New Roman" w:hAnsi="Times New Roman"/>
          <w:bCs/>
          <w:sz w:val="24"/>
          <w:szCs w:val="24"/>
          <w:lang w:val="en-US"/>
        </w:rPr>
        <w:t>.</w:t>
      </w:r>
    </w:p>
    <w:p>
      <w:pPr>
        <w:pStyle w:val="Normal"/>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bCs/>
          <w:sz w:val="24"/>
          <w:szCs w:val="24"/>
        </w:rPr>
        <w:t>Зерттеу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АКТ</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мамандарының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санының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артуы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мен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өлім</w:t>
      </w:r>
      <w:r>
        <w:rPr>
          <w:rFonts w:eastAsia="Times New Roman" w:cs="Times New Roman" w:ascii="Times New Roman" w:hAnsi="Times New Roman"/>
          <w:bCs/>
          <w:sz w:val="24"/>
          <w:szCs w:val="24"/>
          <w:lang w:val="en-US"/>
        </w:rPr>
        <w:t>-</w:t>
      </w:r>
      <w:r>
        <w:rPr>
          <w:rFonts w:eastAsia="Times New Roman" w:cs="Times New Roman" w:ascii="Times New Roman" w:hAnsi="Times New Roman"/>
          <w:bCs/>
          <w:sz w:val="24"/>
          <w:szCs w:val="24"/>
        </w:rPr>
        <w:t>жітім</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көрсеткіштерінің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әсіресе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ана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өлімінің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жақсаруы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арасындағы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корреляцияны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анықтады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Нәтижелер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медицина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қызметкерлерінің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компьютерлік</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сауаттылығының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екі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есе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артқанын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Интернетті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кәсіби</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мақсатта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пайдаланудың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айтарлықтай</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артқанын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мекемелерінде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АКТ</w:t>
      </w:r>
      <w:r>
        <w:rPr>
          <w:rFonts w:eastAsia="Times New Roman" w:cs="Times New Roman" w:ascii="Times New Roman" w:hAnsi="Times New Roman"/>
          <w:bCs/>
          <w:sz w:val="24"/>
          <w:szCs w:val="24"/>
          <w:lang w:val="en-US"/>
        </w:rPr>
        <w:t>-</w:t>
      </w:r>
      <w:r>
        <w:rPr>
          <w:rFonts w:eastAsia="Times New Roman" w:cs="Times New Roman" w:ascii="Times New Roman" w:hAnsi="Times New Roman"/>
          <w:bCs/>
          <w:sz w:val="24"/>
          <w:szCs w:val="24"/>
        </w:rPr>
        <w:t>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біртіндеп</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бірақ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біркелкі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емес</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енгізілуін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көрсетеді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динамикаға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қарамастан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проблемалар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сақталуда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АКТ</w:t>
      </w:r>
      <w:r>
        <w:rPr>
          <w:rFonts w:eastAsia="Times New Roman" w:cs="Times New Roman" w:ascii="Times New Roman" w:hAnsi="Times New Roman"/>
          <w:bCs/>
          <w:sz w:val="24"/>
          <w:szCs w:val="24"/>
          <w:lang w:val="en-US"/>
        </w:rPr>
        <w:t>-</w:t>
      </w:r>
      <w:r>
        <w:rPr>
          <w:rFonts w:eastAsia="Times New Roman" w:cs="Times New Roman" w:ascii="Times New Roman" w:hAnsi="Times New Roman"/>
          <w:bCs/>
          <w:sz w:val="24"/>
          <w:szCs w:val="24"/>
        </w:rPr>
        <w:t>ны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қаржыландырудың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жеткіліксіздігі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киберқауіпсіздік</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мамандарының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тапшылығы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оқыту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мүмкіндіктерінің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шектеулілігі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Бұл</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зерттеудің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жаңалығы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оның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аймақтық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бағытталуында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бұл</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Шығыс</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Қазақстан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облысындағы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саласын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цифрландырудың</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бірінші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жүйелі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талдауы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Нәтижелер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аймақтық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әркелкілікті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ескере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отырып</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қолданыстағы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теориялық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негізді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кеңейтеді</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және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саясаткерлерге</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Қазақстандағы</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цифрлық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стратегияларын</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жетілдіру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бойынша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практикалық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ұсыныстар</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береді</w:t>
      </w:r>
      <w:r>
        <w:rPr>
          <w:rFonts w:eastAsia="Times New Roman" w:cs="Times New Roman" w:ascii="Times New Roman" w:hAnsi="Times New Roman"/>
          <w:bCs/>
          <w:sz w:val="24"/>
          <w:szCs w:val="24"/>
          <w:lang w:val="en-US"/>
        </w:rPr>
        <w:t xml:space="preserve">. </w:t>
      </w:r>
    </w:p>
    <w:p>
      <w:pPr>
        <w:pStyle w:val="Normal"/>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rPr>
        <w:t>Түйін</w:t>
      </w:r>
      <w:r>
        <w:rPr>
          <w:rFonts w:eastAsia="Times New Roman" w:cs="Times New Roman" w:ascii="Times New Roman" w:hAnsi="Times New Roman"/>
          <w:b/>
          <w:sz w:val="24"/>
          <w:szCs w:val="24"/>
          <w:lang w:val="en-US"/>
        </w:rPr>
        <w:t xml:space="preserve"> </w:t>
      </w:r>
      <w:r>
        <w:rPr>
          <w:rFonts w:eastAsia="Times New Roman" w:cs="Times New Roman" w:ascii="Times New Roman" w:hAnsi="Times New Roman"/>
          <w:b/>
          <w:sz w:val="24"/>
          <w:szCs w:val="24"/>
        </w:rPr>
        <w:t>сөздер</w:t>
      </w:r>
      <w:r>
        <w:rPr>
          <w:rFonts w:eastAsia="Times New Roman" w:cs="Times New Roman" w:ascii="Times New Roman" w:hAnsi="Times New Roman"/>
          <w:b/>
          <w:sz w:val="24"/>
          <w:szCs w:val="24"/>
          <w:lang w:val="en-US"/>
        </w:rPr>
        <w:t xml:space="preserve">: </w:t>
      </w:r>
      <w:r>
        <w:rPr>
          <w:rFonts w:eastAsia="Times New Roman" w:cs="Times New Roman" w:ascii="Times New Roman" w:hAnsi="Times New Roman"/>
          <w:bCs/>
          <w:sz w:val="24"/>
          <w:szCs w:val="24"/>
        </w:rPr>
        <w:t>экономика</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медициналық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қызмет</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көрсету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экономикасы</w:t>
      </w:r>
      <w:r>
        <w:rPr>
          <w:rFonts w:eastAsia="Times New Roman" w:cs="Times New Roman" w:ascii="Times New Roman" w:hAnsi="Times New Roman"/>
          <w:bCs/>
          <w:sz w:val="24"/>
          <w:szCs w:val="24"/>
          <w:lang w:val="en-US"/>
        </w:rPr>
        <w:t>,</w:t>
      </w:r>
      <w:r>
        <w:rPr>
          <w:rFonts w:eastAsia="Times New Roman" w:cs="Times New Roman" w:ascii="Times New Roman" w:hAnsi="Times New Roman"/>
          <w:b/>
          <w:sz w:val="24"/>
          <w:szCs w:val="24"/>
          <w:lang w:val="en-US"/>
        </w:rPr>
        <w:t xml:space="preserve"> </w:t>
      </w:r>
      <w:r>
        <w:rPr>
          <w:rFonts w:eastAsia="Times New Roman" w:cs="Times New Roman" w:ascii="Times New Roman" w:hAnsi="Times New Roman"/>
          <w:b/>
          <w:sz w:val="24"/>
          <w:szCs w:val="24"/>
        </w:rPr>
        <w:t>электрондық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денсаулық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сақтау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әлеуметтік</w:t>
      </w:r>
      <w:r>
        <w:rPr>
          <w:rFonts w:eastAsia="Times New Roman" w:cs="Times New Roman" w:ascii="Times New Roman" w:hAnsi="Times New Roman"/>
          <w:bCs/>
          <w:sz w:val="24"/>
          <w:szCs w:val="24"/>
          <w:lang w:val="en-US"/>
        </w:rPr>
        <w:t>-</w:t>
      </w:r>
      <w:r>
        <w:rPr>
          <w:rFonts w:eastAsia="Times New Roman" w:cs="Times New Roman" w:ascii="Times New Roman" w:hAnsi="Times New Roman"/>
          <w:bCs/>
          <w:sz w:val="24"/>
          <w:szCs w:val="24"/>
        </w:rPr>
        <w:t>экономикалық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даму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цифрландыру</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ақпараттық</w:t>
      </w:r>
      <w:r>
        <w:rPr>
          <w:rFonts w:eastAsia="Times New Roman" w:cs="Times New Roman" w:ascii="Times New Roman" w:hAnsi="Times New Roman"/>
          <w:bCs/>
          <w:sz w:val="24"/>
          <w:szCs w:val="24"/>
          <w:lang w:val="en-US"/>
        </w:rPr>
        <w:t>-</w:t>
      </w:r>
      <w:r>
        <w:rPr>
          <w:rFonts w:eastAsia="Times New Roman" w:cs="Times New Roman" w:ascii="Times New Roman" w:hAnsi="Times New Roman"/>
          <w:bCs/>
          <w:sz w:val="24"/>
          <w:szCs w:val="24"/>
        </w:rPr>
        <w:t>коммуникациялық</w:t>
      </w:r>
      <w:r>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rPr>
        <w:t>технологиялар</w:t>
      </w:r>
      <w:r>
        <w:rPr>
          <w:rFonts w:eastAsia="Times New Roman" w:cs="Times New Roman" w:ascii="Times New Roman" w:hAnsi="Times New Roman"/>
          <w:bCs/>
          <w:sz w:val="24"/>
          <w:szCs w:val="24"/>
          <w:lang w:val="en-US"/>
        </w:rPr>
        <w:t>.</w:t>
      </w:r>
    </w:p>
    <w:p>
      <w:pPr>
        <w:pStyle w:val="Normal"/>
        <w:spacing w:lineRule="auto" w:line="240" w:before="0" w:after="0"/>
        <w:ind w:firstLine="567"/>
        <w:jc w:val="center"/>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spacing w:lineRule="auto" w:line="240" w:before="0" w:after="0"/>
        <w:ind w:firstLine="567"/>
        <w:jc w:val="center"/>
        <w:rPr>
          <w:rFonts w:ascii="Times New Roman" w:hAnsi="Times New Roman" w:eastAsia="Times New Roman" w:cs="Times New Roman"/>
          <w:b/>
        </w:rPr>
      </w:pPr>
      <w:r>
        <w:rPr>
          <w:rFonts w:eastAsia="Times New Roman" w:cs="Times New Roman" w:ascii="Times New Roman" w:hAnsi="Times New Roman"/>
          <w:b/>
        </w:rPr>
        <w:t>ЭКОНОМИЧЕСКИЙ АНАЛИЗ РАЗВИТИЯ ЦИФРОВОГО ЗДРАВООХРАНЕНИЯ В ВОСТОЧНО-КАЗАХСТАНСКОЙ ОБЛАСТИ</w:t>
      </w:r>
    </w:p>
    <w:p>
      <w:pPr>
        <w:pStyle w:val="Normal"/>
        <w:spacing w:lineRule="auto" w:line="240" w:before="0" w:after="0"/>
        <w:ind w:firstLine="567"/>
        <w:jc w:val="center"/>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0" w:after="0"/>
        <w:ind w:firstLine="567"/>
        <w:jc w:val="center"/>
        <w:rPr>
          <w:rFonts w:ascii="Times New Roman" w:hAnsi="Times New Roman" w:eastAsia="Times New Roman" w:cs="Times New Roman"/>
          <w:bCs/>
          <w:i/>
          <w:i/>
          <w:iCs/>
          <w:sz w:val="20"/>
          <w:szCs w:val="20"/>
          <w:vertAlign w:val="superscript"/>
        </w:rPr>
      </w:pPr>
      <w:r>
        <w:rPr>
          <w:rFonts w:eastAsia="Times New Roman" w:cs="Times New Roman" w:ascii="Times New Roman" w:hAnsi="Times New Roman"/>
          <w:b/>
          <w:bCs/>
          <w:vertAlign w:val="superscript"/>
        </w:rPr>
        <w:t>1</w:t>
      </w:r>
      <w:r>
        <w:rPr>
          <w:rFonts w:eastAsia="Times New Roman" w:cs="Times New Roman" w:ascii="Times New Roman" w:hAnsi="Times New Roman"/>
          <w:b/>
          <w:bCs/>
        </w:rPr>
        <w:t>А.В. Малдынова</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bCs/>
        </w:rPr>
        <w:t xml:space="preserve">, </w:t>
      </w:r>
      <w:r>
        <w:rPr>
          <w:rFonts w:eastAsia="Times New Roman" w:cs="Times New Roman" w:ascii="Times New Roman" w:hAnsi="Times New Roman"/>
          <w:b/>
          <w:bCs/>
          <w:vertAlign w:val="superscript"/>
        </w:rPr>
        <w:t>2</w:t>
      </w:r>
      <w:r>
        <w:rPr>
          <w:rFonts w:eastAsia="Times New Roman" w:cs="Times New Roman" w:ascii="Times New Roman" w:hAnsi="Times New Roman"/>
          <w:b/>
          <w:bCs/>
        </w:rPr>
        <w:t xml:space="preserve">Н. Айдаргалиева, </w:t>
      </w:r>
      <w:r>
        <w:rPr>
          <w:rFonts w:eastAsia="Times New Roman" w:cs="Times New Roman" w:ascii="Times New Roman" w:hAnsi="Times New Roman"/>
          <w:b/>
          <w:bCs/>
          <w:vertAlign w:val="superscript"/>
        </w:rPr>
        <w:t>3</w:t>
      </w:r>
      <w:r>
        <w:rPr>
          <w:rFonts w:eastAsia="Times New Roman" w:cs="Times New Roman" w:ascii="Times New Roman" w:hAnsi="Times New Roman"/>
          <w:b/>
          <w:bCs/>
        </w:rPr>
        <w:t xml:space="preserve">Д. Муссабалина, </w:t>
      </w:r>
      <w:r>
        <w:rPr>
          <w:rFonts w:eastAsia="Times New Roman" w:cs="Times New Roman" w:ascii="Times New Roman" w:hAnsi="Times New Roman"/>
          <w:b/>
          <w:bCs/>
          <w:vertAlign w:val="superscript"/>
        </w:rPr>
        <w:t>4</w:t>
      </w:r>
      <w:r>
        <w:rPr>
          <w:rFonts w:eastAsia="Times New Roman" w:cs="Times New Roman" w:ascii="Times New Roman" w:hAnsi="Times New Roman"/>
          <w:b/>
          <w:bCs/>
        </w:rPr>
        <w:t xml:space="preserve">Ж.С. Абдрахманова, </w:t>
      </w:r>
      <w:r>
        <w:rPr>
          <w:rFonts w:eastAsia="Times New Roman" w:cs="Times New Roman" w:ascii="Times New Roman" w:hAnsi="Times New Roman"/>
          <w:b/>
          <w:bCs/>
          <w:vertAlign w:val="superscript"/>
        </w:rPr>
        <w:t>5</w:t>
      </w:r>
      <w:r>
        <w:rPr>
          <w:rFonts w:eastAsia="Times New Roman" w:cs="Times New Roman" w:ascii="Times New Roman" w:hAnsi="Times New Roman"/>
          <w:b/>
          <w:bCs/>
        </w:rPr>
        <w:t>Т.Ж.Демесинов</w:t>
      </w:r>
    </w:p>
    <w:p>
      <w:pPr>
        <w:pStyle w:val="Normal"/>
        <w:spacing w:lineRule="auto" w:line="240" w:before="0" w:after="0"/>
        <w:ind w:firstLine="567"/>
        <w:jc w:val="center"/>
        <w:rPr>
          <w:rFonts w:ascii="Times New Roman" w:hAnsi="Times New Roman" w:eastAsia="Times New Roman" w:cs="Times New Roman"/>
          <w:bCs/>
          <w:i/>
          <w:i/>
          <w:iCs/>
          <w:sz w:val="20"/>
          <w:szCs w:val="20"/>
          <w:vertAlign w:val="superscript"/>
        </w:rPr>
      </w:pPr>
      <w:r>
        <w:rPr>
          <w:rFonts w:eastAsia="Times New Roman" w:cs="Times New Roman" w:ascii="Times New Roman" w:hAnsi="Times New Roman"/>
          <w:bCs/>
          <w:i/>
          <w:iCs/>
          <w:sz w:val="20"/>
          <w:szCs w:val="20"/>
          <w:vertAlign w:val="superscript"/>
        </w:rPr>
        <w:t>1</w:t>
      </w:r>
      <w:r>
        <w:rPr>
          <w:rFonts w:eastAsia="Times New Roman" w:cs="Times New Roman" w:ascii="Times New Roman" w:hAnsi="Times New Roman"/>
          <w:bCs/>
          <w:i/>
          <w:iCs/>
          <w:sz w:val="20"/>
          <w:szCs w:val="20"/>
        </w:rPr>
        <w:t>Университет международного бизнеса имени Кенжегали Сагадиева, Алматы, Казахстан,</w:t>
        <w:br/>
      </w:r>
      <w:r>
        <w:rPr>
          <w:rFonts w:eastAsia="Times New Roman" w:cs="Times New Roman" w:ascii="Times New Roman" w:hAnsi="Times New Roman"/>
          <w:bCs/>
          <w:i/>
          <w:iCs/>
          <w:sz w:val="20"/>
          <w:szCs w:val="20"/>
          <w:vertAlign w:val="superscript"/>
        </w:rPr>
        <w:t>2</w:t>
      </w:r>
      <w:r>
        <w:rPr>
          <w:rFonts w:eastAsia="Times New Roman" w:cs="Times New Roman" w:ascii="Times New Roman" w:hAnsi="Times New Roman"/>
          <w:bCs/>
          <w:i/>
          <w:iCs/>
          <w:sz w:val="20"/>
          <w:szCs w:val="20"/>
        </w:rPr>
        <w:t>Евразийский национальный университет имени Л.Н. Гумилёва, Астана, Казахстан,</w:t>
        <w:br/>
      </w:r>
      <w:r>
        <w:rPr>
          <w:rFonts w:eastAsia="Times New Roman" w:cs="Times New Roman" w:ascii="Times New Roman" w:hAnsi="Times New Roman"/>
          <w:bCs/>
          <w:i/>
          <w:iCs/>
          <w:sz w:val="20"/>
          <w:szCs w:val="20"/>
          <w:vertAlign w:val="superscript"/>
        </w:rPr>
        <w:t>3</w:t>
      </w:r>
      <w:r>
        <w:rPr>
          <w:rFonts w:eastAsia="Times New Roman" w:cs="Times New Roman" w:ascii="Times New Roman" w:hAnsi="Times New Roman"/>
          <w:bCs/>
          <w:i/>
          <w:iCs/>
          <w:sz w:val="20"/>
          <w:szCs w:val="20"/>
        </w:rPr>
        <w:t>Казахский национальный педагогический университет имени Абая, Алматы, Казахстан,</w:t>
        <w:br/>
      </w:r>
      <w:r>
        <w:rPr>
          <w:rFonts w:eastAsia="Times New Roman" w:cs="Times New Roman" w:ascii="Times New Roman" w:hAnsi="Times New Roman"/>
          <w:bCs/>
          <w:i/>
          <w:iCs/>
          <w:sz w:val="20"/>
          <w:szCs w:val="20"/>
          <w:vertAlign w:val="superscript"/>
        </w:rPr>
        <w:t>4</w:t>
      </w:r>
      <w:r>
        <w:rPr>
          <w:rFonts w:cs="Times New Roman" w:ascii="Times New Roman" w:hAnsi="Times New Roman"/>
          <w:i/>
          <w:iCs/>
          <w:sz w:val="20"/>
          <w:szCs w:val="20"/>
        </w:rPr>
        <w:t>Восточно-Казахстанский технический университет им. Д. Серикбаева, Усть-Каменогорск, Казахстан,</w:t>
      </w:r>
    </w:p>
    <w:p>
      <w:pPr>
        <w:pStyle w:val="Normal"/>
        <w:spacing w:lineRule="auto" w:line="240" w:before="0" w:after="0"/>
        <w:ind w:firstLine="567"/>
        <w:jc w:val="center"/>
        <w:rPr>
          <w:rFonts w:ascii="Wingdings" w:hAnsi="Wingdings" w:eastAsia="Wingdings" w:cs="Wingdings"/>
          <w:b/>
          <w:bCs/>
          <w:color w:val="1F497D"/>
          <w:sz w:val="20"/>
          <w:szCs w:val="20"/>
          <w:vertAlign w:val="superscript"/>
        </w:rPr>
      </w:pPr>
      <w:r>
        <w:rPr>
          <w:rFonts w:eastAsia="Times New Roman" w:cs="Times New Roman" w:ascii="Times New Roman" w:hAnsi="Times New Roman"/>
          <w:bCs/>
          <w:i/>
          <w:iCs/>
          <w:sz w:val="20"/>
          <w:szCs w:val="20"/>
          <w:vertAlign w:val="superscript"/>
        </w:rPr>
        <w:t>5</w:t>
      </w:r>
      <w:r>
        <w:rPr>
          <w:rFonts w:eastAsia="Times New Roman" w:cs="Times New Roman" w:ascii="Times New Roman" w:hAnsi="Times New Roman"/>
          <w:bCs/>
          <w:i/>
          <w:iCs/>
          <w:sz w:val="20"/>
          <w:szCs w:val="20"/>
        </w:rPr>
        <w:t>Кокшетауский университет имени Ш. Уалиханова, Кокшетау, Казахстан,</w:t>
      </w:r>
    </w:p>
    <w:p>
      <w:pPr>
        <w:pStyle w:val="Normal"/>
        <w:spacing w:lineRule="auto" w:line="240" w:before="0" w:after="0"/>
        <w:ind w:firstLine="567"/>
        <w:jc w:val="center"/>
        <w:rPr>
          <w:rFonts w:ascii="Times New Roman" w:hAnsi="Times New Roman" w:eastAsia="Times New Roman" w:cs="Times New Roman"/>
          <w:b/>
          <w:lang w:val="en-US"/>
        </w:rPr>
      </w:pPr>
      <w:r>
        <w:rPr>
          <w:rFonts w:eastAsia="Wingdings" w:cs="Wingdings" w:ascii="Wingdings" w:hAnsi="Wingdings"/>
          <w:b/>
          <w:bCs/>
          <w:color w:val="1F497D"/>
          <w:vertAlign w:val="superscript"/>
        </w:rPr>
        <w:sym w:font="Wingdings" w:char="f02a"/>
      </w:r>
      <w:r>
        <w:rPr>
          <w:rFonts w:eastAsia="Times New Roman" w:cs="Times New Roman" w:ascii="Times New Roman" w:hAnsi="Times New Roman"/>
          <w:iCs/>
          <w:lang w:val="en-US"/>
        </w:rPr>
        <w:t>e-mail:</w:t>
      </w:r>
      <w:r>
        <w:rPr>
          <w:rFonts w:eastAsia="Times New Roman" w:cs="Times New Roman" w:ascii="Times New Roman" w:hAnsi="Times New Roman"/>
          <w:b/>
          <w:bCs/>
          <w:lang w:val="en-US"/>
        </w:rPr>
        <w:t xml:space="preserve"> </w:t>
      </w:r>
      <w:r>
        <w:rPr>
          <w:rFonts w:eastAsia="Times New Roman" w:cs="Times New Roman" w:ascii="Times New Roman" w:hAnsi="Times New Roman"/>
          <w:iCs/>
          <w:lang w:val="en-US"/>
        </w:rPr>
        <w:t>maldynova.a@uib.kz</w:t>
      </w:r>
    </w:p>
    <w:p>
      <w:pPr>
        <w:pStyle w:val="Normal"/>
        <w:spacing w:lineRule="auto" w:line="240" w:before="0" w:after="0"/>
        <w:ind w:firstLine="567"/>
        <w:jc w:val="center"/>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spacing w:lineRule="auto" w:line="240" w:before="0" w:after="0"/>
        <w:ind w:firstLine="567"/>
        <w:jc w:val="center"/>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Цифровизация здравоохранения становится важнейшим фактором повышения эффективности и доступности медицинских услуг во всем мире. В Казахстане уровень цифровой трансформации остается неравномерным по регионам. Данное исследование сосредоточено на Восточно-Казахстанской области и направлено на оценку влияния цифровизации на медицинские услуги и выявление взаимосвязи между интеграцией ИКТ и ключевыми демографическими показателями.</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Исследование основано на статистических данных Национального статистического управления Республики Казахстан, отчётах Министерства здравоохранения и международных источниках за период 2020–2024 годов. Применённые методы включают сравнительный и статистический анализ, моделирование тенденций и географическую контекстуализацию с акцентом на региональную инфраструктуру здравоохранения в Усть-Каменогорске.</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sz w:val="24"/>
          <w:szCs w:val="24"/>
        </w:rPr>
      </w:pPr>
      <w:r>
        <w:rPr>
          <w:rFonts w:eastAsia="Times New Roman" w:cs="Times New Roman" w:ascii="Times New Roman" w:hAnsi="Times New Roman"/>
          <w:bCs/>
          <w:sz w:val="24"/>
          <w:szCs w:val="24"/>
        </w:rPr>
        <w:t>Исследование выявило положительную корреляцию между увеличением числа специалистов в области ИКТ и улучшением показателей смертности, особенно материнской. Результаты демонстрируют двукратный рост компьютерной грамотности медицинских работников, значительный рост использования интернета в профессиональных целях и постепенное, но неравномерное внедрение ИКТ в медицинских учреждениях. Несмотря на положительную динамику, сохраняются проблемы: недостаточное финансирование ИКТ, нехватка специалистов по кибербезопасности и ограниченные возможности обучения. Новизна данного исследования заключается в его региональной направленности: это первый систематический анализ цифровизации здравоохранения в Восточно-Казахстанской области. Результаты расширяют существующие теоретические основы, учитывая региональную неоднородность, и предоставляют политикам практические рекомендации по совершенствованию стратегий цифрового здравоохранения в Казахстане.</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rPr>
      </w:pPr>
      <w:r>
        <w:rPr>
          <w:rFonts w:eastAsia="Times New Roman" w:cs="Times New Roman" w:ascii="Times New Roman" w:hAnsi="Times New Roman"/>
          <w:b/>
          <w:sz w:val="24"/>
          <w:szCs w:val="24"/>
        </w:rPr>
        <w:t>Ключевые слова:</w:t>
      </w:r>
      <w:r>
        <w:rPr>
          <w:rFonts w:eastAsia="Times New Roman" w:cs="Times New Roman" w:ascii="Times New Roman" w:hAnsi="Times New Roman"/>
          <w:bCs/>
          <w:sz w:val="24"/>
          <w:szCs w:val="24"/>
        </w:rPr>
        <w:t xml:space="preserve"> экономика, экономика медицинских услуг, электронное здравоохранение, социально-экономическое развитие, цифровизация, информационно-коммуникационные технологии.</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highlight w:val="yellow"/>
          <w:lang w:val="en-US"/>
        </w:rPr>
      </w:pPr>
      <w:r>
        <w:rPr>
          <w:rFonts w:eastAsia="Times New Roman" w:cs="Times New Roman" w:ascii="Times New Roman" w:hAnsi="Times New Roman"/>
          <w:b/>
          <w:sz w:val="24"/>
          <w:szCs w:val="24"/>
          <w:lang w:val="en-US"/>
        </w:rPr>
        <w:t xml:space="preserve">Introduction. </w:t>
      </w:r>
      <w:r>
        <w:rPr>
          <w:rFonts w:eastAsia="Times New Roman" w:cs="Times New Roman" w:ascii="Times New Roman" w:hAnsi="Times New Roman"/>
          <w:bCs/>
          <w:sz w:val="24"/>
          <w:szCs w:val="24"/>
          <w:lang w:val="en-US"/>
        </w:rPr>
        <w:t>In recent decades, digitalization has become a key area of ​​transformation of socio-economic systems, including healthcare. Many countries have accumulated significant experience in implementing electronic medical records, telemedicine, and patient flow management systems, which has improved the efficiency of medical care. In the Republic of Kazakhstan, this process is also actively developing, but the level of digital integration of medical services in the regions remains uneven. The East Kazakhstan region is an interesting object of research due to the specifics of its demographic structure, the remoteness of individual settlements and differences in the availability of medical infrastructure [1].</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It is important to note that in 2022 the East Kazakhstan Region underwent administrative restructuring, resulting in the establishment of the Abai Region. This territorial change affects the comparability of statistical indicators across the period analyzed. Therefore, data for 2020-2022 reflect the unified region, while indicators from 2023-2024 capture already reorganized administrative boundaries. This factor must be considered when interpreting trends in digital healthcare development.</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bCs/>
          <w:sz w:val="24"/>
          <w:szCs w:val="24"/>
          <w:lang w:val="en-US"/>
        </w:rPr>
        <w:t>The relevance of the topic is due to the need to improve the quality and accessibility of medical services for the population of the East Kazakhstan region in conditions of limited resources. Digital technologies make it possible to solve several critical problems: reduce waiting times, improve diagnostics, increase transparency and efficiency of patient interactions with medical organizations. In the post-pandemic period, digitalization of healthcare is becoming not only a tool for improving the quality of services, but also the most important factor in the sustainability of the entire healthcare system in the region [2]. The aim of the study is to analyze the impact of digitalization on the medical services market in the East Kazakhstan region and identify key areas of its development.</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Most studies focus on the macro level - studying the digitalization of healthcare on a national scale. At the same time, regional features, such as the specifics of the East Kazakhstan region, remain insufficiently covered. The relationship between the level of digitalization and such indicators as the quality of medical services, patient satisfaction and the efficiency of medical personnel have also been insufficiently studied. The main problem is the insufficient empirical research of the impact of digital technologies on the regional market of medical services. The proposed solution is to conduct a comprehensive analysis of the digitalization of healthcare in the East Kazakhstan region based on statistical data, comparative analysis and forecast models. This approach will fill the identified gaps and offer practical recommendations for improving the digital infrastructure of healthcare in the region [3]. The novelty of the study lies in the fact that for the first time it presents a systemic analysis of the impact of digitalization on the medical services market of the East Kazakhstan region. Unlike existing works, the emphasis is on regional specifics and the relationship of digital technologies with socio-economic indicators in healthcare. The results of the study allow us to clarify the role of digital tools in increasing the sustainability of the regional healthcare system and to develop proposals for further digital transformation.</w:t>
      </w:r>
    </w:p>
    <w:p>
      <w:pPr>
        <w:pStyle w:val="Normal"/>
        <w:tabs>
          <w:tab w:val="clear" w:pos="708"/>
          <w:tab w:val="left" w:pos="993" w:leader="none"/>
        </w:tabs>
        <w:spacing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growth of Internet penetration in Kazakhstan creates the preconditions for the expansion of telemedicine services, but an imbalance between urban and rural areas remains. According to DataReportal [4], the level of Internet access in Kazakhstan has reached 91%, but significant differences are observed by region. Freedom House [5] emphasizes that although mobile Internet covers up to 94% of the population, the quality and stability of connections remain a problem in remote areas. A UNICEF study [6] shows that satellite solutions can provide equal access to digital education and healthcare in rural areas. Forecasts of the Internet Society [7], which notes Kazakhstan's dependence on external data transmission channels, which reduces the resilience of digital services. In the global context, the basis for digital transformation is the WHO Global Strategy on Digital Health 2020–2025 [8, 9], which highlights the priorities of interoperability, data protection and personnel training. In Kazakhstan, the key regulatory act is the Code "On Public Health and the Healthcare System" [10], which enshrines provisions on remote medical services. According to the Intelehealth review [11], Kazakhstan is among the countries that have “mandatory” regulation of telemedicine at the level of national law. Publications of Integrated Approaches for Digital Health Transformation [12] demonstrate the active development of digital services through the eGov platform and the Damumed medical system, which provide an appointment with a doctor, access to test results and electronic interaction of the patient with the system.</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International studies show that weak integration of systems and the lack of full interoperability remain one of the key barriers to digital healthcare. OECD [13] emphasizes that fragmentation of electronic medical platforms reduces efficiency and leads to duplication of processes. Analysis by Bhaskar et al. [14] confirms that successful implementation of telemedicine requires standardization and secure data exchange. In the US and EU, Pulse of the MedTech industry Report have proven their effectiveness in coordinating care [15], but in Kazakhstan, as noted by Seleznev et al. [16], there remain significant differences in the level of digitalization between regions, which is reflected in the East Kazakhstan region. COVID-19 has become a catalyst for the widespread adoption of telemedicine, demonstrating its potential to increase the availability of care. Telemedicine technologies, if properly regulated, are not inferior in quality to face-to-face consultations. In Kazakhstan, several empirical studies focus on patient perceptions of service quality. Shaki et al. [17] studied satisfaction in Almaty and found a positive impact of online consultations on trust in the system. Similar results were recorded in Astana, indicating an increase in patient satisfaction when using digital services. Moreover, Utegenova et al. [18] describe a successful pilot of telemedicine screening for cervical cancer in rural areas, demonstrating the potential of digitalization to reduce barriers to accessing specialized care.</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WHO [19] notes that Kazakhstan has moved from paper registries to digital platforms over the past ten years, but sustainable transformation requires a significant expansion of the competencies of health workers. New challenges are associated not only with the use of basic HIS, but also with the integration of telemedicine, mobile applications and remote monitoring systems. The lack of digital skills among health workers in the regions, including Eastern Kazakhstan, is confirmed by UNICEF reports [20].</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medical sector worldwide remains one of the most vulnerable areas to cyber threats. According to the research of Kropachev P. [21], the number of attacks on medical organizations is growing annually, and the consequences include disruption of the continuity of care. In Kazakhstan, as emphasized by the OSCE [22], efforts are being made to develop public-private partnerships in the field of cyber resilience, but systemic risks remain significant.</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bCs/>
          <w:sz w:val="24"/>
          <w:szCs w:val="24"/>
          <w:lang w:val="en-US"/>
        </w:rPr>
      </w:pPr>
      <w:r>
        <w:rPr>
          <w:rFonts w:eastAsia="Times New Roman" w:cs="Times New Roman" w:ascii="Times New Roman" w:hAnsi="Times New Roman"/>
          <w:sz w:val="24"/>
          <w:szCs w:val="24"/>
          <w:lang w:val="en-US"/>
        </w:rPr>
        <w:t>Financing digital health requires sustainable models. Kazakhstan is gradually building mechanisms for integrating digital solutions into the general health system, but the volume of investment remains limited. The World Bank [23] points to the need for large-scale investments in data infrastructure and basic telecommunications, which is especially relevant for the East Kazakhstan region. Artificial intelligence is gradually being introduced into clinical practice. According to the World Bank [24], AI technologies can significantly improve the efficiency of diagnostics and remote monitoring in Central Asian countries. In the context of the multilingual environment of Kazakhstan, multilingual models of clinical support [25] are of particular importance, ensuring the availability of medical information for the population.</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 xml:space="preserve">Materials and methods. </w:t>
      </w:r>
      <w:r>
        <w:rPr>
          <w:rFonts w:eastAsia="Times New Roman" w:cs="Times New Roman" w:ascii="Times New Roman" w:hAnsi="Times New Roman"/>
          <w:sz w:val="24"/>
          <w:szCs w:val="24"/>
          <w:lang w:val="en-US"/>
        </w:rPr>
        <w:t>The object of the study is the process of digitalization of the healthcare system of the East Kazakhstan region. The following data were used as material: statistical data of the Bureau of National Statistics of the Agency for Strategic Planning and Reforms of the Republic of Kazakhstan (2016-2023) [26], official reports of the Ministry of Health of the Republic of Kazakhstan [27], data on the use of the Damumed medical information system [28], as well as publications of international organizations reflecting the trends in the digitalization of healthcare. Geographically, the study covers the territory of the East Kazakhstan region, with an emphasis on Ust-Kamenogorsk, the administrative center of the region, where a significant part of medical institutions is concentrated and where digital technologies are actively implemented.</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Due to the administrative division of East Kazakhstan Region in 2022, part of the statistical data used in this study includes aggregated values for the former unified region. This may cause minor deviations in interannual comparisons. To minimize errors, indicators were normalized and interpreted with consideration of boundary changes.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Research methods. The following were used in the work:</w:t>
      </w:r>
    </w:p>
    <w:p>
      <w:pPr>
        <w:pStyle w:val="ListParagraph"/>
        <w:tabs>
          <w:tab w:val="clear" w:pos="708"/>
          <w:tab w:val="left" w:pos="993" w:leader="none"/>
        </w:tabs>
        <w:suppressAutoHyphens w:val="true"/>
        <w:ind w:left="0"/>
        <w:jc w:val="both"/>
        <w:rPr>
          <w:lang w:val="en-US"/>
        </w:rPr>
      </w:pPr>
      <w:r>
        <w:rPr>
          <w:lang w:val="en-US"/>
        </w:rPr>
        <w:tab/>
        <w:t>- systems approach to analyzing digitalization as a complex socio-economic phenomenon;</w:t>
      </w:r>
    </w:p>
    <w:p>
      <w:pPr>
        <w:pStyle w:val="Normal"/>
        <w:tabs>
          <w:tab w:val="clear" w:pos="708"/>
          <w:tab w:val="left" w:pos="993" w:leader="none"/>
        </w:tabs>
        <w:suppressAutoHyphens w:val="true"/>
        <w:spacing w:lineRule="auto" w:line="240" w:before="0" w:after="0"/>
        <w:jc w:val="both"/>
        <w:rPr>
          <w:rFonts w:ascii="Times New Roman" w:hAnsi="Times New Roman" w:cs="Times New Roman"/>
          <w:sz w:val="24"/>
          <w:szCs w:val="24"/>
          <w:lang w:val="en-US"/>
        </w:rPr>
      </w:pPr>
      <w:r>
        <w:rPr>
          <w:lang w:val="en-US"/>
        </w:rPr>
        <w:tab/>
      </w:r>
      <w:r>
        <w:rPr>
          <w:rFonts w:cs="Times New Roman" w:ascii="Times New Roman" w:hAnsi="Times New Roman"/>
          <w:sz w:val="24"/>
          <w:szCs w:val="24"/>
          <w:lang w:val="en-US"/>
        </w:rPr>
        <w:t>- comparative analysis to compare the indicators of the East Kazakhstan region with other regions of Kazakhstan and the national average;</w:t>
      </w:r>
    </w:p>
    <w:p>
      <w:pPr>
        <w:pStyle w:val="Normal"/>
        <w:tabs>
          <w:tab w:val="clear" w:pos="708"/>
          <w:tab w:val="left" w:pos="993" w:leader="none"/>
        </w:tabs>
        <w:suppressAutoHyphens w:val="true"/>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statistical analysis;</w:t>
      </w:r>
    </w:p>
    <w:p>
      <w:pPr>
        <w:pStyle w:val="ListParagraph"/>
        <w:tabs>
          <w:tab w:val="clear" w:pos="708"/>
          <w:tab w:val="left" w:pos="993" w:leader="none"/>
        </w:tabs>
        <w:suppressAutoHyphens w:val="true"/>
        <w:ind w:left="0"/>
        <w:jc w:val="both"/>
        <w:rPr>
          <w:lang w:val="en-US"/>
        </w:rPr>
      </w:pPr>
      <w:r>
        <w:rPr>
          <w:lang w:val="en-US"/>
        </w:rPr>
        <w:t xml:space="preserve">            </w:t>
      </w:r>
      <w:r>
        <w:rPr>
          <w:lang w:val="en-US"/>
        </w:rPr>
        <w:t>- construction of trend models to assess the prospects for the introduction of digital</w:t>
      </w:r>
    </w:p>
    <w:p>
      <w:pPr>
        <w:pStyle w:val="Normal"/>
        <w:tabs>
          <w:tab w:val="clear" w:pos="708"/>
          <w:tab w:val="left" w:pos="993" w:leader="none"/>
        </w:tabs>
        <w:suppressAutoHyphens w:val="true"/>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technologies in medicine in East Kazakhstan region for 5-6 years ahead.</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Justification for the choice of region. East Kazakhstan region was chosen as the object of the study due to its specifics: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1. emographic heterogeneity - a combination of large cities (Ust-Kamenogorsk, Semey) and remote rural areas.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2. High load on the healthcare system - due to the large territory of the region and the need to provide medical care in hard-to-reach regions.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Cs/>
          <w:sz w:val="24"/>
          <w:szCs w:val="24"/>
          <w:lang w:val="en-US"/>
        </w:rPr>
      </w:pPr>
      <w:r>
        <w:rPr>
          <w:rFonts w:eastAsia="Times New Roman" w:cs="Times New Roman" w:ascii="Times New Roman" w:hAnsi="Times New Roman"/>
          <w:sz w:val="24"/>
          <w:szCs w:val="24"/>
          <w:lang w:val="en-US"/>
        </w:rPr>
        <w:t>3. Practical significance - it is in East Kazakhstan region that digital technologies are actively being introduced, which allows us to assess their effectiveness at the regional level.</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sz w:val="24"/>
          <w:szCs w:val="24"/>
          <w:lang w:val="en-US"/>
        </w:rPr>
      </w:pPr>
      <w:r>
        <w:rPr>
          <w:rFonts w:eastAsia="Times New Roman" w:cs="Times New Roman" w:ascii="Times New Roman" w:hAnsi="Times New Roman"/>
          <w:bCs/>
          <w:sz w:val="24"/>
          <w:szCs w:val="24"/>
          <w:lang w:val="en-US"/>
        </w:rPr>
        <w:t>Comparative analysis shows that East Kazakhstan Region lags behind leading regions such as Astana, Almaty and Karaganda in ICT expenditures and availability of cybersecurity specialists but exceeds several western and southern regions in computer literacy among medical personnel and the share of healthcare institutions with Internet access. These differences illustrate the heterogeneous pace of digital healthcare development across Kazakhstan.</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b/>
          <w:sz w:val="24"/>
          <w:szCs w:val="24"/>
          <w:lang w:val="en-US"/>
        </w:rPr>
        <w:t xml:space="preserve">Results and discussions. </w:t>
      </w:r>
      <w:r>
        <w:rPr>
          <w:rFonts w:eastAsia="Times New Roman" w:cs="Times New Roman" w:ascii="Times New Roman" w:hAnsi="Times New Roman"/>
          <w:sz w:val="24"/>
          <w:szCs w:val="24"/>
          <w:lang w:val="en-US"/>
        </w:rPr>
        <w:t>An analysis of the dynamics of healthcare digitalization in the East Kazakhstan region for the period 2020-2024 revealed several sustainable trends reflecting changes in infrastructure, staffing, and the level of use of information and communication technologies.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At the national level, the number of organizations with ICT tools has increased by 22.66% over five years. In the healthcare sector, the growth in the number of computers was 87.51%. In the East Kazakhstan region, this figure was more modest - only +11.5%, but it is here that a significant share of organizations with Internet access is recorded: 91.5% of computers are connected to the network. </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total number of ICT specialists in Kazakhstan at the end of 2024 was 52,250 people, of which 10.2% are employed in the healthcare sector. In East Kazakhstan region, 2,502 specialists were registered, with only 0.2% working directly in healthcare. Over five years, the number of ICT specialists in the regional healthcare system increased by 1.64%. A noticeable increase was noted in the number of healthcare workers with computer literacy: +63.38% for 2020-2024.</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An almost twofold increase was observed in the number of employees using the Internet in their professional activities. Detailed data on specialists and their competencies are presented in Table 1.</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sz w:val="24"/>
          <w:szCs w:val="24"/>
          <w:lang w:val="en-US"/>
        </w:rPr>
      </w:pPr>
      <w:r>
        <w:rPr>
          <w:rFonts w:eastAsia="Calibri" w:cs="Times New Roman" w:ascii="Times New Roman" w:hAnsi="Times New Roman"/>
          <w:b/>
          <w:lang w:val="en-US"/>
        </w:rPr>
        <w:t>Table 1 -</w:t>
      </w:r>
      <w:r>
        <w:rPr>
          <w:rFonts w:eastAsia="Calibri"/>
          <w:b/>
          <w:lang w:val="en-US"/>
        </w:rPr>
        <w:t xml:space="preserve"> </w:t>
      </w:r>
      <w:r>
        <w:rPr>
          <w:rFonts w:eastAsia="Times New Roman" w:cs="Times New Roman" w:ascii="Times New Roman" w:hAnsi="Times New Roman"/>
          <w:b/>
          <w:bCs/>
          <w:lang w:val="en-US"/>
        </w:rPr>
        <w:t xml:space="preserve"> ICT specialists and knowledge (including public administration organizations), their changes over 5 years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tbl>
      <w:tblPr>
        <w:tblW w:w="9336" w:type="dxa"/>
        <w:jc w:val="left"/>
        <w:tblInd w:w="120" w:type="dxa"/>
        <w:tblLayout w:type="fixed"/>
        <w:tblCellMar>
          <w:top w:w="0" w:type="dxa"/>
          <w:left w:w="115" w:type="dxa"/>
          <w:bottom w:w="0" w:type="dxa"/>
          <w:right w:w="115" w:type="dxa"/>
        </w:tblCellMar>
        <w:tblLook w:val="0000" w:noHBand="0" w:noVBand="0" w:firstColumn="0" w:lastRow="0" w:lastColumn="0" w:firstRow="0"/>
      </w:tblPr>
      <w:tblGrid>
        <w:gridCol w:w="2331"/>
        <w:gridCol w:w="1237"/>
        <w:gridCol w:w="1510"/>
        <w:gridCol w:w="1374"/>
        <w:gridCol w:w="1644"/>
        <w:gridCol w:w="1239"/>
      </w:tblGrid>
      <w:tr>
        <w:trPr>
          <w:trHeight w:val="1788" w:hRule="atLeast"/>
        </w:trPr>
        <w:tc>
          <w:tcPr>
            <w:tcW w:w="2331" w:type="dxa"/>
            <w:tcBorders>
              <w:top w:val="single" w:sz="4" w:space="0" w:color="000000"/>
              <w:left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lang w:val="en-US"/>
              </w:rPr>
              <w:t> </w:t>
            </w:r>
            <w:r>
              <w:rPr>
                <w:rFonts w:eastAsia="Times New Roman" w:cs="Times New Roman" w:ascii="Times New Roman" w:hAnsi="Times New Roman"/>
                <w:b/>
              </w:rPr>
              <w:t>Indicator</w:t>
            </w:r>
          </w:p>
        </w:tc>
        <w:tc>
          <w:tcPr>
            <w:tcW w:w="1237"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lang w:val="en-US"/>
              </w:rPr>
            </w:pPr>
            <w:r>
              <w:rPr>
                <w:rFonts w:eastAsia="Times New Roman" w:cs="Times New Roman" w:ascii="Times New Roman" w:hAnsi="Times New Roman"/>
                <w:b/>
                <w:lang w:val="en-US"/>
              </w:rPr>
              <w:t>Number of organizations with ICT specialists, units</w:t>
            </w:r>
          </w:p>
        </w:tc>
        <w:tc>
          <w:tcPr>
            <w:tcW w:w="1510"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lang w:val="en-US"/>
              </w:rPr>
            </w:pPr>
            <w:r>
              <w:rPr>
                <w:rFonts w:eastAsia="Times New Roman" w:cs="Times New Roman" w:ascii="Times New Roman" w:hAnsi="Times New Roman"/>
                <w:b/>
                <w:lang w:val="en-US"/>
              </w:rPr>
              <w:t>Number of employees with computer literacy, people</w:t>
            </w:r>
          </w:p>
        </w:tc>
        <w:tc>
          <w:tcPr>
            <w:tcW w:w="137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lang w:val="en-US"/>
              </w:rPr>
            </w:pPr>
            <w:r>
              <w:rPr>
                <w:rFonts w:eastAsia="Times New Roman" w:cs="Times New Roman" w:ascii="Times New Roman" w:hAnsi="Times New Roman"/>
                <w:b/>
                <w:lang w:val="en-US"/>
              </w:rPr>
              <w:t>Number of specialists in information security, people</w:t>
            </w:r>
          </w:p>
        </w:tc>
        <w:tc>
          <w:tcPr>
            <w:tcW w:w="164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lang w:val="en-US"/>
              </w:rPr>
            </w:pPr>
            <w:r>
              <w:rPr>
                <w:rFonts w:eastAsia="Times New Roman" w:cs="Times New Roman" w:ascii="Times New Roman" w:hAnsi="Times New Roman"/>
                <w:b/>
                <w:lang w:val="en-US"/>
              </w:rPr>
              <w:t>Number of employees who completed computer literacy training during the reporting year, people</w:t>
            </w:r>
          </w:p>
        </w:tc>
        <w:tc>
          <w:tcPr>
            <w:tcW w:w="1239"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lang w:val="en-US"/>
              </w:rPr>
            </w:pPr>
            <w:r>
              <w:rPr>
                <w:rFonts w:eastAsia="Times New Roman" w:cs="Times New Roman" w:ascii="Times New Roman" w:hAnsi="Times New Roman"/>
                <w:b/>
                <w:lang w:val="en-US"/>
              </w:rPr>
              <w:t>Need for ICT specialists, people</w:t>
            </w:r>
          </w:p>
        </w:tc>
      </w:tr>
      <w:tr>
        <w:trPr>
          <w:trHeight w:val="255" w:hRule="atLeast"/>
        </w:trPr>
        <w:tc>
          <w:tcPr>
            <w:tcW w:w="9335" w:type="dxa"/>
            <w:gridSpan w:val="6"/>
            <w:tcBorders>
              <w:left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2024</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Republic of Kazakhstan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9 730</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1 951 523</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11 241</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39 731</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4 924</w:t>
            </w:r>
          </w:p>
        </w:tc>
      </w:tr>
      <w:tr>
        <w:trPr>
          <w:trHeight w:val="510"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Healthcare activities, in the Republic of Kazakhstan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825</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316841</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571</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9569</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271</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East Kazakhstan region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452</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157 348</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225</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668</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314</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Healthcare</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38</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25 546</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11</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161</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17</w:t>
            </w:r>
          </w:p>
        </w:tc>
      </w:tr>
      <w:tr>
        <w:trPr>
          <w:trHeight w:val="255" w:hRule="atLeast"/>
        </w:trPr>
        <w:tc>
          <w:tcPr>
            <w:tcW w:w="9335" w:type="dxa"/>
            <w:gridSpan w:val="6"/>
            <w:tcBorders>
              <w:left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2020</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Republic of Kazakhstan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9 494</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1 406 336</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2 193</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144 225</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6 781</w:t>
            </w:r>
          </w:p>
        </w:tc>
      </w:tr>
      <w:tr>
        <w:trPr>
          <w:trHeight w:val="510"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Healthcare activities, in the Republic of Kazakhstan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642</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189 523</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104</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24 300</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325</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East Kazakhstan region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508</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90 784</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21</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4 455</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427</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Healthcare</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34</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12 234</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751</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20</w:t>
            </w:r>
          </w:p>
        </w:tc>
      </w:tr>
      <w:tr>
        <w:trPr>
          <w:trHeight w:val="255" w:hRule="atLeast"/>
        </w:trPr>
        <w:tc>
          <w:tcPr>
            <w:tcW w:w="9335" w:type="dxa"/>
            <w:gridSpan w:val="6"/>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b/>
                <w:color w:val="000000"/>
              </w:rPr>
              <w:t>Changes</w:t>
            </w:r>
          </w:p>
        </w:tc>
      </w:tr>
      <w:tr>
        <w:trPr>
          <w:trHeight w:val="255" w:hRule="atLeast"/>
        </w:trPr>
        <w:tc>
          <w:tcPr>
            <w:tcW w:w="2331"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Republic of Kazakhstan</w:t>
            </w:r>
          </w:p>
        </w:tc>
        <w:tc>
          <w:tcPr>
            <w:tcW w:w="1237" w:type="dxa"/>
            <w:tcBorders>
              <w:top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2,49%</w:t>
            </w:r>
          </w:p>
        </w:tc>
        <w:tc>
          <w:tcPr>
            <w:tcW w:w="1510" w:type="dxa"/>
            <w:tcBorders>
              <w:top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38,77%</w:t>
            </w:r>
          </w:p>
        </w:tc>
        <w:tc>
          <w:tcPr>
            <w:tcW w:w="1374" w:type="dxa"/>
            <w:tcBorders>
              <w:top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412,59%</w:t>
            </w:r>
          </w:p>
        </w:tc>
        <w:tc>
          <w:tcPr>
            <w:tcW w:w="1644" w:type="dxa"/>
            <w:tcBorders>
              <w:top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-72,45%</w:t>
            </w:r>
          </w:p>
        </w:tc>
        <w:tc>
          <w:tcPr>
            <w:tcW w:w="1239" w:type="dxa"/>
            <w:tcBorders>
              <w:top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-27,39%</w:t>
            </w:r>
          </w:p>
        </w:tc>
      </w:tr>
      <w:tr>
        <w:trPr>
          <w:trHeight w:val="510"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Healthcare activities, in the Republic of Kazakhstan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28,50%</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67,18%</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449,04%</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-60,62%</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-16,62%</w:t>
            </w:r>
          </w:p>
        </w:tc>
      </w:tr>
      <w:tr>
        <w:trPr>
          <w:trHeight w:val="255"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East Kazakhstan region</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-11,02%</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73,32%</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971,43%</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-85,01%</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-26,46%</w:t>
            </w:r>
          </w:p>
        </w:tc>
      </w:tr>
      <w:tr>
        <w:trPr>
          <w:trHeight w:val="208" w:hRule="atLeast"/>
        </w:trPr>
        <w:tc>
          <w:tcPr>
            <w:tcW w:w="2331"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Healthcare</w:t>
            </w:r>
          </w:p>
        </w:tc>
        <w:tc>
          <w:tcPr>
            <w:tcW w:w="1237"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11,57%</w:t>
            </w:r>
          </w:p>
        </w:tc>
        <w:tc>
          <w:tcPr>
            <w:tcW w:w="1510"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108,81%</w:t>
            </w:r>
          </w:p>
        </w:tc>
        <w:tc>
          <w:tcPr>
            <w:tcW w:w="137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1047,62%</w:t>
            </w:r>
          </w:p>
        </w:tc>
        <w:tc>
          <w:tcPr>
            <w:tcW w:w="16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-78,57%</w:t>
            </w:r>
          </w:p>
        </w:tc>
        <w:tc>
          <w:tcPr>
            <w:tcW w:w="1239"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-15,56%</w:t>
            </w:r>
          </w:p>
        </w:tc>
      </w:tr>
      <w:tr>
        <w:trPr>
          <w:trHeight w:val="255" w:hRule="atLeast"/>
        </w:trPr>
        <w:tc>
          <w:tcPr>
            <w:tcW w:w="9335" w:type="dxa"/>
            <w:gridSpan w:val="6"/>
            <w:tcBorders>
              <w:top w:val="single" w:sz="4" w:space="0" w:color="000000"/>
              <w:left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rPr>
                <w:rFonts w:ascii="Times New Roman" w:hAnsi="Times New Roman" w:cs="Times New Roman"/>
                <w:lang w:val="en-US"/>
              </w:rPr>
            </w:pPr>
            <w:r>
              <w:rPr>
                <w:rFonts w:eastAsia="Times New Roman" w:cs="Times New Roman" w:ascii="Times New Roman" w:hAnsi="Times New Roman"/>
                <w:i/>
                <w:iCs/>
                <w:lang w:val="en-US"/>
              </w:rPr>
              <w:t>Compiled by the authors based on the source [29]</w:t>
            </w:r>
          </w:p>
        </w:tc>
      </w:tr>
    </w:tbl>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highlight w:val="yellow"/>
          <w:lang w:val="en-US"/>
        </w:rPr>
      </w:pPr>
      <w:r>
        <w:rPr>
          <w:rFonts w:eastAsia="Times New Roman" w:cs="Times New Roman" w:ascii="Times New Roman" w:hAnsi="Times New Roman"/>
          <w:sz w:val="24"/>
          <w:szCs w:val="24"/>
          <w:lang w:val="en-US"/>
        </w:rPr>
        <w:t>As of the end of 2024, 104,518 organizations in Kazakhstan used the Internet to interact with government agencies. In the East Kazakhstan region, 293 such organizations were recorded in healthcare, which is 43.83% higher than in 2020. In the structure of Internet use in healthcare organizations in the region, the largest share is for receiving information and sending forms electronically, and the smallest is for participating in open tenders.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comparative assessment of East Kazakhstan Region against other major regions of Kazakhstan demonstrates a heterogeneous landscape of digital healthcare development across the country. According to national statistics [29], the growth rate of employees with computer literacy in East Kazakhstan Region (+108.8% over 2020-2024) exceeds the national average (+67.2%). This indicates a comparatively faster adoption of basic digital competencies among healthcare personnel at the regional level.</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However, East Kazakhstan Region lags behind technologically advanced regions such as Astana, Almaty and Karaganda in terms of ICT expenditures and the availability of cybersecurity specialists. For example, while national ICT spending in healthcare increased by 22% over the past five years, ICT-related expenditures in East Kazakhstan Region decreased by more than 50%, reflecting structural funding limitations. In contrast, regions with higher investment levels demonstrate broader implementation of integrated medical information systems and wider use of telemedicine services.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terms of infrastructure, Internet connectivity among healthcare organizations in East Kazakhstan Region (91.5% in 2024) is above the average for several western and southern regions of the country, yet remains below the levels observed in large metropolitan centers, where near-full digital coverage has already been achieved. This suggests that the region shows moderate–high readiness but still faces gaps in advanced ICT capacity.</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Overall, the interregional comparison confirms that although East Kazakhstan Region demonstrates comparatively strong progress in basic digital skills and infrastructure availability, it remains constrained by insufficient ICT investment and a shortage of specialized digital personnel. Addressing these gaps is essential for ensuring that the region’s digital transformation aligns with national development trends (table 2).</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lang w:val="en-US"/>
        </w:rPr>
        <w:t>Table 2 - Comparative assessment of digital healthcare indicators across selected regions of Kazakhstan</w:t>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tbl>
      <w:tblPr>
        <w:tblW w:w="9678"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2864"/>
        <w:gridCol w:w="1668"/>
        <w:gridCol w:w="952"/>
        <w:gridCol w:w="1192"/>
        <w:gridCol w:w="1476"/>
        <w:gridCol w:w="1525"/>
      </w:tblGrid>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rPr>
              <w:t>Indicator</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rPr>
              <w:t>East Kazakhstan Region</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rPr>
              <w:t>Astana</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rPr>
              <w:t>Almaty</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rPr>
              <w:t>Karaganda Region</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b/>
              </w:rPr>
              <w:t>National Average</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lang w:val="en-US"/>
              </w:rPr>
            </w:pPr>
            <w:r>
              <w:rPr>
                <w:rFonts w:eastAsia="Times New Roman" w:cs="Times New Roman" w:ascii="Times New Roman" w:hAnsi="Times New Roman"/>
                <w:lang w:val="en-US"/>
              </w:rPr>
              <w:t>Growth in computer literacy among healthcare workers (2020-2024)</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Medium–High</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pPr>
            <w:r>
              <w:rPr>
                <w:rFonts w:eastAsia="Times New Roman" w:cs="Times New Roman" w:ascii="Times New Roman" w:hAnsi="Times New Roman"/>
              </w:rPr>
              <w:t>ICT expenditures in healthcare</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Low / Declining</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Moderate (Increasing)</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pPr>
            <w:r>
              <w:rPr>
                <w:rFonts w:eastAsia="Times New Roman" w:cs="Times New Roman" w:ascii="Times New Roman" w:hAnsi="Times New Roman"/>
              </w:rPr>
              <w:t>Availability of ICT specialists</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Low</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lang w:val="en-US"/>
              </w:rPr>
            </w:pPr>
            <w:r>
              <w:rPr>
                <w:rFonts w:eastAsia="Times New Roman" w:cs="Times New Roman" w:ascii="Times New Roman" w:hAnsi="Times New Roman"/>
                <w:lang w:val="en-US"/>
              </w:rPr>
              <w:t>Internet connectivity of healthcare facilities</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Very 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Very 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Medium–High</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lang w:val="en-US"/>
              </w:rPr>
            </w:pPr>
            <w:r>
              <w:rPr>
                <w:rFonts w:eastAsia="Times New Roman" w:cs="Times New Roman" w:ascii="Times New Roman" w:hAnsi="Times New Roman"/>
                <w:lang w:val="en-US"/>
              </w:rPr>
              <w:t>Adoption of telemedicine and digital services</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Very 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lang w:val="en-US"/>
              </w:rPr>
            </w:pPr>
            <w:r>
              <w:rPr>
                <w:rFonts w:eastAsia="Times New Roman" w:cs="Times New Roman" w:ascii="Times New Roman" w:hAnsi="Times New Roman"/>
                <w:lang w:val="en-US"/>
              </w:rPr>
              <w:t>Level of interoperability between medical systems</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Low–Medium</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r>
      <w:tr>
        <w:trPr/>
        <w:tc>
          <w:tcPr>
            <w:tcW w:w="286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both"/>
              <w:rPr/>
            </w:pPr>
            <w:r>
              <w:rPr>
                <w:rFonts w:eastAsia="Times New Roman" w:cs="Times New Roman" w:ascii="Times New Roman" w:hAnsi="Times New Roman"/>
              </w:rPr>
              <w:t xml:space="preserve">Cybersecurity capacity </w:t>
            </w:r>
          </w:p>
        </w:tc>
        <w:tc>
          <w:tcPr>
            <w:tcW w:w="166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Very Low</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High</w:t>
            </w:r>
          </w:p>
        </w:tc>
        <w:tc>
          <w:tcPr>
            <w:tcW w:w="119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Medium–High</w:t>
            </w:r>
          </w:p>
        </w:tc>
        <w:tc>
          <w:tcPr>
            <w:tcW w:w="147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pPr>
            <w:r>
              <w:rPr>
                <w:rFonts w:eastAsia="Times New Roman" w:cs="Times New Roman" w:ascii="Times New Roman" w:hAnsi="Times New Roman"/>
              </w:rPr>
              <w:t>Low–Medium</w:t>
            </w:r>
          </w:p>
        </w:tc>
      </w:tr>
      <w:tr>
        <w:trPr/>
        <w:tc>
          <w:tcPr>
            <w:tcW w:w="9677" w:type="dxa"/>
            <w:gridSpan w:val="6"/>
            <w:tcBorders>
              <w:top w:val="single" w:sz="4" w:space="0" w:color="000000"/>
              <w:left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jc w:val="both"/>
              <w:rPr/>
            </w:pPr>
            <w:r>
              <w:rPr>
                <w:rFonts w:eastAsia="Times New Roman" w:cs="Times New Roman" w:ascii="Times New Roman" w:hAnsi="Times New Roman"/>
                <w:i/>
                <w:iCs/>
              </w:rPr>
              <w:t xml:space="preserve">Compiled by the authors </w:t>
            </w:r>
          </w:p>
        </w:tc>
      </w:tr>
    </w:tbl>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comparative analysis demonstrates that East Kazakhstan Region exhibits strong progress in basic digital competencies, particularly in the growth of computer literacy among healthcare workers, where it outperforms the national average. However, the region lags behind technologically advanced centers-Astana, Almaty, and, to a lesser extent, Karaganda Region-across several critical dimensions, including ICT expenditures, availability of specialized ICT personnel, and cybersecurity capacity.</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Despite relatively high levels of Internet connectivity in healthcare institutions, East Kazakhstan Region remains limited in terms of advanced digital transformation, particularly system interoperability and adoption of telemedicine. These disparities highlight the need for targeted investments, improved training programs, and the development of a stronger ICT workforce to align the region’s digital healthcare trajectory with national leaders.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To assess the future trajectory of digital healthcare development in the East Kazakhstan Region, a trend-based forecasting model was constructed using statistical data for 2020–2024. The model projects the dynamics of two key indicators:</w:t>
      </w:r>
    </w:p>
    <w:p>
      <w:pPr>
        <w:pStyle w:val="Normal"/>
        <w:tabs>
          <w:tab w:val="clear" w:pos="708"/>
          <w:tab w:val="left" w:pos="993" w:leader="none"/>
        </w:tabs>
        <w:suppressAutoHyphens w:val="true"/>
        <w:spacing w:lineRule="auto" w:line="240" w:before="0" w:after="0"/>
        <w:jc w:val="both"/>
        <w:rPr>
          <w:rFonts w:ascii="Times New Roman" w:hAnsi="Times New Roman" w:cs="Times New Roman"/>
          <w:lang w:val="en-US"/>
        </w:rPr>
      </w:pPr>
      <w:r>
        <w:rPr>
          <w:lang w:val="en-US"/>
        </w:rPr>
        <w:tab/>
      </w:r>
      <w:r>
        <w:rPr>
          <w:rFonts w:cs="Times New Roman" w:ascii="Times New Roman" w:hAnsi="Times New Roman"/>
          <w:lang w:val="en-US"/>
        </w:rPr>
        <w:t>- the number of ICT specialists employed in the regional healthcare system;</w:t>
      </w:r>
    </w:p>
    <w:p>
      <w:pPr>
        <w:pStyle w:val="Normal"/>
        <w:tabs>
          <w:tab w:val="clear" w:pos="708"/>
          <w:tab w:val="left" w:pos="993" w:leader="none"/>
        </w:tabs>
        <w:suppressAutoHyphens w:val="true"/>
        <w:spacing w:lineRule="auto" w:line="240" w:before="0" w:after="0"/>
        <w:jc w:val="both"/>
        <w:rPr>
          <w:rFonts w:ascii="Times New Roman" w:hAnsi="Times New Roman" w:cs="Times New Roman"/>
          <w:lang w:val="en-US"/>
        </w:rPr>
      </w:pPr>
      <w:r>
        <w:rPr>
          <w:rFonts w:cs="Times New Roman" w:ascii="Times New Roman" w:hAnsi="Times New Roman"/>
          <w:lang w:val="en-US"/>
        </w:rPr>
        <w:tab/>
        <w:t>- the share of healthcare workers possessing digital competencies.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linear trend model demonstrated the best explanatory power, which is supported by relatively high determination coefficients (R² = 0.71-0.84). According to the model, if the current growth rate (k = 1.087) is maintained, the number of ICT specialists in the regional healthcare system will increase by approximately 52–58% by 2030. Similarly, the share of digitally competent healthcare personnel is expected to reach 24–28% by 2030.</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resulting forecast of digitally competent healthcare workers is presented in Figure 1.</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highlight w:val="yellow"/>
          <w:lang w:val="en-US"/>
        </w:rPr>
      </w:pPr>
      <w:r>
        <w:rPr>
          <w:rFonts w:eastAsia="Times New Roman" w:cs="Times New Roman" w:ascii="Times New Roman" w:hAnsi="Times New Roman"/>
          <w:sz w:val="24"/>
          <w:szCs w:val="24"/>
          <w:highlight w:val="yellow"/>
          <w:lang w:val="en-US"/>
        </w:rPr>
      </w:r>
    </w:p>
    <w:p>
      <w:pPr>
        <w:pStyle w:val="Normal"/>
        <w:tabs>
          <w:tab w:val="clear" w:pos="708"/>
          <w:tab w:val="left" w:pos="993" w:leader="none"/>
        </w:tabs>
        <w:spacing w:lineRule="auto" w:line="240" w:before="0" w:after="0"/>
        <w:ind w:firstLine="567"/>
        <w:jc w:val="both"/>
        <w:rPr/>
      </w:pPr>
      <w:r>
        <w:rPr/>
        <mc:AlternateContent>
          <mc:Choice Requires="wps">
            <w:drawing>
              <wp:inline distT="0" distB="0" distL="0" distR="0">
                <wp:extent cx="4572000" cy="2743200"/>
                <wp:effectExtent l="0" t="0" r="0" b="0"/>
                <wp:docPr id="56" name=""/>
                <a:graphic xmlns:a="http://schemas.openxmlformats.org/drawingml/2006/main">
                  <a:graphicData uri="http://schemas.openxmlformats.org/drawingml/2006/picture">
                    <pic:pic xmlns:pic="http://schemas.openxmlformats.org/drawingml/2006/picture">
                      <pic:nvPicPr>
                        <pic:cNvPr id="57" name="" descr=""/>
                        <pic:cNvPicPr/>
                      </pic:nvPicPr>
                      <pic:blipFill>
                        <a:blip r:embed="rId290"/>
                        <a:stretch/>
                      </pic:blipFill>
                      <pic:spPr>
                        <a:xfrm>
                          <a:off x="0" y="0"/>
                          <a:ext cx="4572000" cy="2743200"/>
                        </a:xfrm>
                        <a:prstGeom prst="rect">
                          <a:avLst/>
                        </a:prstGeom>
                        <a:solidFill>
                          <a:srgbClr val="ffffff"/>
                        </a:solid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16.05pt;width:359.95pt;height:215.95pt;mso-wrap-style:none;v-text-anchor:middle;mso-position-vertical:top" type="_x0000_t75">
                <v:imagedata r:id="rId291" o:detectmouseclick="t"/>
                <v:stroke color="#3465a4" joinstyle="round" endcap="flat"/>
                <w10:wrap type="none"/>
              </v:shape>
            </w:pict>
          </mc:Fallback>
        </mc:AlternateConten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0"/>
          <w:szCs w:val="20"/>
          <w:lang w:val="en-US"/>
        </w:rPr>
        <w:t>Fig. 1 - Forecast of digitally competent healthcare workers in the East Kazakhstan Region (2020-2030)</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i/>
          <w:i/>
          <w:iCs/>
          <w:lang w:val="en-US"/>
        </w:rPr>
      </w:pPr>
      <w:r>
        <w:rPr>
          <w:rFonts w:eastAsia="Times New Roman" w:cs="Times New Roman" w:ascii="Times New Roman" w:hAnsi="Times New Roman"/>
          <w:i/>
          <w:iCs/>
          <w:lang w:val="en-US"/>
        </w:rPr>
        <w:t>Compiled by the authors based on the source [29]</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During the study period, total ICT spending in Kazakhstan amounted to 443,121 million tenge. The East Kazakhstan region accounted for 16,742 million tenge, of which only 524 million tenge was for healthcare. Moreover, in the region's healthcare, ICT costs decreased by 50.7%. The dynamics of changes in expenses in the context of 2020–2021 are shown in Figure 2.</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0"/>
          <w:szCs w:val="20"/>
        </w:rPr>
      </w:pPr>
      <w:r>
        <w:rPr/>
        <mc:AlternateContent>
          <mc:Choice Requires="wps">
            <w:drawing>
              <wp:inline distT="0" distB="0" distL="0" distR="0">
                <wp:extent cx="5219700" cy="2331720"/>
                <wp:effectExtent l="0" t="0" r="0" b="0"/>
                <wp:docPr id="58" name=""/>
                <a:graphic xmlns:a="http://schemas.openxmlformats.org/drawingml/2006/main">
                  <a:graphicData uri="http://schemas.openxmlformats.org/drawingml/2006/picture">
                    <pic:pic xmlns:pic="http://schemas.openxmlformats.org/drawingml/2006/picture">
                      <pic:nvPicPr>
                        <pic:cNvPr id="59" name="" descr=""/>
                        <pic:cNvPicPr/>
                      </pic:nvPicPr>
                      <pic:blipFill>
                        <a:blip r:embed="rId292"/>
                        <a:stretch/>
                      </pic:blipFill>
                      <pic:spPr>
                        <a:xfrm>
                          <a:off x="0" y="0"/>
                          <a:ext cx="5219640" cy="2331720"/>
                        </a:xfrm>
                        <a:prstGeom prst="rect">
                          <a:avLst/>
                        </a:prstGeom>
                        <a:solidFill>
                          <a:srgbClr val="ffffff"/>
                        </a:solidFill>
                        <a:ln w="0">
                          <a:noFill/>
                        </a:ln>
                      </pic:spPr>
                    </pic:pic>
                  </a:graphicData>
                </a:graphic>
              </wp:inline>
            </w:drawing>
          </mc:Choice>
          <mc:Fallback>
            <w:pict>
              <v:shape id="shape_0" stroked="f" o:allowincell="f" style="position:absolute;margin-left:0pt;margin-top:-183.65pt;width:410.95pt;height:183.55pt;mso-wrap-style:none;v-text-anchor:middle;mso-position-vertical:top" type="_x0000_t75">
                <v:imagedata r:id="rId293" o:detectmouseclick="t"/>
                <v:stroke color="#3465a4" joinstyle="round" endcap="flat"/>
                <w10:wrap type="none"/>
              </v:shape>
            </w:pict>
          </mc:Fallback>
        </mc:AlternateContent>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i/>
          <w:i/>
          <w:iCs/>
          <w:sz w:val="20"/>
          <w:szCs w:val="20"/>
          <w:lang w:val="en-US"/>
        </w:rPr>
      </w:pPr>
      <w:r>
        <w:rPr>
          <w:rFonts w:eastAsia="Times New Roman" w:cs="Times New Roman" w:ascii="Times New Roman" w:hAnsi="Times New Roman"/>
          <w:b/>
          <w:bCs/>
          <w:sz w:val="20"/>
          <w:szCs w:val="20"/>
          <w:lang w:val="en-US"/>
        </w:rPr>
        <w:t>Fig. 2 - Dynamics of changes in ICT costs in the healthcare sector, in the East Kazakhstan region</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lang w:val="en-US"/>
        </w:rPr>
      </w:pPr>
      <w:r>
        <w:rPr>
          <w:rFonts w:eastAsia="Times New Roman" w:cs="Times New Roman" w:ascii="Times New Roman" w:hAnsi="Times New Roman"/>
          <w:i/>
          <w:iCs/>
          <w:lang w:val="en-US"/>
        </w:rPr>
        <w:t>Compiled by the authors based on the source [29]</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By 2024, healthcare organizations in the East Kazakhstan region with ICT specialists accounted for 4.6% of the total, equivalent to 8.5% of all organizations in the region. The number of employees with computer literacy reached 16.2%, more than doubling since 2020. Thus, the region has demonstrated positive dynamics in digital development, although several problem areas remain limited funding, weak development of human resources in the field of information security, and insufficient coverage of training programs.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Since 2020, the amount of ICT costs in healthcare has not exceeded 1,062 million tenge, in 2021 the rate of change decreased by 67%, in 2022 an increase of 2.1 times, in 2023 a decrease again by 72%, then in 2024 an increase of 34% (Figure 3).</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sz w:val="24"/>
          <w:szCs w:val="24"/>
        </w:rPr>
      </w:pPr>
      <w:r>
        <w:rPr/>
        <mc:AlternateContent>
          <mc:Choice Requires="wps">
            <w:drawing>
              <wp:inline distT="0" distB="0" distL="0" distR="0">
                <wp:extent cx="5029200" cy="2667000"/>
                <wp:effectExtent l="0" t="0" r="0" b="0"/>
                <wp:docPr id="60" name=""/>
                <a:graphic xmlns:a="http://schemas.openxmlformats.org/drawingml/2006/main">
                  <a:graphicData uri="http://schemas.openxmlformats.org/drawingml/2006/picture">
                    <pic:pic xmlns:pic="http://schemas.openxmlformats.org/drawingml/2006/picture">
                      <pic:nvPicPr>
                        <pic:cNvPr id="61" name="" descr=""/>
                        <pic:cNvPicPr/>
                      </pic:nvPicPr>
                      <pic:blipFill>
                        <a:blip r:embed="rId294"/>
                        <a:stretch/>
                      </pic:blipFill>
                      <pic:spPr>
                        <a:xfrm>
                          <a:off x="0" y="0"/>
                          <a:ext cx="5029200" cy="2666880"/>
                        </a:xfrm>
                        <a:prstGeom prst="rect">
                          <a:avLst/>
                        </a:prstGeom>
                        <a:solidFill>
                          <a:srgbClr val="ffffff"/>
                        </a:solidFill>
                        <a:ln w="0">
                          <a:noFill/>
                        </a:ln>
                      </pic:spPr>
                    </pic:pic>
                  </a:graphicData>
                </a:graphic>
              </wp:inline>
            </w:drawing>
          </mc:Choice>
          <mc:Fallback>
            <w:pict>
              <v:shape id="shape_0" stroked="f" o:allowincell="f" style="position:absolute;margin-left:0pt;margin-top:-210.05pt;width:395.95pt;height:209.95pt;mso-wrap-style:none;v-text-anchor:middle;mso-position-vertical:top" type="_x0000_t75">
                <v:imagedata r:id="rId295" o:detectmouseclick="t"/>
                <v:stroke color="#3465a4" joinstyle="round" endcap="flat"/>
                <w10:wrap type="none"/>
              </v:shape>
            </w:pict>
          </mc:Fallback>
        </mc:AlternateContent>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i/>
          <w:i/>
          <w:iCs/>
          <w:sz w:val="24"/>
          <w:szCs w:val="24"/>
          <w:lang w:val="en-US"/>
        </w:rPr>
      </w:pPr>
      <w:r>
        <w:rPr>
          <w:rFonts w:eastAsia="Times New Roman" w:cs="Times New Roman" w:ascii="Times New Roman" w:hAnsi="Times New Roman"/>
          <w:b/>
          <w:bCs/>
          <w:sz w:val="20"/>
          <w:szCs w:val="20"/>
          <w:lang w:val="en-US"/>
        </w:rPr>
        <w:t>Fig. 3 - Volume of services rendered in the field of healthcare and provision of social services by types of activity in East Kazakhstan region, thousand tenge</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i/>
          <w:i/>
          <w:iCs/>
          <w:lang w:val="en-US"/>
        </w:rPr>
      </w:pPr>
      <w:r>
        <w:rPr>
          <w:rFonts w:eastAsia="Times New Roman" w:cs="Times New Roman" w:ascii="Times New Roman" w:hAnsi="Times New Roman"/>
          <w:i/>
          <w:iCs/>
          <w:lang w:val="en-US"/>
        </w:rPr>
        <w:t>Compiled by the authors based on the source [29]</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Analysis of the dynamics of the volume of medical services rendered in the East Kazakhstan region for the period 2020-2024 shows steady growth. Over the past five years, the total volume of services has almost doubled, which reflects both the growing need of the population for medical care and the active development of digitalization and optimization of organizational processes.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2024, the total volume of services rendered amounted to 128,588 million tenge, of which:</w:t>
      </w:r>
    </w:p>
    <w:p>
      <w:pPr>
        <w:pStyle w:val="ListParagraph"/>
        <w:tabs>
          <w:tab w:val="clear" w:pos="708"/>
          <w:tab w:val="left" w:pos="993" w:leader="none"/>
        </w:tabs>
        <w:suppressAutoHyphens w:val="true"/>
        <w:ind w:left="567"/>
        <w:jc w:val="both"/>
        <w:rPr>
          <w:lang w:val="en-US"/>
        </w:rPr>
      </w:pPr>
      <w:r>
        <w:rPr>
          <w:lang w:val="en-US"/>
        </w:rPr>
        <w:tab/>
        <w:t>- 85.2% (109,621 million tenge) was financed from budget funds;</w:t>
      </w:r>
    </w:p>
    <w:p>
      <w:pPr>
        <w:pStyle w:val="ListParagraph"/>
        <w:tabs>
          <w:tab w:val="clear" w:pos="708"/>
          <w:tab w:val="left" w:pos="993" w:leader="none"/>
        </w:tabs>
        <w:suppressAutoHyphens w:val="true"/>
        <w:ind w:left="567"/>
        <w:jc w:val="both"/>
        <w:rPr>
          <w:lang w:val="en-US"/>
        </w:rPr>
      </w:pPr>
      <w:r>
        <w:rPr>
          <w:lang w:val="en-US"/>
        </w:rPr>
        <w:tab/>
        <w:t>- 8.4% (10,780 million tenge) from the population’s own funds;</w:t>
      </w:r>
    </w:p>
    <w:p>
      <w:pPr>
        <w:pStyle w:val="ListParagraph"/>
        <w:tabs>
          <w:tab w:val="clear" w:pos="708"/>
          <w:tab w:val="left" w:pos="993" w:leader="none"/>
        </w:tabs>
        <w:suppressAutoHyphens w:val="true"/>
        <w:ind w:left="567"/>
        <w:jc w:val="both"/>
        <w:rPr>
          <w:lang w:val="en-US"/>
        </w:rPr>
      </w:pPr>
      <w:r>
        <w:rPr>
          <w:lang w:val="en-US"/>
        </w:rPr>
        <w:tab/>
        <w:t>- 6.4% (8,186 million tenge) at the expense of enterprises.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Of the total, 116,737 million tenge went to the healthcare sector. The structure of the inflow of funds is presented in Figure 3, which details the areas of financing.</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share of the East Kazakhstan region in the total volume of medical services in the Republic of Kazakhstan was 6.6%, which confirms the importance of the region in the formation of national indicators.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Structural analysis of costs shows that the largest part falls on hospital services - 35.28% (63,641 million tenge), of which 94.7% is provided by budget financing, 3.1% - by population funds and 2.1% by enterprises. A detailed structure of the distribution of costs by areas is presented in Figure 4.</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rPr>
      </w:pPr>
      <w:r>
        <w:rPr/>
        <mc:AlternateContent>
          <mc:Choice Requires="wps">
            <w:drawing>
              <wp:inline distT="0" distB="0" distL="0" distR="0">
                <wp:extent cx="5166360" cy="2697480"/>
                <wp:effectExtent l="0" t="0" r="0" b="0"/>
                <wp:docPr id="62" name=""/>
                <a:graphic xmlns:a="http://schemas.openxmlformats.org/drawingml/2006/main">
                  <a:graphicData uri="http://schemas.openxmlformats.org/drawingml/2006/picture">
                    <pic:pic xmlns:pic="http://schemas.openxmlformats.org/drawingml/2006/picture">
                      <pic:nvPicPr>
                        <pic:cNvPr id="63" name="" descr=""/>
                        <pic:cNvPicPr/>
                      </pic:nvPicPr>
                      <pic:blipFill>
                        <a:blip r:embed="rId296"/>
                        <a:stretch/>
                      </pic:blipFill>
                      <pic:spPr>
                        <a:xfrm>
                          <a:off x="0" y="0"/>
                          <a:ext cx="5166360" cy="2697480"/>
                        </a:xfrm>
                        <a:prstGeom prst="rect">
                          <a:avLst/>
                        </a:prstGeom>
                        <a:solidFill>
                          <a:srgbClr val="ffffff"/>
                        </a:solidFill>
                        <a:ln w="0">
                          <a:noFill/>
                        </a:ln>
                      </pic:spPr>
                    </pic:pic>
                  </a:graphicData>
                </a:graphic>
              </wp:inline>
            </w:drawing>
          </mc:Choice>
          <mc:Fallback>
            <w:pict>
              <v:shape id="shape_0" stroked="f" o:allowincell="f" style="position:absolute;margin-left:0pt;margin-top:-212.45pt;width:406.75pt;height:212.35pt;mso-wrap-style:none;v-text-anchor:middle;mso-position-vertical:top" type="_x0000_t75">
                <v:imagedata r:id="rId297" o:detectmouseclick="t"/>
                <v:stroke color="#3465a4" joinstyle="round" endcap="flat"/>
                <w10:wrap type="none"/>
              </v:shape>
            </w:pict>
          </mc:Fallback>
        </mc:AlternateConten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t xml:space="preserve">Fig. 4 - Structure of rendered services in the field of healthcare in the East Kazakhstan region, </w:t>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i/>
          <w:i/>
          <w:iCs/>
          <w:sz w:val="24"/>
          <w:szCs w:val="24"/>
          <w:lang w:val="en-US"/>
        </w:rPr>
      </w:pPr>
      <w:r>
        <w:rPr>
          <w:rFonts w:eastAsia="Times New Roman" w:cs="Times New Roman" w:ascii="Times New Roman" w:hAnsi="Times New Roman"/>
          <w:b/>
          <w:bCs/>
          <w:sz w:val="20"/>
          <w:szCs w:val="20"/>
          <w:lang w:val="en-US"/>
        </w:rPr>
        <w:t>for 2024</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lang w:val="en-US"/>
        </w:rPr>
      </w:pPr>
      <w:r>
        <w:rPr>
          <w:rFonts w:eastAsia="Times New Roman" w:cs="Times New Roman" w:ascii="Times New Roman" w:hAnsi="Times New Roman"/>
          <w:i/>
          <w:iCs/>
          <w:lang w:val="en-US"/>
        </w:rPr>
        <w:t>Compiled by the authors based on the source [29]</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second place are the services of other hospitals - 18.41%, 93.3% are provided at the expense of the budget. The smallest share falls on the services of rehabilitation centers - 1.13%, where 20.3% are at the expense of the budget (754 million tenge), 74.4% - at the expense of the population, and 5.3% - at the expense of enterprises.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As part of the analysis, the health indicators of the population in the East Kazakhstan region were considered (Table 3).</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lang w:val="en-US"/>
        </w:rPr>
        <w:t>Table 3 - Main indicators of the health of the population of the East Kazakhstan region</w:t>
      </w:r>
    </w:p>
    <w:p>
      <w:pPr>
        <w:pStyle w:val="Normal"/>
        <w:tabs>
          <w:tab w:val="clear" w:pos="708"/>
          <w:tab w:val="left" w:pos="993" w:leader="none"/>
        </w:tabs>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tbl>
      <w:tblPr>
        <w:tblW w:w="9403" w:type="dxa"/>
        <w:jc w:val="left"/>
        <w:tblInd w:w="120" w:type="dxa"/>
        <w:tblLayout w:type="fixed"/>
        <w:tblCellMar>
          <w:top w:w="0" w:type="dxa"/>
          <w:left w:w="115" w:type="dxa"/>
          <w:bottom w:w="0" w:type="dxa"/>
          <w:right w:w="115" w:type="dxa"/>
        </w:tblCellMar>
        <w:tblLook w:val="0000" w:noHBand="0" w:noVBand="0" w:firstColumn="0" w:lastRow="0" w:lastColumn="0" w:firstRow="0"/>
      </w:tblPr>
      <w:tblGrid>
        <w:gridCol w:w="4956"/>
        <w:gridCol w:w="1044"/>
        <w:gridCol w:w="1134"/>
        <w:gridCol w:w="1134"/>
        <w:gridCol w:w="1135"/>
      </w:tblGrid>
      <w:tr>
        <w:trPr>
          <w:trHeight w:val="300" w:hRule="atLeast"/>
        </w:trPr>
        <w:tc>
          <w:tcPr>
            <w:tcW w:w="495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jc w:val="center"/>
              <w:rPr>
                <w:rFonts w:ascii="Times New Roman" w:hAnsi="Times New Roman" w:cs="Times New Roman"/>
              </w:rPr>
            </w:pPr>
            <w:r>
              <w:rPr>
                <w:rFonts w:cs="Times New Roman" w:ascii="Times New Roman" w:hAnsi="Times New Roman"/>
                <w:b/>
                <w:bCs/>
              </w:rPr>
              <w:t>Name of indicators</w:t>
            </w:r>
          </w:p>
        </w:tc>
        <w:tc>
          <w:tcPr>
            <w:tcW w:w="104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b/>
                <w:bCs/>
                <w:color w:val="000000"/>
              </w:rPr>
              <w:t>2021</w:t>
            </w:r>
          </w:p>
        </w:tc>
        <w:tc>
          <w:tcPr>
            <w:tcW w:w="113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b/>
                <w:bCs/>
                <w:color w:val="000000"/>
              </w:rPr>
              <w:t>2022</w:t>
            </w:r>
          </w:p>
        </w:tc>
        <w:tc>
          <w:tcPr>
            <w:tcW w:w="113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b/>
                <w:bCs/>
                <w:color w:val="000000"/>
              </w:rPr>
              <w:t>2023</w:t>
            </w:r>
          </w:p>
        </w:tc>
        <w:tc>
          <w:tcPr>
            <w:tcW w:w="1135"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b/>
                <w:bCs/>
                <w:color w:val="000000"/>
              </w:rPr>
              <w:t>2024</w:t>
            </w:r>
          </w:p>
        </w:tc>
      </w:tr>
      <w:tr>
        <w:trPr>
          <w:trHeight w:val="300"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Birth rate, % per 1000 people (15–49)</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66,29</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66,65</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67,87</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71,13</w:t>
            </w:r>
          </w:p>
        </w:tc>
      </w:tr>
      <w:tr>
        <w:trPr>
          <w:trHeight w:val="300"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Death rate, % per 1000 people</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10,29</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10,36</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12,06</w:t>
            </w:r>
          </w:p>
        </w:tc>
        <w:tc>
          <w:tcPr>
            <w:tcW w:w="1135" w:type="dxa"/>
            <w:tcBorders>
              <w:bottom w:val="single" w:sz="4" w:space="0" w:color="000000"/>
              <w:right w:val="single" w:sz="4" w:space="0" w:color="000000"/>
            </w:tcBorders>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12,80</w:t>
            </w:r>
          </w:p>
        </w:tc>
      </w:tr>
      <w:tr>
        <w:trPr>
          <w:trHeight w:val="131"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Natural increase rate, % per 1000 people</w:t>
            </w:r>
          </w:p>
        </w:tc>
        <w:tc>
          <w:tcPr>
            <w:tcW w:w="104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56,00</w:t>
            </w:r>
          </w:p>
        </w:tc>
        <w:tc>
          <w:tcPr>
            <w:tcW w:w="113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56,29</w:t>
            </w:r>
          </w:p>
        </w:tc>
        <w:tc>
          <w:tcPr>
            <w:tcW w:w="1134" w:type="dxa"/>
            <w:tcBorders>
              <w:bottom w:val="single" w:sz="4" w:space="0" w:color="000000"/>
              <w:right w:val="single" w:sz="4" w:space="0" w:color="000000"/>
            </w:tcBorders>
            <w:vAlign w:val="bottom"/>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55,81</w:t>
            </w:r>
          </w:p>
        </w:tc>
        <w:tc>
          <w:tcPr>
            <w:tcW w:w="1135" w:type="dxa"/>
            <w:tcBorders>
              <w:bottom w:val="single" w:sz="4" w:space="0" w:color="000000"/>
              <w:right w:val="single" w:sz="4" w:space="0" w:color="000000"/>
            </w:tcBorders>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58,33</w:t>
            </w:r>
          </w:p>
        </w:tc>
      </w:tr>
      <w:tr>
        <w:trPr>
          <w:trHeight w:val="291"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Maternal mortality rate, % per 1000 live births</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34,3</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23,5</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44,9</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50,0</w:t>
            </w:r>
          </w:p>
        </w:tc>
      </w:tr>
      <w:tr>
        <w:trPr>
          <w:trHeight w:val="173"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Infant mortality rate, % per 1000 live births</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7,28</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7,99</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8,24</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7,4</w:t>
            </w:r>
          </w:p>
        </w:tc>
      </w:tr>
      <w:tr>
        <w:trPr>
          <w:trHeight w:val="300"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Tuberculosis incidence, per 100 thousand people</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45,8</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39,65</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33,5</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27,5</w:t>
            </w:r>
          </w:p>
        </w:tc>
      </w:tr>
      <w:tr>
        <w:trPr>
          <w:trHeight w:val="300"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including tuberculosis mortality</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2,1</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2,0</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2,0</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1,9</w:t>
            </w:r>
          </w:p>
        </w:tc>
      </w:tr>
      <w:tr>
        <w:trPr>
          <w:trHeight w:val="300" w:hRule="atLeast"/>
        </w:trPr>
        <w:tc>
          <w:tcPr>
            <w:tcW w:w="495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Malignant diseases, per 100 thousand people</w:t>
            </w:r>
          </w:p>
        </w:tc>
        <w:tc>
          <w:tcPr>
            <w:tcW w:w="104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321,54</w:t>
            </w:r>
          </w:p>
        </w:tc>
        <w:tc>
          <w:tcPr>
            <w:tcW w:w="113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295,26</w:t>
            </w:r>
          </w:p>
        </w:tc>
        <w:tc>
          <w:tcPr>
            <w:tcW w:w="113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286,05</w:t>
            </w:r>
          </w:p>
        </w:tc>
        <w:tc>
          <w:tcPr>
            <w:tcW w:w="1135"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277,18</w:t>
            </w:r>
          </w:p>
        </w:tc>
      </w:tr>
      <w:tr>
        <w:trPr>
          <w:trHeight w:val="300" w:hRule="atLeast"/>
        </w:trPr>
        <w:tc>
          <w:tcPr>
            <w:tcW w:w="4956"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incl. Mortality from malignant diseases</w:t>
            </w:r>
          </w:p>
        </w:tc>
        <w:tc>
          <w:tcPr>
            <w:tcW w:w="104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rPr>
              <w:t>137,42</w:t>
            </w:r>
          </w:p>
        </w:tc>
        <w:tc>
          <w:tcPr>
            <w:tcW w:w="113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128,31</w:t>
            </w:r>
          </w:p>
        </w:tc>
        <w:tc>
          <w:tcPr>
            <w:tcW w:w="1134"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128,32</w:t>
            </w:r>
          </w:p>
        </w:tc>
        <w:tc>
          <w:tcPr>
            <w:tcW w:w="1135" w:type="dxa"/>
            <w:tcBorders>
              <w:top w:val="single" w:sz="4" w:space="0" w:color="000000"/>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125,63</w:t>
            </w:r>
          </w:p>
        </w:tc>
      </w:tr>
      <w:tr>
        <w:trPr>
          <w:trHeight w:val="221"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Cystolic diseases, per 100 thousand people</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4634,5</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3671,05</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3650,25</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3340,39</w:t>
            </w:r>
          </w:p>
        </w:tc>
      </w:tr>
      <w:tr>
        <w:trPr>
          <w:trHeight w:val="300"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rPr>
            </w:pPr>
            <w:r>
              <w:rPr>
                <w:rFonts w:cs="Times New Roman" w:ascii="Times New Roman" w:hAnsi="Times New Roman"/>
              </w:rPr>
              <w:t>incl. mortality from CDS</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255,88</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304,63</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335,93</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322,83</w:t>
            </w:r>
          </w:p>
        </w:tc>
      </w:tr>
      <w:tr>
        <w:trPr>
          <w:trHeight w:val="129"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Accidents, injuries, poisonings, per 100 thousand people</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242</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282</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302</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314</w:t>
            </w:r>
          </w:p>
        </w:tc>
      </w:tr>
      <w:tr>
        <w:trPr>
          <w:trHeight w:val="321" w:hRule="atLeast"/>
        </w:trPr>
        <w:tc>
          <w:tcPr>
            <w:tcW w:w="4956" w:type="dxa"/>
            <w:tcBorders>
              <w:left w:val="single" w:sz="4" w:space="0" w:color="000000"/>
              <w:bottom w:val="single" w:sz="4" w:space="0" w:color="000000"/>
              <w:right w:val="single" w:sz="4" w:space="0" w:color="000000"/>
            </w:tcBorders>
          </w:tcPr>
          <w:p>
            <w:pPr>
              <w:pStyle w:val="Normal"/>
              <w:tabs>
                <w:tab w:val="clear" w:pos="708"/>
                <w:tab w:val="left" w:pos="993" w:leader="none"/>
              </w:tabs>
              <w:spacing w:lineRule="auto" w:line="240" w:before="0" w:after="0"/>
              <w:rPr>
                <w:rFonts w:ascii="Times New Roman" w:hAnsi="Times New Roman" w:cs="Times New Roman"/>
                <w:lang w:val="en-US"/>
              </w:rPr>
            </w:pPr>
            <w:r>
              <w:rPr>
                <w:rFonts w:cs="Times New Roman" w:ascii="Times New Roman" w:hAnsi="Times New Roman"/>
                <w:lang w:val="en-US"/>
              </w:rPr>
              <w:t>incl. mortality from accidents, injuries and poisonings</w:t>
            </w:r>
          </w:p>
        </w:tc>
        <w:tc>
          <w:tcPr>
            <w:tcW w:w="104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20</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21</w:t>
            </w:r>
          </w:p>
        </w:tc>
        <w:tc>
          <w:tcPr>
            <w:tcW w:w="1134"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14</w:t>
            </w:r>
          </w:p>
        </w:tc>
        <w:tc>
          <w:tcPr>
            <w:tcW w:w="1135" w:type="dxa"/>
            <w:tcBorders>
              <w:bottom w:val="single" w:sz="4" w:space="0" w:color="000000"/>
              <w:right w:val="single" w:sz="4" w:space="0" w:color="000000"/>
            </w:tcBorders>
            <w:vAlign w:val="center"/>
          </w:tcPr>
          <w:p>
            <w:pPr>
              <w:pStyle w:val="Normal"/>
              <w:tabs>
                <w:tab w:val="clear" w:pos="708"/>
                <w:tab w:val="left" w:pos="993" w:leader="none"/>
              </w:tabs>
              <w:spacing w:lineRule="auto" w:line="240" w:before="0" w:after="0"/>
              <w:jc w:val="center"/>
              <w:rPr>
                <w:rFonts w:ascii="Times New Roman" w:hAnsi="Times New Roman" w:cs="Times New Roman"/>
              </w:rPr>
            </w:pPr>
            <w:r>
              <w:rPr>
                <w:rFonts w:eastAsia="Times New Roman" w:cs="Times New Roman" w:ascii="Times New Roman" w:hAnsi="Times New Roman"/>
                <w:color w:val="000000"/>
              </w:rPr>
              <w:t>24</w:t>
            </w:r>
          </w:p>
        </w:tc>
      </w:tr>
      <w:tr>
        <w:trPr>
          <w:trHeight w:val="321" w:hRule="atLeast"/>
        </w:trPr>
        <w:tc>
          <w:tcPr>
            <w:tcW w:w="9403" w:type="dxa"/>
            <w:gridSpan w:val="5"/>
            <w:tcBorders>
              <w:top w:val="single" w:sz="4" w:space="0" w:color="000000"/>
              <w:left w:val="single" w:sz="4" w:space="0" w:color="000000"/>
              <w:bottom w:val="single" w:sz="4" w:space="0" w:color="000000"/>
              <w:right w:val="single" w:sz="4" w:space="0" w:color="000000"/>
            </w:tcBorders>
            <w:vAlign w:val="bottom"/>
          </w:tcPr>
          <w:p>
            <w:pPr>
              <w:pStyle w:val="Normal"/>
              <w:tabs>
                <w:tab w:val="clear" w:pos="708"/>
                <w:tab w:val="left" w:pos="993" w:leader="none"/>
              </w:tabs>
              <w:spacing w:lineRule="auto" w:line="240" w:before="0" w:after="0"/>
              <w:rPr>
                <w:rFonts w:ascii="Times New Roman" w:hAnsi="Times New Roman" w:cs="Times New Roman"/>
                <w:lang w:val="en-US"/>
              </w:rPr>
            </w:pPr>
            <w:r>
              <w:rPr>
                <w:rFonts w:eastAsia="Times New Roman" w:cs="Times New Roman" w:ascii="Times New Roman" w:hAnsi="Times New Roman"/>
                <w:i/>
                <w:iCs/>
                <w:color w:val="000000"/>
                <w:lang w:val="en-US"/>
              </w:rPr>
              <w:t>Compiled by the authors based on the source [29]</w:t>
            </w:r>
          </w:p>
        </w:tc>
      </w:tr>
    </w:tbl>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observed improvements in several health indicators are not only a consequence of general modernization of the healthcare system but are also closely linked to the expansion of digital tools. The wider use of electronic medical records, online appointment systems and telemedicine consultations has contributed to reducing time-to-diagnosis, improving continuity of care and increasing transparency in patient-provider interactions. For remote rural settlements, digital channels have partially mitigated geographical barriers by enabling access to specialized services that were previously concentrated in large urban centres.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From a socio-economic perspective, digitalization has helped to optimize resource allocation, reduce transaction costs for both providers and patients and improve the efficiency of administrative processes. At the same time, uneven ICT funding and limited digital skills in certain groups of healthcare workers preserve inequalities in access and quality of services. Thus, digital transformation of healthcare in the East Kazakhstan Region simultaneously acts as a factor of increased accessibility and as a source of new risks related to the “digital divide”, which must be addressed in regional health policy.</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Thus, in 2020-2024, there is a positive trend in chronic diseases, which is associated with both improved diagnostics and the wider use of digital technologies to monitor public health.</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negative trend was the increase in the number of accidents, injuries and poisoning: the growth was 29.8%. This fact requires a separate analysis in terms of preventive measures and the integration of digital security systems.</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Taken together, these indicators confirm the impact of healthcare digitalization on increasing the resilience of the system, especially in the context of pandemics and crisis factors. However, risks associated with high mortality during epidemics and an increase in the number of accidents remain, requiring an integrated approach and modernization of preventive measures (figure 5).</w:t>
      </w:r>
    </w:p>
    <w:p>
      <w:pPr>
        <w:pStyle w:val="Normal"/>
        <w:tabs>
          <w:tab w:val="clear" w:pos="708"/>
          <w:tab w:val="left" w:pos="993" w:leader="none"/>
        </w:tabs>
        <w:spacing w:lineRule="auto" w:line="240" w:before="0" w:after="0"/>
        <w:ind w:firstLine="567"/>
        <w:jc w:val="both"/>
        <w:rPr>
          <w:rFonts w:ascii="Times New Roman" w:hAnsi="Times New Roman" w:cs="Times New Roman"/>
          <w:lang w:val="en-US"/>
        </w:rPr>
      </w:pPr>
      <w:r>
        <w:rPr>
          <w:rFonts w:cs="Times New Roman" w:ascii="Times New Roman" w:hAnsi="Times New Roman"/>
          <w:lang w:val="en-US"/>
        </w:rPr>
      </w:r>
    </w:p>
    <w:p>
      <w:pPr>
        <w:pStyle w:val="Normal"/>
        <w:tabs>
          <w:tab w:val="clear" w:pos="708"/>
          <w:tab w:val="left" w:pos="993" w:leader="none"/>
        </w:tabs>
        <w:spacing w:before="0" w:after="0"/>
        <w:jc w:val="center"/>
        <w:rPr>
          <w:rFonts w:ascii="Times New Roman" w:hAnsi="Times New Roman" w:eastAsia="Times New Roman" w:cs="Times New Roman"/>
          <w:b/>
          <w:bCs/>
          <w:sz w:val="20"/>
          <w:szCs w:val="20"/>
        </w:rPr>
      </w:pPr>
      <w:r>
        <w:rPr/>
        <w:drawing>
          <wp:inline distT="0" distB="0" distL="0" distR="0">
            <wp:extent cx="5236210" cy="2480945"/>
            <wp:effectExtent l="0" t="0" r="0" b="0"/>
            <wp:docPr id="6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 descr=""/>
                    <pic:cNvPicPr>
                      <a:picLocks noChangeAspect="1" noChangeArrowheads="1"/>
                    </pic:cNvPicPr>
                  </pic:nvPicPr>
                  <pic:blipFill>
                    <a:blip r:embed="rId298"/>
                    <a:stretch>
                      <a:fillRect/>
                    </a:stretch>
                  </pic:blipFill>
                  <pic:spPr bwMode="auto">
                    <a:xfrm>
                      <a:off x="0" y="0"/>
                      <a:ext cx="5236210" cy="2480945"/>
                    </a:xfrm>
                    <a:prstGeom prst="rect">
                      <a:avLst/>
                    </a:prstGeom>
                    <a:solidFill>
                      <a:srgbClr val="ffffff"/>
                    </a:solidFill>
                  </pic:spPr>
                </pic:pic>
              </a:graphicData>
            </a:graphic>
          </wp:inline>
        </w:drawing>
      </w:r>
    </w:p>
    <w:p>
      <w:pPr>
        <w:pStyle w:val="Normal"/>
        <w:tabs>
          <w:tab w:val="clear" w:pos="708"/>
          <w:tab w:val="left" w:pos="993" w:leader="none"/>
        </w:tabs>
        <w:spacing w:before="0" w:after="0"/>
        <w:jc w:val="center"/>
        <w:rPr>
          <w:rFonts w:ascii="Times New Roman" w:hAnsi="Times New Roman" w:eastAsia="Times New Roman" w:cs="Times New Roman"/>
          <w:i/>
          <w:i/>
          <w:iCs/>
          <w:sz w:val="24"/>
          <w:szCs w:val="24"/>
          <w:lang w:val="en-US"/>
        </w:rPr>
      </w:pPr>
      <w:r>
        <w:rPr>
          <w:rFonts w:eastAsia="Times New Roman" w:cs="Times New Roman" w:ascii="Times New Roman" w:hAnsi="Times New Roman"/>
          <w:b/>
          <w:bCs/>
          <w:sz w:val="20"/>
          <w:szCs w:val="20"/>
          <w:lang w:val="en-US"/>
        </w:rPr>
        <w:t>Fig. 5 - Dynamics of changes in mortality rates relative to the number of specialists in the field of ICT health care in the East Kazakhstan region</w:t>
      </w:r>
    </w:p>
    <w:p>
      <w:pPr>
        <w:pStyle w:val="Normal"/>
        <w:tabs>
          <w:tab w:val="clear" w:pos="708"/>
          <w:tab w:val="left" w:pos="993" w:leader="none"/>
        </w:tabs>
        <w:spacing w:before="0" w:after="0"/>
        <w:ind w:firstLine="567"/>
        <w:jc w:val="both"/>
        <w:rPr>
          <w:rFonts w:ascii="Times New Roman" w:hAnsi="Times New Roman" w:eastAsia="Times New Roman" w:cs="Times New Roman"/>
          <w:lang w:val="en-US"/>
        </w:rPr>
      </w:pPr>
      <w:r>
        <w:rPr>
          <w:rFonts w:eastAsia="Times New Roman" w:cs="Times New Roman" w:ascii="Times New Roman" w:hAnsi="Times New Roman"/>
          <w:i/>
          <w:iCs/>
          <w:lang w:val="en-US"/>
        </w:rPr>
        <w:t>Compiled by the authors based on the source [29]</w:t>
      </w:r>
    </w:p>
    <w:p>
      <w:pPr>
        <w:pStyle w:val="Normal"/>
        <w:tabs>
          <w:tab w:val="clear" w:pos="708"/>
          <w:tab w:val="left" w:pos="993" w:leader="none"/>
        </w:tabs>
        <w:spacing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Figure 4 shows the dynamics of changes in the rates of overall, maternal and infant mortality in comparison with the growth rate of the number of organizations with specialists in the field of ICT health care in the East Kazakhstan region. The data obtained confirms the presence of an inverse relationship between these indicators: with a decrease in the rate of involvement of specialists in digital technologies, mortality rates tend to increase, while with an increase in the number of human resources, stabilization or a decrease in mortality is observed.</w:t>
      </w:r>
    </w:p>
    <w:p>
      <w:pPr>
        <w:pStyle w:val="Normal"/>
        <w:tabs>
          <w:tab w:val="clear" w:pos="708"/>
          <w:tab w:val="left" w:pos="993" w:leader="none"/>
        </w:tabs>
        <w:spacing w:before="0" w:after="0"/>
        <w:ind w:firstLine="567"/>
        <w:jc w:val="both"/>
        <w:rPr>
          <w:rFonts w:ascii="Times New Roman" w:hAnsi="Times New Roman" w:cs="Times New Roman"/>
          <w:sz w:val="24"/>
          <w:szCs w:val="24"/>
          <w:lang w:val="en-US"/>
        </w:rPr>
      </w:pPr>
      <w:r>
        <w:rPr>
          <w:rFonts w:eastAsia="Times New Roman" w:cs="Times New Roman" w:ascii="Times New Roman" w:hAnsi="Times New Roman"/>
          <w:sz w:val="24"/>
          <w:szCs w:val="24"/>
          <w:lang w:val="en-US"/>
        </w:rPr>
        <w:t>In 2020-2021, an increase in mortality rates is recorded, which is explained by the consequences of the COVID-19 pandemic, when limited human and digital resources were unable to compensate for the burden on the healthcare system. In subsequent years, with an increase in the number of ICT specialists in medical institutions in the region, a gradual decrease in mortality rates, especially maternal, is noted.</w:t>
      </w:r>
    </w:p>
    <w:p>
      <w:pPr>
        <w:pStyle w:val="Normal"/>
        <w:tabs>
          <w:tab w:val="clear" w:pos="708"/>
          <w:tab w:val="left" w:pos="993" w:leader="none"/>
        </w:tabs>
        <w:spacing w:before="0" w:after="0"/>
        <w:ind w:firstLine="567"/>
        <w:jc w:val="both"/>
        <w:rPr>
          <w:rFonts w:ascii="Times New Roman" w:hAnsi="Times New Roman" w:eastAsia="Times New Roman" w:cs="Times New Roman"/>
          <w:sz w:val="24"/>
          <w:szCs w:val="24"/>
          <w:lang w:val="en-US"/>
        </w:rPr>
      </w:pPr>
      <w:r>
        <w:rPr>
          <w:rFonts w:cs="Times New Roman" w:ascii="Times New Roman" w:hAnsi="Times New Roman"/>
          <w:sz w:val="24"/>
          <w:szCs w:val="24"/>
          <w:lang w:val="en-US"/>
        </w:rPr>
        <w:t xml:space="preserve">The results of research confirm that digitalization in healthcare in East Kazakhstan Region has a direct impact on both access to and quality of medical services. For example, Assel Murat et al. [30] found that during the COVID-19 pandemic in Kazakhstan, the efficacy of primary healthcare was significantly associated with improvements in ICT infrastructure, professional development of staff, and resource availability (such as equipment and medicines). Similarly, Nurgaliyeva, Z. et al. [31] report that Kazakhstan has made significant strides in digital health implementation, with measurable growth in online and digital health processes. </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At the regional level, findings that the number of ICT-specialists rise in East Kazakhstan corresponds with declines in mortality and improvements in medical facility outcomes—are consistent with results by Bagym Jobalayeva et al. [32] demonstrate that reform policies and investments have led to better availability of health facilities in rural areas, albeit with ongoing inequalities. </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Interoperability remains a central challenge. In the same vein, WHO Europe [33] emphasizes that without integrated systems and standardized data exchange, digital health platforms cannot realize their full potential. Kazakhstan’s progress is similarly constrained by low interoperability between medical information systems, as observed in the research. </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b/>
          <w:bCs/>
          <w:sz w:val="24"/>
          <w:szCs w:val="24"/>
          <w:lang w:val="en-US"/>
        </w:rPr>
      </w:pPr>
      <w:r>
        <w:rPr>
          <w:rFonts w:eastAsia="Times New Roman" w:cs="Times New Roman" w:ascii="Times New Roman" w:hAnsi="Times New Roman"/>
          <w:sz w:val="24"/>
          <w:szCs w:val="24"/>
          <w:lang w:val="en-US"/>
        </w:rPr>
        <w:t xml:space="preserve">Cybersecurity is another area needing urgent attention. Increasing attacks on healthcare providers globally. In parallel, Kazakhstan’s healthcare sector reveals a critical gap: a very limited number of specialists in information security, which aligns with regional data. </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 xml:space="preserve">Conclusion. </w:t>
      </w:r>
      <w:r>
        <w:rPr>
          <w:rFonts w:eastAsia="Times New Roman" w:cs="Times New Roman" w:ascii="Times New Roman" w:hAnsi="Times New Roman"/>
          <w:sz w:val="24"/>
          <w:szCs w:val="24"/>
          <w:lang w:val="en-US"/>
        </w:rPr>
        <w:t>The novelty of the research is that for the first time a comprehensive analysis of the impact of digitalization on the medical services market in the East Kazakhstan region was conducted, with an emphasis on the relationship between the level of digital readiness of medical organizations and key socio-demographic indicators, such as mortality, birth rate and quality of medical services. Unlike previous studies, which focused mainly on the national or international level, this work focuses on regional specifics, which made it possible to identify unique patterns and clarify the role of digitalization in ensuring the sustainability of the healthcare system. From a theoretical point of view, the results of the study contribute to a deeper understanding of the processes of digital transformation of healthcare in the context of regional heterogeneity. The findings confirm the provisions of the WHO global strategy for digital health but clarify them in relation to the Kazakhstan context. It was demonstrated that the dynamics of mortality reduction and improvement of population health indicators directly depend on the level of development of digital competencies of specialists and the availability of ICT infrastructure in the region.</w:t>
      </w:r>
    </w:p>
    <w:p>
      <w:pPr>
        <w:pStyle w:val="Normal"/>
        <w:tabs>
          <w:tab w:val="clear" w:pos="708"/>
          <w:tab w:val="left" w:pos="993" w:leader="none"/>
        </w:tabs>
        <w:spacing w:lineRule="auto" w:line="240" w:before="0" w:after="0"/>
        <w:ind w:firstLine="56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practical significance of the study lies in the possibility of using its results by healthcare authorities and regional administrations when planning and developing digital infrastructure. The identified trends show that improving the computer literacy of healthcare workers and investing in information security led to a decrease in mortality and an increase in the quality of services. Practical recommendations can be applied to optimize government programs, develop telemedicine and increase the resilience of the healthcare system to crises, including pandemics. In addition, the results of the study can be useful for educational institutions training specialists in the field of healthcare and ICT, as well as for private companies involved in the creation and implementation of medical information systems. The study has several limitations that must be considered when interpreting the results. Firstly, the work is based mainly on statistical data for the period 2020-2024, which limits the possibility of long-term conclusions. Secondly, the analysis was carried out within one region - the East Kazakhstan region, so its results may not fully reflect the situation in other regions of Kazakhstan. Third, the research focuses on macro indicators, while micro perspectives - such as individual patient experiences or subjective assessment of the quality of health care - remain outside the scope of the work.</w:t>
      </w:r>
    </w:p>
    <w:p>
      <w:pPr>
        <w:pStyle w:val="Normal"/>
        <w:tabs>
          <w:tab w:val="clear" w:pos="708"/>
          <w:tab w:val="left" w:pos="993" w:leader="none"/>
        </w:tabs>
        <w:spacing w:lineRule="auto" w:line="240" w:before="0" w:after="0"/>
        <w:jc w:val="both"/>
        <w:rPr>
          <w:rFonts w:ascii="Times New Roman" w:hAnsi="Times New Roman" w:eastAsia="Times New Roman" w:cs="Times New Roman"/>
          <w:bCs/>
          <w:sz w:val="24"/>
          <w:szCs w:val="24"/>
          <w:lang w:val="en-US"/>
        </w:rPr>
      </w:pPr>
      <w:r>
        <w:rPr>
          <w:rFonts w:eastAsia="Times New Roman" w:cs="Times New Roman" w:ascii="Times New Roman" w:hAnsi="Times New Roman"/>
          <w:sz w:val="24"/>
          <w:szCs w:val="24"/>
          <w:lang w:val="en-US"/>
        </w:rPr>
        <w:t>Prospects for further research are related to the need for an in-depth analysis of the impact of digitalization on the quality of medical services in various socio-demographic groups of the population. In the future, it is advisable to conduct interregional comparative studies to identify differences and common patterns in the digital transformation of healthcare in Kazakhstan. An important area remains the study of cybersecurity factors and the protection of personal data, since the growth of digitalization is inevitably accompanied by an increase in digital risks. It is also relevant to study the effectiveness of individual digital tools - telemedicine, mobile applications, remote monitoring systems - from the standpoint of their impact on clinical outcomes and patient satisfaction. Of additional interest is the development of forecasting models that take into account not only technical and human resources, but also the socio-economic characteristics of the region. All this will allow us to formulate more accurate strategies for the digital development of healthcare in Kazakhstan and beyond.</w:t>
      </w:r>
    </w:p>
    <w:p>
      <w:pPr>
        <w:pStyle w:val="Normal"/>
        <w:tabs>
          <w:tab w:val="clear" w:pos="708"/>
          <w:tab w:val="left" w:pos="993" w:leader="none"/>
        </w:tabs>
        <w:spacing w:lineRule="auto" w:line="240" w:before="0" w:after="0"/>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r>
    </w:p>
    <w:p>
      <w:pPr>
        <w:pStyle w:val="Normal"/>
        <w:tabs>
          <w:tab w:val="clear" w:pos="708"/>
          <w:tab w:val="left" w:pos="993" w:leader="none"/>
        </w:tabs>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Литература</w:t>
      </w:r>
    </w:p>
    <w:p>
      <w:pPr>
        <w:pStyle w:val="Normal"/>
        <w:tabs>
          <w:tab w:val="clear" w:pos="708"/>
          <w:tab w:val="left" w:pos="993" w:leader="none"/>
        </w:tabs>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32"/>
        <w:tabs>
          <w:tab w:val="clear" w:pos="708"/>
          <w:tab w:val="left" w:pos="284" w:leader="none"/>
        </w:tabs>
        <w:spacing w:before="0" w:after="0"/>
        <w:jc w:val="both"/>
        <w:rPr/>
      </w:pPr>
      <w:r>
        <w:rPr/>
        <w:t xml:space="preserve">1. Об утверждении Государственной программы развития здравоохранения Республики Казахстанна 2020-2-25годы URL: </w:t>
      </w:r>
      <w:hyperlink r:id="rId299">
        <w:r>
          <w:rPr>
            <w:rStyle w:val="Hyperlink"/>
            <w:color w:val="auto"/>
            <w:u w:val="none"/>
          </w:rPr>
          <w:t>https://adilet.zan.kz/rus/docs/P1900000982/history.-Дата</w:t>
        </w:r>
      </w:hyperlink>
      <w:r>
        <w:rPr/>
        <w:t xml:space="preserve"> обращения: 29.07.2025.</w:t>
      </w:r>
    </w:p>
    <w:p>
      <w:pPr>
        <w:pStyle w:val="32"/>
        <w:tabs>
          <w:tab w:val="clear" w:pos="708"/>
          <w:tab w:val="left" w:pos="284" w:leader="none"/>
        </w:tabs>
        <w:spacing w:before="0" w:after="0"/>
        <w:jc w:val="both"/>
        <w:rPr>
          <w:lang w:val="en-US"/>
        </w:rPr>
      </w:pPr>
      <w:r>
        <w:rPr>
          <w:lang w:val="en-US"/>
        </w:rPr>
        <w:t>2. Global Strategy on Digital Health 2020–2025/ Geneva: World Health Organization. -2021. -72 p. ISBN 978-92-4-002092-4, 978-92-4-002093-1.</w:t>
      </w:r>
    </w:p>
    <w:p>
      <w:pPr>
        <w:pStyle w:val="22"/>
        <w:tabs>
          <w:tab w:val="clear" w:pos="708"/>
          <w:tab w:val="left" w:pos="284" w:leader="none"/>
        </w:tabs>
        <w:spacing w:before="0" w:after="0"/>
        <w:jc w:val="both"/>
        <w:rPr>
          <w:lang w:val="en-US"/>
        </w:rPr>
      </w:pPr>
      <w:r>
        <w:rPr>
          <w:lang w:val="en-US"/>
        </w:rPr>
        <w:t xml:space="preserve">3.Slawomirski L., Wenzl M., et al. Health in the 21st Century: Putting Data to Work for Stronger Health Systems// OECD Publishing. -2019. -220 p. DOI </w:t>
      </w:r>
      <w:r>
        <w:fldChar w:fldCharType="begin"/>
      </w:r>
      <w:r>
        <w:rPr>
          <w:rStyle w:val="Style3"/>
          <w:lang w:val="en-US"/>
        </w:rPr>
        <w:instrText xml:space="preserve"> HYPERLINK "https://doi.org/10.1787/e3b23f8e-en" \l "_blank"</w:instrText>
      </w:r>
      <w:r>
        <w:rPr>
          <w:rStyle w:val="Style3"/>
          <w:lang w:val="en-US"/>
        </w:rPr>
        <w:fldChar w:fldCharType="separate"/>
      </w:r>
      <w:r>
        <w:rPr>
          <w:rStyle w:val="Style3"/>
          <w:lang w:val="en-US"/>
        </w:rPr>
        <w:t>10.1787/e3b23f8e-en</w:t>
      </w:r>
      <w:r>
        <w:rPr>
          <w:rStyle w:val="Style3"/>
          <w:lang w:val="en-US"/>
        </w:rPr>
        <w:fldChar w:fldCharType="end"/>
      </w:r>
      <w:r>
        <w:rPr>
          <w:lang w:val="en-US"/>
        </w:rPr>
        <w:t>.</w:t>
      </w:r>
    </w:p>
    <w:p>
      <w:pPr>
        <w:pStyle w:val="32"/>
        <w:tabs>
          <w:tab w:val="clear" w:pos="708"/>
          <w:tab w:val="left" w:pos="284" w:leader="none"/>
        </w:tabs>
        <w:spacing w:before="0" w:after="0"/>
        <w:jc w:val="both"/>
        <w:rPr>
          <w:lang w:val="en-US"/>
        </w:rPr>
      </w:pPr>
      <w:r>
        <w:rPr>
          <w:lang w:val="en-US"/>
        </w:rPr>
        <w:t xml:space="preserve">4.DataReportal. Digital 2023: Kazakhstan. DataReportal. -2023. URL: </w:t>
      </w:r>
      <w:hyperlink r:id="rId300">
        <w:r>
          <w:rPr>
            <w:rStyle w:val="Hyperlink"/>
            <w:color w:val="auto"/>
            <w:u w:val="none"/>
            <w:lang w:val="en-US"/>
          </w:rPr>
          <w:t>https://datareportal.com/reports/digital-2023-kazakhstan</w:t>
        </w:r>
      </w:hyperlink>
      <w:r>
        <w:rPr>
          <w:lang w:val="en-US"/>
        </w:rPr>
        <w:t>. -Date of access: 29.07.2025.</w:t>
      </w:r>
    </w:p>
    <w:p>
      <w:pPr>
        <w:pStyle w:val="32"/>
        <w:tabs>
          <w:tab w:val="clear" w:pos="708"/>
          <w:tab w:val="left" w:pos="284" w:leader="none"/>
        </w:tabs>
        <w:spacing w:before="0" w:after="0"/>
        <w:jc w:val="both"/>
        <w:rPr>
          <w:lang w:val="en-US"/>
        </w:rPr>
      </w:pPr>
      <w:r>
        <w:rPr>
          <w:lang w:val="en-US"/>
        </w:rPr>
        <w:t xml:space="preserve">5. Bake G., et al. Freedom House. </w:t>
      </w:r>
      <w:r>
        <w:rPr>
          <w:iCs/>
          <w:lang w:val="en-US"/>
        </w:rPr>
        <w:t>Freedom on the Net 2023</w:t>
      </w:r>
      <w:r>
        <w:rPr>
          <w:i/>
          <w:iCs/>
          <w:lang w:val="en-US"/>
        </w:rPr>
        <w:t xml:space="preserve">: </w:t>
      </w:r>
      <w:r>
        <w:rPr>
          <w:lang w:val="en-US"/>
        </w:rPr>
        <w:t xml:space="preserve">The Repressive Power of Artificial Intelligence/Freedom House. -2023. URL: </w:t>
      </w:r>
      <w:hyperlink r:id="rId301">
        <w:r>
          <w:rPr>
            <w:rStyle w:val="Style3"/>
            <w:lang w:val="en-US"/>
          </w:rPr>
          <w:t>https://freedomhouse.org/sites/default/files/2023-10/Freedom-on-the-net-2023-DigitalBooklet.pdf</w:t>
        </w:r>
      </w:hyperlink>
      <w:r>
        <w:rPr>
          <w:lang w:val="en-US"/>
        </w:rPr>
        <w:t>. -Date of access: 29.07.2025.</w:t>
      </w:r>
    </w:p>
    <w:p>
      <w:pPr>
        <w:pStyle w:val="32"/>
        <w:tabs>
          <w:tab w:val="clear" w:pos="708"/>
          <w:tab w:val="left" w:pos="284" w:leader="none"/>
        </w:tabs>
        <w:spacing w:before="0" w:after="0"/>
        <w:jc w:val="both"/>
        <w:rPr>
          <w:lang w:val="en-US"/>
        </w:rPr>
      </w:pPr>
      <w:r>
        <w:rPr>
          <w:lang w:val="en-US"/>
        </w:rPr>
        <w:t xml:space="preserve">6. UNICEF. UNICEF Annual State of Digital Transformation. UNICEF Report. - 2024. URL: </w:t>
      </w:r>
      <w:hyperlink r:id="rId302">
        <w:r>
          <w:rPr>
            <w:rStyle w:val="Style3"/>
            <w:lang w:val="en-US"/>
          </w:rPr>
          <w:t>https://www.unicef.org/reports/unicef-annual-state-digital-transformation-dx</w:t>
        </w:r>
      </w:hyperlink>
      <w:r>
        <w:rPr>
          <w:lang w:val="en-US"/>
        </w:rPr>
        <w:t>. -Date of access: 29.07.2025.</w:t>
      </w:r>
    </w:p>
    <w:p>
      <w:pPr>
        <w:pStyle w:val="32"/>
        <w:tabs>
          <w:tab w:val="clear" w:pos="708"/>
          <w:tab w:val="left" w:pos="284" w:leader="none"/>
        </w:tabs>
        <w:spacing w:before="0" w:after="0"/>
        <w:jc w:val="both"/>
        <w:rPr>
          <w:lang w:val="en-US"/>
        </w:rPr>
      </w:pPr>
      <w:r>
        <w:rPr>
          <w:lang w:val="en-US"/>
        </w:rPr>
        <w:t xml:space="preserve">7. Internet Society. </w:t>
      </w:r>
      <w:r>
        <w:rPr>
          <w:iCs/>
          <w:lang w:val="en-US"/>
        </w:rPr>
        <w:t>Global Internet Resilience Report 2024</w:t>
      </w:r>
      <w:r>
        <w:rPr>
          <w:lang w:val="en-US"/>
        </w:rPr>
        <w:t xml:space="preserve">/ The Marcony Society. -2024. URL: </w:t>
      </w:r>
      <w:hyperlink r:id="rId303">
        <w:r>
          <w:rPr>
            <w:rStyle w:val="Style3"/>
            <w:lang w:val="en-US"/>
          </w:rPr>
          <w:t>https://marconisociety.org/wp-content/uploads/2025/02/IR-Technology-Institute-Report-2024-compressed.pdf</w:t>
        </w:r>
      </w:hyperlink>
      <w:r>
        <w:rPr>
          <w:lang w:val="en-US"/>
        </w:rPr>
        <w:t>. -Date of access: 19.08.2025.</w:t>
      </w:r>
    </w:p>
    <w:p>
      <w:pPr>
        <w:pStyle w:val="32"/>
        <w:tabs>
          <w:tab w:val="clear" w:pos="708"/>
          <w:tab w:val="left" w:pos="284" w:leader="none"/>
        </w:tabs>
        <w:spacing w:before="0" w:after="0"/>
        <w:jc w:val="both"/>
        <w:rPr>
          <w:lang w:val="en-US"/>
        </w:rPr>
      </w:pPr>
      <w:r>
        <w:rPr>
          <w:lang w:val="en-US"/>
        </w:rPr>
        <w:t>8. World Health Organization. Recommendations on digital interventions for health system strengthening. WHO. - 2023. ISBN 978-92-4-155050-5.</w:t>
      </w:r>
    </w:p>
    <w:p>
      <w:pPr>
        <w:pStyle w:val="32"/>
        <w:tabs>
          <w:tab w:val="clear" w:pos="708"/>
          <w:tab w:val="left" w:pos="284" w:leader="none"/>
        </w:tabs>
        <w:spacing w:before="0" w:after="0"/>
        <w:jc w:val="both"/>
        <w:rPr>
          <w:lang w:val="en-US"/>
        </w:rPr>
      </w:pPr>
      <w:r>
        <w:rPr>
          <w:lang w:val="en-US"/>
        </w:rPr>
        <w:t xml:space="preserve">9. World Health Organization. Global Digital Health Monitor Releases State of Digital Health 2024 Brief. Geneva: WHO. -2024. URL: </w:t>
      </w:r>
      <w:hyperlink r:id="rId304">
        <w:r>
          <w:rPr>
            <w:rStyle w:val="Style3"/>
            <w:lang w:val="en-US"/>
          </w:rPr>
          <w:t>https://digitalhealthmonitor.org/news/global-digital-health-monitor-releases-state-of-digital-health-2024-brief</w:t>
        </w:r>
      </w:hyperlink>
      <w:r>
        <w:rPr>
          <w:lang w:val="en-US"/>
        </w:rPr>
        <w:t>. -Date of access: 25.08.2025.</w:t>
      </w:r>
    </w:p>
    <w:p>
      <w:pPr>
        <w:pStyle w:val="32"/>
        <w:tabs>
          <w:tab w:val="clear" w:pos="708"/>
          <w:tab w:val="left" w:pos="284" w:leader="none"/>
        </w:tabs>
        <w:spacing w:before="0" w:after="0"/>
        <w:jc w:val="both"/>
        <w:rPr>
          <w:lang w:val="en-US"/>
        </w:rPr>
      </w:pPr>
      <w:r>
        <w:rPr>
          <w:lang w:val="en-US"/>
        </w:rPr>
        <w:t>10. Ministry of Justice of the Republic of Kazakhstan. Code of the Republic of Kazakhstan “On the Health of the People and the Healthcare System” dated July 7, 2020 No. 360-VI ZRK. -2020. URL: https://adilet.zan.kz/eng/docs/K2000000360. -Date of access: 25.08.2025.</w:t>
      </w:r>
    </w:p>
    <w:p>
      <w:pPr>
        <w:pStyle w:val="32"/>
        <w:tabs>
          <w:tab w:val="clear" w:pos="708"/>
          <w:tab w:val="left" w:pos="284" w:leader="none"/>
        </w:tabs>
        <w:spacing w:before="0" w:after="0"/>
        <w:jc w:val="both"/>
        <w:rPr>
          <w:lang w:val="en-US"/>
        </w:rPr>
      </w:pPr>
      <w:r>
        <w:rPr>
          <w:lang w:val="en-US"/>
        </w:rPr>
        <w:t xml:space="preserve">11. Tripathy A., et al. </w:t>
      </w:r>
      <w:r>
        <w:rPr>
          <w:iCs/>
          <w:lang w:val="en-US"/>
        </w:rPr>
        <w:t>Global Telemedicine Regulations Report 2023</w:t>
      </w:r>
      <w:r>
        <w:rPr>
          <w:lang w:val="en-US"/>
        </w:rPr>
        <w:t xml:space="preserve">. Intelehealth. -2023. URL: </w:t>
      </w:r>
      <w:hyperlink r:id="rId305">
        <w:r>
          <w:rPr>
            <w:rStyle w:val="Style3"/>
            <w:lang w:val="en-US"/>
          </w:rPr>
          <w:t>https://intelehealth.org/wp-content/uploads/2023/06/TELEMEDICINE-REPORT-12-June-2023.pdf</w:t>
        </w:r>
      </w:hyperlink>
      <w:r>
        <w:rPr>
          <w:lang w:val="en-US"/>
        </w:rPr>
        <w:t>. -Date of access: 20.08.2025.</w:t>
      </w:r>
    </w:p>
    <w:p>
      <w:pPr>
        <w:pStyle w:val="32"/>
        <w:tabs>
          <w:tab w:val="clear" w:pos="708"/>
          <w:tab w:val="left" w:pos="284" w:leader="none"/>
        </w:tabs>
        <w:spacing w:before="0" w:after="0"/>
        <w:jc w:val="both"/>
        <w:rPr>
          <w:lang w:val="en-US"/>
        </w:rPr>
      </w:pPr>
      <w:r>
        <w:rPr>
          <w:lang w:val="en-US"/>
        </w:rPr>
        <w:t xml:space="preserve">12.Joint Programme Document: Integrated Approaches for Digital Health Transformation in Kazakhstan. UNDP/UN Joint SDG Fund. -2025. URL: </w:t>
      </w:r>
      <w:r>
        <w:fldChar w:fldCharType="begin"/>
      </w:r>
      <w:r>
        <w:rPr>
          <w:rStyle w:val="Style3"/>
          <w:lang w:val="en-US"/>
        </w:rPr>
        <w:instrText xml:space="preserve"> HYPERLINK "https://mptf.undp.org/sites/default/files/documents/2025-04/extracted_from_kazakhstan_prodoc_141119.pdf?utm_source=chatgpt.com" \l "_blank"</w:instrText>
      </w:r>
      <w:r>
        <w:rPr>
          <w:rStyle w:val="Style3"/>
          <w:lang w:val="en-US"/>
        </w:rPr>
        <w:fldChar w:fldCharType="separate"/>
      </w:r>
      <w:r>
        <w:rPr>
          <w:rStyle w:val="Style3"/>
          <w:lang w:val="en-US"/>
        </w:rPr>
        <w:t>https://mptf.undp.org/sites/default/files/documents/2025-04/extracted_from_kazakhstan_prodoc_141119.pdf</w:t>
      </w:r>
      <w:r>
        <w:rPr>
          <w:rStyle w:val="Style3"/>
          <w:lang w:val="en-US"/>
        </w:rPr>
        <w:fldChar w:fldCharType="end"/>
      </w:r>
      <w:r>
        <w:rPr>
          <w:lang w:val="en-US"/>
        </w:rPr>
        <w:t>. -Date of access: 20.08.2025.</w:t>
      </w:r>
    </w:p>
    <w:p>
      <w:pPr>
        <w:pStyle w:val="32"/>
        <w:tabs>
          <w:tab w:val="clear" w:pos="708"/>
          <w:tab w:val="left" w:pos="284" w:leader="none"/>
        </w:tabs>
        <w:spacing w:before="0" w:after="0"/>
        <w:jc w:val="both"/>
        <w:rPr>
          <w:lang w:val="en-US"/>
        </w:rPr>
      </w:pPr>
      <w:r>
        <w:rPr>
          <w:lang w:val="en-US"/>
        </w:rPr>
        <w:t xml:space="preserve">13.OECD. Health Data Governance: Principles and Practices/ OECD Publishing. -2015. URL: </w:t>
      </w:r>
      <w:hyperlink r:id="rId306">
        <w:r>
          <w:rPr>
            <w:rStyle w:val="Style3"/>
            <w:lang w:val="en-US"/>
          </w:rPr>
          <w:t>https://www.oecd.org/en/publications/health-data-governance_9789264244566-en.html</w:t>
        </w:r>
      </w:hyperlink>
      <w:r>
        <w:rPr>
          <w:lang w:val="en-US"/>
        </w:rPr>
        <w:t>. -Date of access: 20.08.2025.</w:t>
      </w:r>
    </w:p>
    <w:p>
      <w:pPr>
        <w:pStyle w:val="32"/>
        <w:tabs>
          <w:tab w:val="clear" w:pos="708"/>
          <w:tab w:val="left" w:pos="284" w:leader="none"/>
        </w:tabs>
        <w:spacing w:before="0" w:after="0"/>
        <w:jc w:val="both"/>
        <w:rPr>
          <w:lang w:val="en-US"/>
        </w:rPr>
      </w:pPr>
      <w:r>
        <w:rPr>
          <w:lang w:val="en-US"/>
        </w:rPr>
        <w:t xml:space="preserve">14.Bhaskar S., et al. Telemedicine Across the Globe-Position Paper from the COVID-19 Pandemic Health System Resilience PROGRAM (REPROGRAM) International Consortium (Part 1)// Fronties in Public Health. -2020. -Vol. 8: 556720. DOI </w:t>
      </w:r>
      <w:r>
        <w:fldChar w:fldCharType="begin"/>
      </w:r>
      <w:r>
        <w:rPr>
          <w:rStyle w:val="Style3"/>
          <w:lang w:val="en-US"/>
        </w:rPr>
        <w:instrText xml:space="preserve"> HYPERLINK "https://doi.org/10.3389/fpubh.2020.556720" \l "_blank"</w:instrText>
      </w:r>
      <w:r>
        <w:rPr>
          <w:rStyle w:val="Style3"/>
          <w:lang w:val="en-US"/>
        </w:rPr>
        <w:fldChar w:fldCharType="separate"/>
      </w:r>
      <w:r>
        <w:rPr>
          <w:rStyle w:val="Style3"/>
          <w:lang w:val="en-US"/>
        </w:rPr>
        <w:t>10.3389/fpubh.2020.556720</w:t>
      </w:r>
      <w:r>
        <w:rPr>
          <w:rStyle w:val="Style3"/>
          <w:lang w:val="en-US"/>
        </w:rPr>
        <w:fldChar w:fldCharType="end"/>
      </w:r>
      <w:r>
        <w:rPr>
          <w:lang w:val="en-US"/>
        </w:rPr>
        <w:t>.</w:t>
      </w:r>
    </w:p>
    <w:p>
      <w:pPr>
        <w:pStyle w:val="32"/>
        <w:tabs>
          <w:tab w:val="clear" w:pos="708"/>
          <w:tab w:val="left" w:pos="284" w:leader="none"/>
        </w:tabs>
        <w:spacing w:before="0" w:after="0"/>
        <w:jc w:val="both"/>
        <w:rPr>
          <w:lang w:val="en-US"/>
        </w:rPr>
      </w:pPr>
      <w:r>
        <w:rPr>
          <w:lang w:val="en-US"/>
        </w:rPr>
        <w:t xml:space="preserve">15.Ernst &amp; Young. Pulse of the MedTech industry: Outlook. URL: </w:t>
      </w:r>
      <w:hyperlink r:id="rId307">
        <w:r>
          <w:rPr>
            <w:rStyle w:val="Style3"/>
            <w:lang w:val="en-US"/>
          </w:rPr>
          <w:t>https://www.ey.com/en_us/life-sciences/pulse-of-medtech-industry-outlook</w:t>
        </w:r>
      </w:hyperlink>
      <w:r>
        <w:rPr>
          <w:lang w:val="en-US"/>
        </w:rPr>
        <w:t>. -Date of access: 29.08.2025.</w:t>
      </w:r>
    </w:p>
    <w:p>
      <w:pPr>
        <w:pStyle w:val="32"/>
        <w:tabs>
          <w:tab w:val="clear" w:pos="708"/>
          <w:tab w:val="left" w:pos="284" w:leader="none"/>
        </w:tabs>
        <w:spacing w:before="0" w:after="0"/>
        <w:jc w:val="both"/>
        <w:rPr>
          <w:lang w:val="en-US"/>
        </w:rPr>
      </w:pPr>
      <w:r>
        <w:rPr>
          <w:lang w:val="en-US"/>
        </w:rPr>
        <w:t>16.Qumar AB, Faizullina K, Seiduanova l, Yelibay A, Zhamankulova N, Mukashev N. Digital Transformation in Healthcare: Global Best Practices and Kazakhstan's Prospects. Central Asian Journal of Medical Hypotheses and Ethics. -2025. -№6(2). -P. 125-132. DOI 10.47316/cajmhe.2025.6.2.06.</w:t>
      </w:r>
    </w:p>
    <w:p>
      <w:pPr>
        <w:pStyle w:val="32"/>
        <w:tabs>
          <w:tab w:val="clear" w:pos="708"/>
          <w:tab w:val="left" w:pos="284" w:leader="none"/>
        </w:tabs>
        <w:spacing w:before="0" w:after="0"/>
        <w:jc w:val="both"/>
        <w:rPr>
          <w:lang w:val="en-US"/>
        </w:rPr>
      </w:pPr>
      <w:r>
        <w:rPr>
          <w:lang w:val="en-US"/>
        </w:rPr>
        <w:t>17.Shaki D., Aimbetova G., Baysugurova V., Kanushina M., Chegebayeva A., Arailym M., Merkibekov E., Karibayeva I. Level of Patient Satisfaction with Quality of Primary Healthcare in Almaty During COVID-19 Pandemic // International Journal of Environmental Research and Public Health. -2025. -Vol. 22 (5): 804. DOI 10.3390/ijerph22050804.</w:t>
      </w:r>
    </w:p>
    <w:p>
      <w:pPr>
        <w:pStyle w:val="32"/>
        <w:tabs>
          <w:tab w:val="clear" w:pos="708"/>
          <w:tab w:val="left" w:pos="284" w:leader="none"/>
        </w:tabs>
        <w:spacing w:before="0" w:after="0"/>
        <w:jc w:val="both"/>
        <w:rPr>
          <w:lang w:val="en-US"/>
        </w:rPr>
      </w:pPr>
      <w:r>
        <w:rPr>
          <w:lang w:val="en-US"/>
        </w:rPr>
        <w:t>18.Utegenova A., Kassymova G., Fakhradiyev I. Experience of Implementing Digital Telemedicine Technologies to Improve Access to Cervical Cancer Screening in Rural Areas of the Republic of Kazakhstan // Georgian Medical News. -2025. -Vol. 360. -P. 187–194.</w:t>
      </w:r>
    </w:p>
    <w:p>
      <w:pPr>
        <w:pStyle w:val="32"/>
        <w:tabs>
          <w:tab w:val="clear" w:pos="708"/>
          <w:tab w:val="left" w:pos="284" w:leader="none"/>
        </w:tabs>
        <w:spacing w:before="0" w:after="0"/>
        <w:jc w:val="both"/>
        <w:rPr>
          <w:lang w:val="en-US"/>
        </w:rPr>
      </w:pPr>
      <w:r>
        <w:rPr>
          <w:lang w:val="en-US"/>
        </w:rPr>
        <w:t>19.World Health Organization (WHO Europe). Digital Health in Kazakhstan: Progress and Challenges. WHO Regional Office for Europe. -2023. -45 p. URL: https://www.euro.who.int/en/health-topics/Health-systems/digital-health. -Date of access: 27.08.2025.</w:t>
      </w:r>
    </w:p>
    <w:p>
      <w:pPr>
        <w:pStyle w:val="32"/>
        <w:tabs>
          <w:tab w:val="clear" w:pos="708"/>
          <w:tab w:val="left" w:pos="284" w:leader="none"/>
        </w:tabs>
        <w:spacing w:before="0" w:after="0"/>
        <w:jc w:val="both"/>
        <w:rPr>
          <w:lang w:val="en-US"/>
        </w:rPr>
      </w:pPr>
      <w:r>
        <w:rPr>
          <w:lang w:val="en-US"/>
        </w:rPr>
        <w:t xml:space="preserve">20.UNICEF Kazakhstan. Assessment of Digital Public Goods in Kazakhstan/RFP/KAZA/2021/001. -2021. URL:  </w:t>
      </w:r>
      <w:r>
        <w:fldChar w:fldCharType="begin"/>
      </w:r>
      <w:r>
        <w:rPr>
          <w:rStyle w:val="Style3"/>
          <w:lang w:val="en-US"/>
        </w:rPr>
        <w:instrText xml:space="preserve"> HYPERLINK "https://www.unicef.org/kazakhstan/media/7706/file/Presentation%203.pdf?utm_source=chatgpt.com" \l "_blank"</w:instrText>
      </w:r>
      <w:r>
        <w:rPr>
          <w:rStyle w:val="Style3"/>
          <w:lang w:val="en-US"/>
        </w:rPr>
        <w:fldChar w:fldCharType="separate"/>
      </w:r>
      <w:r>
        <w:rPr>
          <w:rStyle w:val="Style3"/>
          <w:lang w:val="en-US"/>
        </w:rPr>
        <w:t>https://www.unicef.org/kazakhstan/media/7706/file/Presentation%203.pdf</w:t>
      </w:r>
      <w:r>
        <w:rPr>
          <w:rStyle w:val="Style3"/>
          <w:lang w:val="en-US"/>
        </w:rPr>
        <w:fldChar w:fldCharType="end"/>
      </w:r>
      <w:r>
        <w:rPr>
          <w:lang w:val="en-US"/>
        </w:rPr>
        <w:t>. -Date of access: 27.08.2025.</w:t>
      </w:r>
    </w:p>
    <w:p>
      <w:pPr>
        <w:pStyle w:val="32"/>
        <w:tabs>
          <w:tab w:val="clear" w:pos="708"/>
          <w:tab w:val="left" w:pos="284" w:leader="none"/>
        </w:tabs>
        <w:spacing w:before="0" w:after="0"/>
        <w:jc w:val="both"/>
        <w:rPr>
          <w:lang w:val="en-US"/>
        </w:rPr>
      </w:pPr>
      <w:r>
        <w:rPr>
          <w:lang w:val="en-US"/>
        </w:rPr>
        <w:t>21.Kropachev P., Imanov M.,  Borisevich J., Dhomane I. Information Technologies and The Future of Educationin The Republic of Kazakhstan // Scientific Journal Of Astana IT University. -2020. -Vol. 1. -</w:t>
      </w:r>
      <w:r>
        <w:rPr/>
        <w:t>Р</w:t>
      </w:r>
      <w:r>
        <w:rPr>
          <w:lang w:val="en-US"/>
        </w:rPr>
        <w:t xml:space="preserve">. 30-38. DOI 10.37943/AITU.2020.1.63639. </w:t>
      </w:r>
    </w:p>
    <w:p>
      <w:pPr>
        <w:pStyle w:val="32"/>
        <w:tabs>
          <w:tab w:val="clear" w:pos="708"/>
          <w:tab w:val="left" w:pos="284" w:leader="none"/>
        </w:tabs>
        <w:spacing w:before="0" w:after="0"/>
        <w:jc w:val="both"/>
        <w:rPr>
          <w:lang w:val="en-US"/>
        </w:rPr>
      </w:pPr>
      <w:r>
        <w:rPr>
          <w:lang w:val="en-US"/>
        </w:rPr>
        <w:t>22.Organization for Security and Co-operation in Europe (OSCE). Public-Private Partnerships in Cyber Resilience: Kazakhstan Case Study. Vienna: OSCE. -2023. -52 p. URL: https://www.osce.org/files/f/documents/1/2/536789.pdf. -Date of access: 29.08.2025.</w:t>
      </w:r>
    </w:p>
    <w:p>
      <w:pPr>
        <w:pStyle w:val="32"/>
        <w:tabs>
          <w:tab w:val="clear" w:pos="708"/>
          <w:tab w:val="left" w:pos="284" w:leader="none"/>
        </w:tabs>
        <w:spacing w:before="0" w:after="0"/>
        <w:jc w:val="both"/>
        <w:rPr>
          <w:lang w:val="en-US"/>
        </w:rPr>
      </w:pPr>
      <w:r>
        <w:rPr>
          <w:lang w:val="en-US"/>
        </w:rPr>
        <w:t xml:space="preserve">23.Ministry of Health of the Republic of Kazakhstan. State Program for the Development of Healthcare of the Republic of Kazakhstan for 2020-2025. -2020. -145 p. URL: </w:t>
      </w:r>
      <w:r>
        <w:fldChar w:fldCharType="begin"/>
      </w:r>
      <w:r>
        <w:rPr>
          <w:rStyle w:val="Style3"/>
          <w:lang w:val="en-US"/>
        </w:rPr>
        <w:instrText xml:space="preserve"> HYPERLINK "https://cis-legislation.com/document.fwx?rgn=121946" \l "_blank"</w:instrText>
      </w:r>
      <w:r>
        <w:rPr>
          <w:rStyle w:val="Style3"/>
          <w:lang w:val="en-US"/>
        </w:rPr>
        <w:fldChar w:fldCharType="separate"/>
      </w:r>
      <w:r>
        <w:rPr>
          <w:rStyle w:val="Style3"/>
          <w:lang w:val="en-US"/>
        </w:rPr>
        <w:t>https://cis-legislation.com/document.fwx?rgn=121946#A5OQ0IMM30</w:t>
      </w:r>
      <w:r>
        <w:rPr>
          <w:rStyle w:val="Style3"/>
          <w:lang w:val="en-US"/>
        </w:rPr>
        <w:fldChar w:fldCharType="end"/>
      </w:r>
      <w:r>
        <w:rPr>
          <w:lang w:val="en-US"/>
        </w:rPr>
        <w:t>. -Date of access: 29.08.2025.</w:t>
      </w:r>
    </w:p>
    <w:p>
      <w:pPr>
        <w:pStyle w:val="32"/>
        <w:tabs>
          <w:tab w:val="clear" w:pos="708"/>
          <w:tab w:val="left" w:pos="284" w:leader="none"/>
        </w:tabs>
        <w:spacing w:before="0" w:after="0"/>
        <w:jc w:val="both"/>
        <w:rPr>
          <w:lang w:val="en-US"/>
        </w:rPr>
      </w:pPr>
      <w:r>
        <w:rPr>
          <w:lang w:val="en-US"/>
        </w:rPr>
        <w:t xml:space="preserve">24.World Bank. Digital Progress and Trends Report 2025: Strengthening AI Foundations. - Washington: The World Bank, 2025. URL: </w:t>
      </w:r>
      <w:r>
        <w:fldChar w:fldCharType="begin"/>
      </w:r>
      <w:r>
        <w:rPr>
          <w:rStyle w:val="Style3"/>
          <w:lang w:val="en-US"/>
        </w:rPr>
        <w:instrText xml:space="preserve"> HYPERLINK "https://openknowledge.worldbank.org/server/api/core/bitstreams/f2509a0f-7153-4f32-b180-bc11e90c4940/content" \l "_blank"</w:instrText>
      </w:r>
      <w:r>
        <w:rPr>
          <w:rStyle w:val="Style3"/>
          <w:lang w:val="en-US"/>
        </w:rPr>
        <w:fldChar w:fldCharType="separate"/>
      </w:r>
      <w:r>
        <w:rPr>
          <w:rStyle w:val="Style3"/>
          <w:lang w:val="en-US"/>
        </w:rPr>
        <w:t>https://openknowledge.worldbank.org/server/api/core/bitstreams/f2509a0f-7153-4f32-b180-bc11e90c4940/content</w:t>
      </w:r>
      <w:r>
        <w:rPr>
          <w:rStyle w:val="Style3"/>
          <w:lang w:val="en-US"/>
        </w:rPr>
        <w:fldChar w:fldCharType="end"/>
      </w:r>
      <w:r>
        <w:rPr>
          <w:lang w:val="en-US"/>
        </w:rPr>
        <w:t>. -Date of access: 29.08.2025.</w:t>
      </w:r>
    </w:p>
    <w:p>
      <w:pPr>
        <w:pStyle w:val="32"/>
        <w:tabs>
          <w:tab w:val="clear" w:pos="708"/>
          <w:tab w:val="left" w:pos="284" w:leader="none"/>
        </w:tabs>
        <w:spacing w:before="0" w:after="0"/>
        <w:jc w:val="both"/>
        <w:rPr/>
      </w:pPr>
      <w:r>
        <w:rPr>
          <w:lang w:val="en-US"/>
        </w:rPr>
        <w:t xml:space="preserve">25.Digital Journey: Kazakhstan’s Healthcare. - Official website of the Ministry of Health of the Republic of Kazakhstan. </w:t>
      </w:r>
      <w:r>
        <w:fldChar w:fldCharType="begin"/>
      </w:r>
      <w:r>
        <w:rPr>
          <w:rStyle w:val="Style3"/>
        </w:rPr>
        <w:instrText xml:space="preserve"> HYPERLINK "https://www.gov.kz/memleket/entities/dsm/press/article/details/4848?utm_source=chatgpt.com" \l "_blank"</w:instrText>
      </w:r>
      <w:r>
        <w:rPr>
          <w:rStyle w:val="Style3"/>
        </w:rPr>
        <w:fldChar w:fldCharType="separate"/>
      </w:r>
      <w:r>
        <w:rPr>
          <w:rStyle w:val="Style3"/>
        </w:rPr>
        <w:t>https://www.gov.kz/memleket/entities/dsm/press/article/details/4848</w:t>
      </w:r>
      <w:r>
        <w:rPr>
          <w:rStyle w:val="Style3"/>
        </w:rPr>
        <w:fldChar w:fldCharType="end"/>
      </w:r>
      <w:r>
        <w:rPr/>
        <w:t>.</w:t>
      </w:r>
    </w:p>
    <w:p>
      <w:pPr>
        <w:pStyle w:val="32"/>
        <w:tabs>
          <w:tab w:val="clear" w:pos="708"/>
          <w:tab w:val="left" w:pos="284" w:leader="none"/>
        </w:tabs>
        <w:spacing w:before="0" w:after="0"/>
        <w:jc w:val="both"/>
        <w:rPr/>
      </w:pPr>
      <w:r>
        <w:rPr/>
        <w:t xml:space="preserve">26.Бюро национальной статистики Агентства стратегического планирования и реформ Республики Казахстан. Статистика здравоохранения Республики Казахстан, 2016-2023 гг.. -2023. -120 </w:t>
      </w:r>
      <w:r>
        <w:rPr>
          <w:lang w:val="en-US"/>
        </w:rPr>
        <w:t>p</w:t>
      </w:r>
      <w:r>
        <w:rPr/>
        <w:t xml:space="preserve">. </w:t>
      </w:r>
      <w:r>
        <w:rPr>
          <w:lang w:val="en-US"/>
        </w:rPr>
        <w:t>URL</w:t>
      </w:r>
      <w:r>
        <w:rPr/>
        <w:t xml:space="preserve">: </w:t>
      </w:r>
      <w:hyperlink r:id="rId308">
        <w:r>
          <w:rPr>
            <w:rStyle w:val="Style3"/>
            <w:lang w:val="en-US"/>
          </w:rPr>
          <w:t>https</w:t>
        </w:r>
        <w:r>
          <w:rPr>
            <w:rStyle w:val="Style3"/>
          </w:rPr>
          <w:t>://</w:t>
        </w:r>
        <w:r>
          <w:rPr>
            <w:rStyle w:val="Style3"/>
            <w:lang w:val="en-US"/>
          </w:rPr>
          <w:t>stat</w:t>
        </w:r>
        <w:r>
          <w:rPr>
            <w:rStyle w:val="Style3"/>
          </w:rPr>
          <w:t>.</w:t>
        </w:r>
        <w:r>
          <w:rPr>
            <w:rStyle w:val="Style3"/>
            <w:lang w:val="en-US"/>
          </w:rPr>
          <w:t>gov</w:t>
        </w:r>
        <w:r>
          <w:rPr>
            <w:rStyle w:val="Style3"/>
          </w:rPr>
          <w:t>.</w:t>
        </w:r>
        <w:r>
          <w:rPr>
            <w:rStyle w:val="Style3"/>
            <w:lang w:val="en-US"/>
          </w:rPr>
          <w:t>kz</w:t>
        </w:r>
        <w:r>
          <w:rPr>
            <w:rStyle w:val="Style3"/>
          </w:rPr>
          <w:t>/</w:t>
        </w:r>
        <w:r>
          <w:rPr>
            <w:rStyle w:val="Style3"/>
            <w:lang w:val="en-US"/>
          </w:rPr>
          <w:t>healthcare</w:t>
        </w:r>
        <w:r>
          <w:rPr>
            <w:rStyle w:val="Style3"/>
          </w:rPr>
          <w:t>-</w:t>
        </w:r>
        <w:r>
          <w:rPr>
            <w:rStyle w:val="Style3"/>
            <w:lang w:val="en-US"/>
          </w:rPr>
          <w:t>statistics</w:t>
        </w:r>
        <w:r>
          <w:rPr>
            <w:rStyle w:val="Style3"/>
          </w:rPr>
          <w:t>-2016-2023</w:t>
        </w:r>
      </w:hyperlink>
      <w:r>
        <w:rPr/>
        <w:t>. - Дата обращения: 28.08.2025.</w:t>
      </w:r>
    </w:p>
    <w:p>
      <w:pPr>
        <w:pStyle w:val="32"/>
        <w:tabs>
          <w:tab w:val="clear" w:pos="708"/>
          <w:tab w:val="left" w:pos="284" w:leader="none"/>
        </w:tabs>
        <w:spacing w:before="0" w:after="0"/>
        <w:jc w:val="both"/>
        <w:rPr>
          <w:lang w:val="en-US"/>
        </w:rPr>
      </w:pPr>
      <w:r>
        <w:rPr>
          <w:lang w:val="en-US"/>
        </w:rPr>
        <w:t xml:space="preserve">27.Astana International Financial Centre. Annual Report 2020. - </w:t>
      </w:r>
      <w:r>
        <w:rPr/>
        <w:t>Астана</w:t>
      </w:r>
      <w:r>
        <w:rPr>
          <w:lang w:val="en-US"/>
        </w:rPr>
        <w:t xml:space="preserve">: Astana International Financial Centre «AIFC». -2021. URL: </w:t>
      </w:r>
      <w:r>
        <w:fldChar w:fldCharType="begin"/>
      </w:r>
      <w:r>
        <w:rPr>
          <w:rStyle w:val="Style3"/>
          <w:lang w:val="en-US"/>
        </w:rPr>
        <w:instrText xml:space="preserve"> HYPERLINK "https://aifc.kz/wp-content/uploads/2024/06/aifc_ar2020_eng.pdf" \l "_blank"</w:instrText>
      </w:r>
      <w:r>
        <w:rPr>
          <w:rStyle w:val="Style3"/>
          <w:lang w:val="en-US"/>
        </w:rPr>
        <w:fldChar w:fldCharType="separate"/>
      </w:r>
      <w:r>
        <w:rPr>
          <w:rStyle w:val="Style3"/>
          <w:lang w:val="en-US"/>
        </w:rPr>
        <w:t>https://aifc.kz/wp-content/uploads/2024/06/aifc_ar2020_eng.pdf</w:t>
      </w:r>
      <w:r>
        <w:rPr>
          <w:rStyle w:val="Style3"/>
          <w:lang w:val="en-US"/>
        </w:rPr>
        <w:fldChar w:fldCharType="end"/>
      </w:r>
      <w:r>
        <w:rPr>
          <w:lang w:val="en-US"/>
        </w:rPr>
        <w:t>. -Date of access: 28.08.2025</w:t>
      </w:r>
    </w:p>
    <w:p>
      <w:pPr>
        <w:pStyle w:val="22"/>
        <w:tabs>
          <w:tab w:val="clear" w:pos="708"/>
          <w:tab w:val="left" w:pos="284" w:leader="none"/>
        </w:tabs>
        <w:spacing w:before="0" w:after="0"/>
        <w:jc w:val="both"/>
        <w:rPr/>
      </w:pPr>
      <w:r>
        <w:rPr/>
        <w:t>28.Дамумед. Официальный сайт Единой медицинской информационной системы Казахстан</w:t>
      </w:r>
    </w:p>
    <w:p>
      <w:pPr>
        <w:pStyle w:val="22"/>
        <w:tabs>
          <w:tab w:val="clear" w:pos="708"/>
          <w:tab w:val="left" w:pos="284" w:leader="none"/>
        </w:tabs>
        <w:spacing w:before="0" w:after="0"/>
        <w:jc w:val="both"/>
        <w:rPr/>
      </w:pPr>
      <w:r>
        <w:rPr/>
        <w:t xml:space="preserve">2025. </w:t>
      </w:r>
      <w:r>
        <w:rPr>
          <w:lang w:val="en-US"/>
        </w:rPr>
        <w:t>URL</w:t>
      </w:r>
      <w:r>
        <w:rPr/>
        <w:t xml:space="preserve">: </w:t>
      </w:r>
      <w:r>
        <w:fldChar w:fldCharType="begin"/>
      </w:r>
      <w:r>
        <w:rPr>
          <w:rStyle w:val="Style3"/>
          <w:lang w:val="en-US"/>
        </w:rPr>
        <w:instrText xml:space="preserve"> HYPERLINK "https://damumed.kz/" \l "_blank"</w:instrText>
      </w:r>
      <w:r>
        <w:rPr>
          <w:rStyle w:val="Style3"/>
          <w:lang w:val="en-US"/>
        </w:rPr>
        <w:fldChar w:fldCharType="separate"/>
      </w:r>
      <w:r>
        <w:rPr>
          <w:rStyle w:val="Style3"/>
          <w:lang w:val="en-US"/>
        </w:rPr>
        <w:t>https</w:t>
      </w:r>
      <w:r>
        <w:rPr>
          <w:rStyle w:val="Style3"/>
          <w:lang w:val="en-US"/>
        </w:rPr>
        <w:fldChar w:fldCharType="end"/>
      </w:r>
      <w:r>
        <w:rPr>
          <w:rStyle w:val="Style3"/>
        </w:rPr>
        <w:t>://</w:t>
      </w:r>
      <w:r>
        <w:rPr>
          <w:rStyle w:val="Style3"/>
          <w:lang w:val="en-US"/>
        </w:rPr>
        <w:t>damumed</w:t>
      </w:r>
      <w:r>
        <w:rPr>
          <w:rStyle w:val="Style3"/>
        </w:rPr>
        <w:t>.</w:t>
      </w:r>
      <w:r>
        <w:rPr>
          <w:rStyle w:val="Style3"/>
          <w:lang w:val="en-US"/>
        </w:rPr>
        <w:t>kz</w:t>
      </w:r>
      <w:r>
        <w:rPr/>
        <w:t>. -Дата обращения: 29.08.2025.</w:t>
      </w:r>
    </w:p>
    <w:p>
      <w:pPr>
        <w:pStyle w:val="32"/>
        <w:tabs>
          <w:tab w:val="clear" w:pos="708"/>
          <w:tab w:val="left" w:pos="284" w:leader="none"/>
        </w:tabs>
        <w:spacing w:before="0" w:after="0"/>
        <w:jc w:val="both"/>
        <w:rPr/>
      </w:pPr>
      <w:r>
        <w:rPr/>
        <w:t>29. Комитет по статистике Министерства народного хозяйства Республики Казахстан. Официальный портал статистических данных. -2025. URL: https://stat.gov.kz. -Дата обращения: 29.08.2025.</w:t>
      </w:r>
    </w:p>
    <w:p>
      <w:pPr>
        <w:pStyle w:val="32"/>
        <w:tabs>
          <w:tab w:val="clear" w:pos="708"/>
          <w:tab w:val="left" w:pos="284" w:leader="none"/>
        </w:tabs>
        <w:spacing w:before="0" w:after="0"/>
        <w:jc w:val="both"/>
        <w:rPr>
          <w:lang w:val="en-US"/>
        </w:rPr>
      </w:pPr>
      <w:r>
        <w:rPr>
          <w:lang w:val="en-US"/>
        </w:rPr>
        <w:t xml:space="preserve">30.Murat A., et al. </w:t>
      </w:r>
      <w:r>
        <w:rPr>
          <w:iCs/>
          <w:lang w:val="en-US"/>
        </w:rPr>
        <w:t>Effectiveness of primary health care in the Republic of Kazakhstan during the COVID-19 pandemic and factors affecting it</w:t>
      </w:r>
      <w:r>
        <w:rPr>
          <w:lang w:val="en-US"/>
        </w:rPr>
        <w:t>// Disaster and Emergency. -2024. -Vol.9(4). -</w:t>
      </w:r>
      <w:r>
        <w:rPr/>
        <w:t>Р</w:t>
      </w:r>
      <w:r>
        <w:rPr>
          <w:lang w:val="en-US"/>
        </w:rPr>
        <w:t xml:space="preserve">.208-225. DOI </w:t>
      </w:r>
      <w:hyperlink r:id="rId309">
        <w:r>
          <w:rPr>
            <w:rStyle w:val="Style3"/>
            <w:lang w:val="en-US"/>
          </w:rPr>
          <w:t>10.5603/demj.101057</w:t>
        </w:r>
      </w:hyperlink>
      <w:r>
        <w:rPr>
          <w:lang w:val="en-US"/>
        </w:rPr>
        <w:t>.</w:t>
      </w:r>
    </w:p>
    <w:p>
      <w:pPr>
        <w:pStyle w:val="32"/>
        <w:tabs>
          <w:tab w:val="clear" w:pos="708"/>
          <w:tab w:val="left" w:pos="284" w:leader="none"/>
        </w:tabs>
        <w:spacing w:before="0" w:after="0"/>
        <w:jc w:val="both"/>
        <w:rPr>
          <w:lang w:val="en-US"/>
        </w:rPr>
      </w:pPr>
      <w:r>
        <w:rPr>
          <w:lang w:val="en-US"/>
        </w:rPr>
        <w:t xml:space="preserve">31.Nurgaliyeva Z., Berkinbayev S., Zhunussova A. </w:t>
      </w:r>
      <w:r>
        <w:rPr>
          <w:iCs/>
          <w:lang w:val="en-US"/>
        </w:rPr>
        <w:t>Paving the way to establishing the digital-friendly health system in Kazakhstan</w:t>
      </w:r>
      <w:r>
        <w:rPr>
          <w:lang w:val="en-US"/>
        </w:rPr>
        <w:t>// Health Policy and Technology. -2024. -Vol.192: 105610. DOI 10.1016/j.ijmedinf.2024.105610.</w:t>
      </w:r>
    </w:p>
    <w:p>
      <w:pPr>
        <w:pStyle w:val="32"/>
        <w:tabs>
          <w:tab w:val="clear" w:pos="708"/>
          <w:tab w:val="left" w:pos="284" w:leader="none"/>
        </w:tabs>
        <w:spacing w:before="0" w:after="0"/>
        <w:jc w:val="both"/>
        <w:rPr>
          <w:lang w:val="en-US"/>
        </w:rPr>
      </w:pPr>
      <w:r>
        <w:rPr>
          <w:lang w:val="en-US"/>
        </w:rPr>
        <w:t xml:space="preserve">32.Jobalayeva B., et al. </w:t>
      </w:r>
      <w:r>
        <w:rPr>
          <w:iCs/>
          <w:lang w:val="en-US"/>
        </w:rPr>
        <w:t>Past, current status, and future trends of the rural healthcare network in the Republic of Kazakhstan</w:t>
      </w:r>
      <w:r>
        <w:rPr>
          <w:lang w:val="en-US"/>
        </w:rPr>
        <w:t>//Scientific Reports. -2025. -Vol. 15: 26913.  DOI 10.1038/s41598-025-11432-w.</w:t>
      </w:r>
    </w:p>
    <w:p>
      <w:pPr>
        <w:pStyle w:val="32"/>
        <w:tabs>
          <w:tab w:val="clear" w:pos="708"/>
          <w:tab w:val="left" w:pos="284" w:leader="none"/>
        </w:tabs>
        <w:spacing w:before="0" w:after="0"/>
        <w:jc w:val="both"/>
        <w:rPr>
          <w:lang w:val="en-US"/>
        </w:rPr>
      </w:pPr>
      <w:r>
        <w:rPr>
          <w:lang w:val="en-US"/>
        </w:rPr>
        <w:t xml:space="preserve">33.World Health Organization, Regional Office for Europe. </w:t>
      </w:r>
      <w:r>
        <w:rPr>
          <w:iCs/>
          <w:lang w:val="en-US"/>
        </w:rPr>
        <w:t>Addressing the growing needs of Kazakhstan’s digital health workforce</w:t>
      </w:r>
      <w:r>
        <w:rPr>
          <w:lang w:val="en-US"/>
        </w:rPr>
        <w:t xml:space="preserve">. WHO Europe News. -2023. URL: </w:t>
      </w:r>
      <w:r>
        <w:fldChar w:fldCharType="begin"/>
      </w:r>
      <w:r>
        <w:rPr>
          <w:rStyle w:val="Style3"/>
          <w:lang w:val="en-US"/>
        </w:rPr>
        <w:instrText xml:space="preserve"> HYPERLINK "https://www.who.int/europe/news/item/20-10-2023-addressing-the-growing-needs-of-kazakhstan-s-digital-health-workforce?utm_source=chatgpt.com" \l "_blank"</w:instrText>
      </w:r>
      <w:r>
        <w:rPr>
          <w:rStyle w:val="Style3"/>
          <w:lang w:val="en-US"/>
        </w:rPr>
        <w:fldChar w:fldCharType="separate"/>
      </w:r>
      <w:r>
        <w:rPr>
          <w:rStyle w:val="Style3"/>
          <w:lang w:val="en-US"/>
        </w:rPr>
        <w:t>https://www.who.int/europe/news/item/20-10-2023-addressing-the-growing-needs-of-kazakhstan-s-digital-health-workforce</w:t>
      </w:r>
      <w:r>
        <w:rPr>
          <w:rStyle w:val="Style3"/>
          <w:lang w:val="en-US"/>
        </w:rPr>
        <w:fldChar w:fldCharType="end"/>
      </w:r>
      <w:r>
        <w:rPr>
          <w:lang w:val="en-US"/>
        </w:rPr>
        <w:t>. - Date of access: 29.08.2025.</w:t>
      </w:r>
    </w:p>
    <w:p>
      <w:pPr>
        <w:pStyle w:val="22"/>
        <w:tabs>
          <w:tab w:val="clear" w:pos="708"/>
          <w:tab w:val="left" w:pos="284" w:leader="none"/>
        </w:tabs>
        <w:spacing w:before="0" w:after="0"/>
        <w:jc w:val="both"/>
        <w:rPr>
          <w:lang w:val="en-US"/>
        </w:rPr>
      </w:pPr>
      <w:r>
        <w:rPr>
          <w:lang w:val="en-US"/>
        </w:rPr>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References</w:t>
      </w:r>
    </w:p>
    <w:p>
      <w:pPr>
        <w:pStyle w:val="Normal"/>
        <w:tabs>
          <w:tab w:val="clear" w:pos="708"/>
          <w:tab w:val="left" w:pos="993" w:leader="none"/>
        </w:tabs>
        <w:spacing w:lineRule="auto" w:line="240" w:before="0" w:after="0"/>
        <w:ind w:firstLine="567"/>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22"/>
        <w:tabs>
          <w:tab w:val="clear" w:pos="708"/>
          <w:tab w:val="left" w:pos="284" w:leader="none"/>
        </w:tabs>
        <w:spacing w:before="0" w:after="0"/>
        <w:jc w:val="both"/>
        <w:rPr>
          <w:lang w:val="en-US"/>
        </w:rPr>
      </w:pPr>
      <w:r>
        <w:rPr>
          <w:lang w:val="en-US"/>
        </w:rPr>
        <w:t>1.Ob utverzhdenii Gosudarstvennoj programmy razvitija zdravoohranenija Respubliki Kazahstanna 2020-2-25gody URL: https://adilet.zan.kz/rus/docs/P1900000982/history.-Data obrashhenija: 29.07.2025.[in Russian]</w:t>
      </w:r>
    </w:p>
    <w:p>
      <w:pPr>
        <w:pStyle w:val="32"/>
        <w:tabs>
          <w:tab w:val="clear" w:pos="708"/>
          <w:tab w:val="left" w:pos="284" w:leader="none"/>
        </w:tabs>
        <w:spacing w:before="0" w:after="0"/>
        <w:jc w:val="both"/>
        <w:rPr>
          <w:lang w:val="en-US"/>
        </w:rPr>
      </w:pPr>
      <w:r>
        <w:rPr>
          <w:lang w:val="en-US"/>
        </w:rPr>
        <w:t>2. Global Strategy on Digital Health 2020–2025/ Geneva: World Health Organization. -2021. -72 p. ISBN 978-92-4-002092-4, 978-92-4-002093-1.</w:t>
      </w:r>
    </w:p>
    <w:p>
      <w:pPr>
        <w:pStyle w:val="22"/>
        <w:tabs>
          <w:tab w:val="clear" w:pos="708"/>
          <w:tab w:val="left" w:pos="284" w:leader="none"/>
        </w:tabs>
        <w:spacing w:before="0" w:after="0"/>
        <w:jc w:val="both"/>
        <w:rPr>
          <w:lang w:val="en-US"/>
        </w:rPr>
      </w:pPr>
      <w:r>
        <w:rPr>
          <w:lang w:val="en-US"/>
        </w:rPr>
        <w:t xml:space="preserve">3.Slawomirski L., Wenzl M., et al. Health in the 21st Century: Putting Data to Work for Stronger Health Systems// OECD Publishing. -2019. -220 p. DOI </w:t>
      </w:r>
      <w:r>
        <w:fldChar w:fldCharType="begin"/>
      </w:r>
      <w:r>
        <w:rPr>
          <w:rStyle w:val="Style3"/>
          <w:lang w:val="en-US"/>
        </w:rPr>
        <w:instrText xml:space="preserve"> HYPERLINK "https://doi.org/10.1787/e3b23f8e-en" \l "_blank"</w:instrText>
      </w:r>
      <w:r>
        <w:rPr>
          <w:rStyle w:val="Style3"/>
          <w:lang w:val="en-US"/>
        </w:rPr>
        <w:fldChar w:fldCharType="separate"/>
      </w:r>
      <w:r>
        <w:rPr>
          <w:rStyle w:val="Style3"/>
          <w:lang w:val="en-US"/>
        </w:rPr>
        <w:t>10.1787/e3b23f8e-en</w:t>
      </w:r>
      <w:r>
        <w:rPr>
          <w:rStyle w:val="Style3"/>
          <w:lang w:val="en-US"/>
        </w:rPr>
        <w:fldChar w:fldCharType="end"/>
      </w:r>
      <w:r>
        <w:rPr>
          <w:lang w:val="en-US"/>
        </w:rPr>
        <w:t>.</w:t>
      </w:r>
    </w:p>
    <w:p>
      <w:pPr>
        <w:pStyle w:val="32"/>
        <w:tabs>
          <w:tab w:val="clear" w:pos="708"/>
          <w:tab w:val="left" w:pos="284" w:leader="none"/>
        </w:tabs>
        <w:spacing w:before="0" w:after="0"/>
        <w:jc w:val="both"/>
        <w:rPr>
          <w:lang w:val="en-US"/>
        </w:rPr>
      </w:pPr>
      <w:r>
        <w:rPr>
          <w:lang w:val="en-US"/>
        </w:rPr>
        <w:t xml:space="preserve">4.DataReportal. Digital 2023: Kazakhstan. DataReportal. -2023. URL: </w:t>
      </w:r>
      <w:hyperlink r:id="rId310">
        <w:r>
          <w:rPr>
            <w:rStyle w:val="Hyperlink"/>
            <w:lang w:val="en-US"/>
          </w:rPr>
          <w:t>https://datareportal.com/reports/digital-2023-kazakhstan</w:t>
        </w:r>
      </w:hyperlink>
      <w:r>
        <w:rPr>
          <w:lang w:val="en-US"/>
        </w:rPr>
        <w:t>. -Date of access: 29.07.2025.</w:t>
      </w:r>
    </w:p>
    <w:p>
      <w:pPr>
        <w:pStyle w:val="32"/>
        <w:tabs>
          <w:tab w:val="clear" w:pos="708"/>
          <w:tab w:val="left" w:pos="284" w:leader="none"/>
        </w:tabs>
        <w:spacing w:before="0" w:after="0"/>
        <w:jc w:val="both"/>
        <w:rPr>
          <w:lang w:val="en-US"/>
        </w:rPr>
      </w:pPr>
      <w:r>
        <w:rPr>
          <w:lang w:val="en-US"/>
        </w:rPr>
        <w:t xml:space="preserve">5. Bake G., et al. Freedom House. </w:t>
      </w:r>
      <w:r>
        <w:rPr>
          <w:iCs/>
          <w:lang w:val="en-US"/>
        </w:rPr>
        <w:t>Freedom on the Net 2023</w:t>
      </w:r>
      <w:r>
        <w:rPr>
          <w:i/>
          <w:iCs/>
          <w:lang w:val="en-US"/>
        </w:rPr>
        <w:t xml:space="preserve">: </w:t>
      </w:r>
      <w:r>
        <w:rPr>
          <w:lang w:val="en-US"/>
        </w:rPr>
        <w:t xml:space="preserve">The Repressive Power of Artificial Intelligence/Freedom House. -2023. URL: </w:t>
      </w:r>
      <w:hyperlink r:id="rId311">
        <w:r>
          <w:rPr>
            <w:rStyle w:val="Style3"/>
            <w:lang w:val="en-US"/>
          </w:rPr>
          <w:t>https://freedomhouse.org/sites/default/files/2023-10/Freedom-on-the-net-2023-DigitalBooklet.pdf</w:t>
        </w:r>
      </w:hyperlink>
      <w:r>
        <w:rPr>
          <w:lang w:val="en-US"/>
        </w:rPr>
        <w:t>. -Date of access: 29.07.2025.</w:t>
      </w:r>
    </w:p>
    <w:p>
      <w:pPr>
        <w:pStyle w:val="32"/>
        <w:tabs>
          <w:tab w:val="clear" w:pos="708"/>
          <w:tab w:val="left" w:pos="284" w:leader="none"/>
        </w:tabs>
        <w:spacing w:before="0" w:after="0"/>
        <w:jc w:val="both"/>
        <w:rPr>
          <w:lang w:val="en-US"/>
        </w:rPr>
      </w:pPr>
      <w:r>
        <w:rPr>
          <w:lang w:val="en-US"/>
        </w:rPr>
        <w:t xml:space="preserve">6. UNICEF. UNICEF Annual State of Digital Transformation. UNICEF Report. - 2024. URL: </w:t>
      </w:r>
      <w:hyperlink r:id="rId312">
        <w:r>
          <w:rPr>
            <w:rStyle w:val="Style3"/>
            <w:lang w:val="en-US"/>
          </w:rPr>
          <w:t>https://www.unicef.org/reports/unicef-annual-state-digital-transformation-dx</w:t>
        </w:r>
      </w:hyperlink>
      <w:r>
        <w:rPr>
          <w:lang w:val="en-US"/>
        </w:rPr>
        <w:t>. -Date of access: 29.07.2025.</w:t>
      </w:r>
    </w:p>
    <w:p>
      <w:pPr>
        <w:pStyle w:val="32"/>
        <w:tabs>
          <w:tab w:val="clear" w:pos="708"/>
          <w:tab w:val="left" w:pos="284" w:leader="none"/>
        </w:tabs>
        <w:spacing w:before="0" w:after="0"/>
        <w:jc w:val="both"/>
        <w:rPr>
          <w:lang w:val="en-US"/>
        </w:rPr>
      </w:pPr>
      <w:r>
        <w:rPr>
          <w:lang w:val="en-US"/>
        </w:rPr>
        <w:t xml:space="preserve">7. Internet Society. </w:t>
      </w:r>
      <w:r>
        <w:rPr>
          <w:iCs/>
          <w:lang w:val="en-US"/>
        </w:rPr>
        <w:t>Global Internet Resilience Report 2024</w:t>
      </w:r>
      <w:r>
        <w:rPr>
          <w:lang w:val="en-US"/>
        </w:rPr>
        <w:t xml:space="preserve">/ The Marcony Society. -2024. URL: </w:t>
      </w:r>
      <w:hyperlink r:id="rId313">
        <w:r>
          <w:rPr>
            <w:rStyle w:val="Style3"/>
            <w:lang w:val="en-US"/>
          </w:rPr>
          <w:t>https://marconisociety.org/wp-content/uploads/2025/02/IR-Technology-Institute-Report-2024-compressed.pdf</w:t>
        </w:r>
      </w:hyperlink>
      <w:r>
        <w:rPr>
          <w:lang w:val="en-US"/>
        </w:rPr>
        <w:t>. -Date of access: 19.08.2025.</w:t>
      </w:r>
    </w:p>
    <w:p>
      <w:pPr>
        <w:pStyle w:val="32"/>
        <w:tabs>
          <w:tab w:val="clear" w:pos="708"/>
          <w:tab w:val="left" w:pos="284" w:leader="none"/>
        </w:tabs>
        <w:spacing w:before="0" w:after="0"/>
        <w:jc w:val="both"/>
        <w:rPr>
          <w:lang w:val="en-US"/>
        </w:rPr>
      </w:pPr>
      <w:r>
        <w:rPr>
          <w:lang w:val="en-US"/>
        </w:rPr>
        <w:t>8. World Health Organization. Recommendations on digital interventions for health system strengthening. WHO. - 2023. ISBN 978-92-4-155050-5.</w:t>
      </w:r>
    </w:p>
    <w:p>
      <w:pPr>
        <w:pStyle w:val="32"/>
        <w:tabs>
          <w:tab w:val="clear" w:pos="708"/>
          <w:tab w:val="left" w:pos="284" w:leader="none"/>
        </w:tabs>
        <w:spacing w:before="0" w:after="0"/>
        <w:jc w:val="both"/>
        <w:rPr>
          <w:lang w:val="en-US"/>
        </w:rPr>
      </w:pPr>
      <w:r>
        <w:rPr>
          <w:lang w:val="en-US"/>
        </w:rPr>
        <w:t xml:space="preserve">9. World Health Organization. Global Digital Health Monitor Releases State of Digital Health 2024 Brief. Geneva: WHO. -2024. URL: </w:t>
      </w:r>
      <w:hyperlink r:id="rId314">
        <w:r>
          <w:rPr>
            <w:rStyle w:val="Style3"/>
            <w:lang w:val="en-US"/>
          </w:rPr>
          <w:t>https://digitalhealthmonitor.org/news/global-digital-health-monitor-releases-state-of-digital-health-2024-brief</w:t>
        </w:r>
      </w:hyperlink>
      <w:r>
        <w:rPr>
          <w:lang w:val="en-US"/>
        </w:rPr>
        <w:t>. -Date of access :25.08.2025.</w:t>
      </w:r>
    </w:p>
    <w:p>
      <w:pPr>
        <w:pStyle w:val="32"/>
        <w:tabs>
          <w:tab w:val="clear" w:pos="708"/>
          <w:tab w:val="left" w:pos="284" w:leader="none"/>
        </w:tabs>
        <w:spacing w:before="0" w:after="0"/>
        <w:jc w:val="both"/>
        <w:rPr>
          <w:lang w:val="en-US"/>
        </w:rPr>
      </w:pPr>
      <w:r>
        <w:rPr>
          <w:lang w:val="en-US"/>
        </w:rPr>
        <w:t>10. Ministry of Justice of the Republic of Kazakhstan. Code of the Republic of Kazakhstan “On the Health of the People and the Healthcare System” dated July 7, 2020 No. 360-VI ZRK. -2020. URL: https://adilet.zan.kz/eng/docs/K2000000360. -Date of access: 25.08.2025.</w:t>
      </w:r>
    </w:p>
    <w:p>
      <w:pPr>
        <w:pStyle w:val="32"/>
        <w:tabs>
          <w:tab w:val="clear" w:pos="708"/>
          <w:tab w:val="left" w:pos="284" w:leader="none"/>
        </w:tabs>
        <w:spacing w:before="0" w:after="0"/>
        <w:jc w:val="both"/>
        <w:rPr>
          <w:lang w:val="en-US"/>
        </w:rPr>
      </w:pPr>
      <w:r>
        <w:rPr>
          <w:lang w:val="en-US"/>
        </w:rPr>
        <w:t xml:space="preserve">11. Tripathy A., et al. </w:t>
      </w:r>
      <w:r>
        <w:rPr>
          <w:iCs/>
          <w:lang w:val="en-US"/>
        </w:rPr>
        <w:t>Global Telemedicine Regulations Report 2023</w:t>
      </w:r>
      <w:r>
        <w:rPr>
          <w:lang w:val="en-US"/>
        </w:rPr>
        <w:t xml:space="preserve">. Intelehealth. -2023. URL: </w:t>
      </w:r>
      <w:hyperlink r:id="rId315">
        <w:r>
          <w:rPr>
            <w:rStyle w:val="Style3"/>
            <w:lang w:val="en-US"/>
          </w:rPr>
          <w:t>https://intelehealth.org/wp-content/uploads/2023/06/TELEMEDICINE-REPORT-12-June-2023.pdf</w:t>
        </w:r>
      </w:hyperlink>
      <w:r>
        <w:rPr>
          <w:lang w:val="en-US"/>
        </w:rPr>
        <w:t>. -Date of access: 20.08.2025.</w:t>
      </w:r>
    </w:p>
    <w:p>
      <w:pPr>
        <w:pStyle w:val="32"/>
        <w:tabs>
          <w:tab w:val="clear" w:pos="708"/>
          <w:tab w:val="left" w:pos="284" w:leader="none"/>
        </w:tabs>
        <w:spacing w:before="0" w:after="0"/>
        <w:jc w:val="both"/>
        <w:rPr>
          <w:lang w:val="en-US"/>
        </w:rPr>
      </w:pPr>
      <w:r>
        <w:rPr>
          <w:lang w:val="en-US"/>
        </w:rPr>
        <w:t xml:space="preserve">12.Joint Programme Document: Integrated Approaches for Digital Health Transformation in Kazakhstan. UNDP / UN Joint SDG Fund. -2025. URL: </w:t>
      </w:r>
      <w:r>
        <w:fldChar w:fldCharType="begin"/>
      </w:r>
      <w:r>
        <w:rPr>
          <w:rStyle w:val="Style3"/>
          <w:lang w:val="en-US"/>
        </w:rPr>
        <w:instrText xml:space="preserve"> HYPERLINK "https://mptf.undp.org/sites/default/files/documents/2025-04/extracted_from_kazakhstan_prodoc_141119.pdf?utm_source=chatgpt.com" \l "_blank"</w:instrText>
      </w:r>
      <w:r>
        <w:rPr>
          <w:rStyle w:val="Style3"/>
          <w:lang w:val="en-US"/>
        </w:rPr>
        <w:fldChar w:fldCharType="separate"/>
      </w:r>
      <w:r>
        <w:rPr>
          <w:rStyle w:val="Style3"/>
          <w:lang w:val="en-US"/>
        </w:rPr>
        <w:t>https://mptf.undp.org/sites/default/files/documents/2025-04/extracted_from_kazakhstan_prodoc_141119.pdf</w:t>
      </w:r>
      <w:r>
        <w:rPr>
          <w:rStyle w:val="Style3"/>
          <w:lang w:val="en-US"/>
        </w:rPr>
        <w:fldChar w:fldCharType="end"/>
      </w:r>
      <w:r>
        <w:rPr>
          <w:lang w:val="en-US"/>
        </w:rPr>
        <w:t>. -Date of access: 20.08.2025.</w:t>
      </w:r>
    </w:p>
    <w:p>
      <w:pPr>
        <w:pStyle w:val="32"/>
        <w:tabs>
          <w:tab w:val="clear" w:pos="708"/>
          <w:tab w:val="left" w:pos="284" w:leader="none"/>
        </w:tabs>
        <w:spacing w:before="0" w:after="0"/>
        <w:jc w:val="both"/>
        <w:rPr>
          <w:lang w:val="en-US"/>
        </w:rPr>
      </w:pPr>
      <w:r>
        <w:rPr>
          <w:lang w:val="en-US"/>
        </w:rPr>
        <w:t xml:space="preserve">13.OECD. Health Data Governance: Principles and Practices/ OECD Publishing. -2015. URL: </w:t>
      </w:r>
      <w:hyperlink r:id="rId316">
        <w:r>
          <w:rPr>
            <w:rStyle w:val="Style3"/>
            <w:lang w:val="en-US"/>
          </w:rPr>
          <w:t>https://www.oecd.org/en/publications/health-data-governance_9789264244566-en.html</w:t>
        </w:r>
      </w:hyperlink>
      <w:r>
        <w:rPr>
          <w:lang w:val="en-US"/>
        </w:rPr>
        <w:t>. -Date of access: 20.08.2025.</w:t>
      </w:r>
    </w:p>
    <w:p>
      <w:pPr>
        <w:pStyle w:val="32"/>
        <w:tabs>
          <w:tab w:val="clear" w:pos="708"/>
          <w:tab w:val="left" w:pos="284" w:leader="none"/>
        </w:tabs>
        <w:spacing w:before="0" w:after="0"/>
        <w:jc w:val="both"/>
        <w:rPr>
          <w:lang w:val="en-US"/>
        </w:rPr>
      </w:pPr>
      <w:r>
        <w:rPr>
          <w:lang w:val="en-US"/>
        </w:rPr>
        <w:t xml:space="preserve">14.Bhaskar S., et al. Telemedicine Across the Globe-Position Paper from the COVID-19 Pandemic Health System Resilience PROGRAM (REPROGRAM) International Consortium (Part 1)// Fronties in Public Health. -2020. -Vol. 8: 556720. DOI </w:t>
      </w:r>
      <w:r>
        <w:fldChar w:fldCharType="begin"/>
      </w:r>
      <w:r>
        <w:rPr>
          <w:rStyle w:val="Style3"/>
          <w:lang w:val="en-US"/>
        </w:rPr>
        <w:instrText xml:space="preserve"> HYPERLINK "https://doi.org/10.3389/fpubh.2020.556720" \l "_blank"</w:instrText>
      </w:r>
      <w:r>
        <w:rPr>
          <w:rStyle w:val="Style3"/>
          <w:lang w:val="en-US"/>
        </w:rPr>
        <w:fldChar w:fldCharType="separate"/>
      </w:r>
      <w:r>
        <w:rPr>
          <w:rStyle w:val="Style3"/>
          <w:lang w:val="en-US"/>
        </w:rPr>
        <w:t>10.3389/fpubh.2020.556720</w:t>
      </w:r>
      <w:r>
        <w:rPr>
          <w:rStyle w:val="Style3"/>
          <w:lang w:val="en-US"/>
        </w:rPr>
        <w:fldChar w:fldCharType="end"/>
      </w:r>
      <w:r>
        <w:rPr>
          <w:lang w:val="en-US"/>
        </w:rPr>
        <w:t>.</w:t>
      </w:r>
    </w:p>
    <w:p>
      <w:pPr>
        <w:pStyle w:val="32"/>
        <w:tabs>
          <w:tab w:val="clear" w:pos="708"/>
          <w:tab w:val="left" w:pos="284" w:leader="none"/>
        </w:tabs>
        <w:spacing w:before="0" w:after="0"/>
        <w:jc w:val="both"/>
        <w:rPr>
          <w:lang w:val="en-US"/>
        </w:rPr>
      </w:pPr>
      <w:r>
        <w:rPr>
          <w:lang w:val="en-US"/>
        </w:rPr>
        <w:t xml:space="preserve">15.Ernst &amp; Young. Pulse of the MedTech industry: Outlook. URL: </w:t>
      </w:r>
      <w:hyperlink r:id="rId317">
        <w:r>
          <w:rPr>
            <w:rStyle w:val="Style3"/>
            <w:lang w:val="en-US"/>
          </w:rPr>
          <w:t>https://www.ey.com/en_us/life-sciences/pulse-of-medtech-industry-outlook</w:t>
        </w:r>
      </w:hyperlink>
      <w:r>
        <w:rPr>
          <w:lang w:val="en-US"/>
        </w:rPr>
        <w:t>. -Date of access: 29.08.2025.</w:t>
      </w:r>
    </w:p>
    <w:p>
      <w:pPr>
        <w:pStyle w:val="32"/>
        <w:tabs>
          <w:tab w:val="clear" w:pos="708"/>
          <w:tab w:val="left" w:pos="284" w:leader="none"/>
        </w:tabs>
        <w:spacing w:before="0" w:after="0"/>
        <w:jc w:val="both"/>
        <w:rPr>
          <w:lang w:val="en-US"/>
        </w:rPr>
      </w:pPr>
      <w:r>
        <w:rPr>
          <w:lang w:val="en-US"/>
        </w:rPr>
        <w:t>16.Qumar AB, Faizullina K, Seiduanova l, Yelibay A, Zhamankulova N, Mukashev N. Digital Transformation in Healthcare: Global Best Practices and Kazakhstan's Prospects. Central Asian Journal of Medical Hypotheses and Ethics. -2025. -№6(2). -P. 125-132. DOI 10.47316/cajmhe.2025.6.2.06.</w:t>
      </w:r>
    </w:p>
    <w:p>
      <w:pPr>
        <w:pStyle w:val="32"/>
        <w:tabs>
          <w:tab w:val="clear" w:pos="708"/>
          <w:tab w:val="left" w:pos="284" w:leader="none"/>
        </w:tabs>
        <w:spacing w:before="0" w:after="0"/>
        <w:jc w:val="both"/>
        <w:rPr>
          <w:lang w:val="en-US"/>
        </w:rPr>
      </w:pPr>
      <w:r>
        <w:rPr>
          <w:lang w:val="en-US"/>
        </w:rPr>
        <w:t>17.Shaki D., Aimbetova G., Baysugurova V., Kanushina M., Chegebayeva A., Arailym M., Merkibekov E., Karibayeva I. Level of Patient Satisfaction with Quality of Primary Healthcare in Almaty During COVID-19 Pandemic // International Journal of Environmental Research and Public Health. -2025. -Vol. 22 (5): 804. DOI 10.3390/ijerph22050804.</w:t>
      </w:r>
    </w:p>
    <w:p>
      <w:pPr>
        <w:pStyle w:val="32"/>
        <w:tabs>
          <w:tab w:val="clear" w:pos="708"/>
          <w:tab w:val="left" w:pos="284" w:leader="none"/>
        </w:tabs>
        <w:spacing w:before="0" w:after="0"/>
        <w:jc w:val="both"/>
        <w:rPr>
          <w:lang w:val="en-US"/>
        </w:rPr>
      </w:pPr>
      <w:r>
        <w:rPr>
          <w:lang w:val="en-US"/>
        </w:rPr>
        <w:t>18.Utegenova A., Kassymova G., Fakhradiyev I. Experience of Implementing Digital Telemedicine Technologies to Improve Access to Cervical Cancer Screening in Rural Areas of the Republic of Kazakhstan // Georgian Medical News. -2025. -Vol. 360. -P. 187–194.</w:t>
      </w:r>
    </w:p>
    <w:p>
      <w:pPr>
        <w:pStyle w:val="32"/>
        <w:tabs>
          <w:tab w:val="clear" w:pos="708"/>
          <w:tab w:val="left" w:pos="284" w:leader="none"/>
        </w:tabs>
        <w:spacing w:before="0" w:after="0"/>
        <w:jc w:val="both"/>
        <w:rPr>
          <w:lang w:val="en-US"/>
        </w:rPr>
      </w:pPr>
      <w:r>
        <w:rPr>
          <w:lang w:val="en-US"/>
        </w:rPr>
        <w:t>19.World Health Organization (WHO Europe). Digital Health in Kazakhstan: Progress and Challenges. WHO Regional Office for Europe. -2023. -45 p. URL: https://www.euro.who.int/en/health-topics/Health-systems/digital-health. -Date of access: 27.08.2025.</w:t>
      </w:r>
    </w:p>
    <w:p>
      <w:pPr>
        <w:pStyle w:val="32"/>
        <w:tabs>
          <w:tab w:val="clear" w:pos="708"/>
          <w:tab w:val="left" w:pos="284" w:leader="none"/>
        </w:tabs>
        <w:spacing w:before="0" w:after="0"/>
        <w:jc w:val="both"/>
        <w:rPr>
          <w:lang w:val="en-US"/>
        </w:rPr>
      </w:pPr>
      <w:r>
        <w:rPr>
          <w:lang w:val="en-US"/>
        </w:rPr>
        <w:t xml:space="preserve">20.UNICEF Kazakhstan. Assessment of Digital Public Goods in Kazakhstan/RFP/KAZA/2021/001. -2021. URL:  </w:t>
      </w:r>
      <w:r>
        <w:fldChar w:fldCharType="begin"/>
      </w:r>
      <w:r>
        <w:rPr>
          <w:rStyle w:val="Style3"/>
          <w:lang w:val="en-US"/>
        </w:rPr>
        <w:instrText xml:space="preserve"> HYPERLINK "https://www.unicef.org/kazakhstan/media/7706/file/Presentation%203.pdf?utm_source=chatgpt.com" \l "_blank"</w:instrText>
      </w:r>
      <w:r>
        <w:rPr>
          <w:rStyle w:val="Style3"/>
          <w:lang w:val="en-US"/>
        </w:rPr>
        <w:fldChar w:fldCharType="separate"/>
      </w:r>
      <w:r>
        <w:rPr>
          <w:rStyle w:val="Style3"/>
          <w:lang w:val="en-US"/>
        </w:rPr>
        <w:t>https://www.unicef.org/kazakhstan/media/7706/file/Presentation%203.pdf</w:t>
      </w:r>
      <w:r>
        <w:rPr>
          <w:rStyle w:val="Style3"/>
          <w:lang w:val="en-US"/>
        </w:rPr>
        <w:fldChar w:fldCharType="end"/>
      </w:r>
      <w:r>
        <w:rPr>
          <w:lang w:val="en-US"/>
        </w:rPr>
        <w:t>. -Date of access: 27.08.2025.</w:t>
      </w:r>
    </w:p>
    <w:p>
      <w:pPr>
        <w:pStyle w:val="32"/>
        <w:tabs>
          <w:tab w:val="clear" w:pos="708"/>
          <w:tab w:val="left" w:pos="284" w:leader="none"/>
        </w:tabs>
        <w:spacing w:before="0" w:after="0"/>
        <w:jc w:val="both"/>
        <w:rPr>
          <w:lang w:val="en-US"/>
        </w:rPr>
      </w:pPr>
      <w:r>
        <w:rPr>
          <w:lang w:val="en-US"/>
        </w:rPr>
        <w:t>21.Kropachev P., Imanov M.,  Borisevich J., Dhomane I. Information Technologies and The Future of Educationin The Republic of Kazakhstan // Scientific Journal Of Astana IT University. -2020. -Vol. 1. -</w:t>
      </w:r>
      <w:r>
        <w:rPr/>
        <w:t>Р</w:t>
      </w:r>
      <w:r>
        <w:rPr>
          <w:lang w:val="en-US"/>
        </w:rPr>
        <w:t xml:space="preserve">. 30-38. DOI 10.37943/AITU.2020.1.63639. </w:t>
      </w:r>
    </w:p>
    <w:p>
      <w:pPr>
        <w:pStyle w:val="32"/>
        <w:tabs>
          <w:tab w:val="clear" w:pos="708"/>
          <w:tab w:val="left" w:pos="284" w:leader="none"/>
        </w:tabs>
        <w:spacing w:before="0" w:after="0"/>
        <w:jc w:val="both"/>
        <w:rPr>
          <w:lang w:val="en-US"/>
        </w:rPr>
      </w:pPr>
      <w:r>
        <w:rPr>
          <w:lang w:val="en-US"/>
        </w:rPr>
        <w:t>22.Organization for Security and Co-operation in Europe (OSCE). Public-Private Partnerships in Cyber Resilience: Kazakhstan Case Study. Vienna: OSCE. -2023. -52 p. URL: https://www.osce.org/files/f/documents/1/2/536789.pdf. -Date of access: 29.08.2025.</w:t>
      </w:r>
    </w:p>
    <w:p>
      <w:pPr>
        <w:pStyle w:val="32"/>
        <w:tabs>
          <w:tab w:val="clear" w:pos="708"/>
          <w:tab w:val="left" w:pos="284" w:leader="none"/>
        </w:tabs>
        <w:spacing w:before="0" w:after="0"/>
        <w:jc w:val="both"/>
        <w:rPr>
          <w:lang w:val="en-US"/>
        </w:rPr>
      </w:pPr>
      <w:r>
        <w:rPr>
          <w:lang w:val="en-US"/>
        </w:rPr>
        <w:t xml:space="preserve">23.Ministry of Health of the Republic of Kazakhstan. State Program for the Development of Healthcare of the Republic of Kazakhstan for 2020–2025. -2020. -145 p. URL: </w:t>
      </w:r>
      <w:r>
        <w:fldChar w:fldCharType="begin"/>
      </w:r>
      <w:r>
        <w:rPr>
          <w:rStyle w:val="Style3"/>
          <w:lang w:val="en-US"/>
        </w:rPr>
        <w:instrText xml:space="preserve"> HYPERLINK "https://cis-legislation.com/document.fwx?rgn=121946" \l "_blank"</w:instrText>
      </w:r>
      <w:r>
        <w:rPr>
          <w:rStyle w:val="Style3"/>
          <w:lang w:val="en-US"/>
        </w:rPr>
        <w:fldChar w:fldCharType="separate"/>
      </w:r>
      <w:r>
        <w:rPr>
          <w:rStyle w:val="Style3"/>
          <w:lang w:val="en-US"/>
        </w:rPr>
        <w:t>https://cis-legislation.com/document.fwx?rgn=121946#A5OQ0IMM30</w:t>
      </w:r>
      <w:r>
        <w:rPr>
          <w:rStyle w:val="Style3"/>
          <w:lang w:val="en-US"/>
        </w:rPr>
        <w:fldChar w:fldCharType="end"/>
      </w:r>
      <w:r>
        <w:rPr>
          <w:lang w:val="en-US"/>
        </w:rPr>
        <w:t>. -Date of access: 29.08.2025.</w:t>
      </w:r>
    </w:p>
    <w:p>
      <w:pPr>
        <w:pStyle w:val="32"/>
        <w:tabs>
          <w:tab w:val="clear" w:pos="708"/>
          <w:tab w:val="left" w:pos="284" w:leader="none"/>
        </w:tabs>
        <w:spacing w:before="0" w:after="0"/>
        <w:jc w:val="both"/>
        <w:rPr>
          <w:lang w:val="en-US"/>
        </w:rPr>
      </w:pPr>
      <w:r>
        <w:rPr>
          <w:lang w:val="en-US"/>
        </w:rPr>
        <w:t xml:space="preserve">24.World Bank. Digital Progress and Trends Report 2025: Strengthening AI Foundations. - Washington: The World Bank, 2025. URL: </w:t>
      </w:r>
      <w:r>
        <w:fldChar w:fldCharType="begin"/>
      </w:r>
      <w:r>
        <w:rPr>
          <w:rStyle w:val="Style3"/>
          <w:lang w:val="en-US"/>
        </w:rPr>
        <w:instrText xml:space="preserve"> HYPERLINK "https://openknowledge.worldbank.org/server/api/core/bitstreams/f2509a0f-7153-4f32-b180-bc11e90c4940/content" \l "_blank"</w:instrText>
      </w:r>
      <w:r>
        <w:rPr>
          <w:rStyle w:val="Style3"/>
          <w:lang w:val="en-US"/>
        </w:rPr>
        <w:fldChar w:fldCharType="separate"/>
      </w:r>
      <w:r>
        <w:rPr>
          <w:rStyle w:val="Style3"/>
          <w:lang w:val="en-US"/>
        </w:rPr>
        <w:t>https://openknowledge.worldbank.org/server/api/core/bitstreams/f2509a0f-7153-4f32-b180-bc11e90c4940/content</w:t>
      </w:r>
      <w:r>
        <w:rPr>
          <w:rStyle w:val="Style3"/>
          <w:lang w:val="en-US"/>
        </w:rPr>
        <w:fldChar w:fldCharType="end"/>
      </w:r>
      <w:r>
        <w:rPr>
          <w:lang w:val="en-US"/>
        </w:rPr>
        <w:t>. -Date of access: 29.08.2025.</w:t>
      </w:r>
    </w:p>
    <w:p>
      <w:pPr>
        <w:pStyle w:val="22"/>
        <w:tabs>
          <w:tab w:val="clear" w:pos="708"/>
          <w:tab w:val="left" w:pos="284" w:leader="none"/>
        </w:tabs>
        <w:spacing w:before="0" w:after="0"/>
        <w:jc w:val="both"/>
        <w:rPr/>
      </w:pPr>
      <w:r>
        <w:rPr>
          <w:lang w:val="en-US"/>
        </w:rPr>
        <w:t xml:space="preserve">25.Digital Journey: Kazakhstan’s Healthcare. - Official website of the Ministry of Health of the Republic of Kazakhstan. </w:t>
      </w:r>
      <w:r>
        <w:fldChar w:fldCharType="begin"/>
      </w:r>
      <w:r>
        <w:rPr>
          <w:rStyle w:val="Style3"/>
        </w:rPr>
        <w:instrText xml:space="preserve"> HYPERLINK "https://www.gov.kz/memleket/entities/dsm/press/article/details/4848?utm_source=chatgpt.com" \l "_blank"</w:instrText>
      </w:r>
      <w:r>
        <w:rPr>
          <w:rStyle w:val="Style3"/>
        </w:rPr>
        <w:fldChar w:fldCharType="separate"/>
      </w:r>
      <w:r>
        <w:rPr>
          <w:rStyle w:val="Style3"/>
        </w:rPr>
        <w:t>https://www.gov.kz/memleket/entities/dsm/press/article/details/4848</w:t>
      </w:r>
      <w:r>
        <w:rPr>
          <w:rStyle w:val="Style3"/>
        </w:rPr>
        <w:fldChar w:fldCharType="end"/>
      </w:r>
    </w:p>
    <w:p>
      <w:pPr>
        <w:pStyle w:val="22"/>
        <w:tabs>
          <w:tab w:val="clear" w:pos="708"/>
          <w:tab w:val="left" w:pos="284" w:leader="none"/>
        </w:tabs>
        <w:spacing w:before="0" w:after="0"/>
        <w:jc w:val="both"/>
        <w:rPr>
          <w:lang w:val="en-US"/>
        </w:rPr>
      </w:pPr>
      <w:r>
        <w:rPr>
          <w:lang w:val="en-US"/>
        </w:rPr>
        <w:t>26.Bjuro nacional'noj statistiki Agentstva strategicheskogo planirovanija i reform Respubliki Kazahstan. Statistika zdravoohranenija Respubliki Kazahstan, 2016–2023 gg.. -2023. -120 p. URL: https://stat.gov.kz/healthcare-statistics-2016-2023. - Data obrashhenija: 28.08.2025.[in Russian]</w:t>
      </w:r>
    </w:p>
    <w:p>
      <w:pPr>
        <w:pStyle w:val="32"/>
        <w:tabs>
          <w:tab w:val="clear" w:pos="708"/>
          <w:tab w:val="left" w:pos="284" w:leader="none"/>
        </w:tabs>
        <w:spacing w:before="0" w:after="0"/>
        <w:jc w:val="both"/>
        <w:rPr>
          <w:lang w:val="en-US"/>
        </w:rPr>
      </w:pPr>
      <w:r>
        <w:rPr>
          <w:lang w:val="en-US"/>
        </w:rPr>
        <w:t xml:space="preserve">27.Astana International Financial Centre. Annual Report 2020. - </w:t>
      </w:r>
      <w:r>
        <w:rPr/>
        <w:t>Астана</w:t>
      </w:r>
      <w:r>
        <w:rPr>
          <w:lang w:val="en-US"/>
        </w:rPr>
        <w:t xml:space="preserve">: Astana International Financial Centre «AIFC». -2021. URL: </w:t>
      </w:r>
      <w:r>
        <w:fldChar w:fldCharType="begin"/>
      </w:r>
      <w:r>
        <w:rPr>
          <w:rStyle w:val="Style3"/>
          <w:lang w:val="en-US"/>
        </w:rPr>
        <w:instrText xml:space="preserve"> HYPERLINK "https://aifc.kz/wp-content/uploads/2024/06/aifc_ar2020_eng.pdf" \l "_blank"</w:instrText>
      </w:r>
      <w:r>
        <w:rPr>
          <w:rStyle w:val="Style3"/>
          <w:lang w:val="en-US"/>
        </w:rPr>
        <w:fldChar w:fldCharType="separate"/>
      </w:r>
      <w:r>
        <w:rPr>
          <w:rStyle w:val="Style3"/>
          <w:lang w:val="en-US"/>
        </w:rPr>
        <w:t>https://aifc.kz/wp-content/uploads/2024/06/aifc_ar2020_eng.pdf</w:t>
      </w:r>
      <w:r>
        <w:rPr>
          <w:rStyle w:val="Style3"/>
          <w:lang w:val="en-US"/>
        </w:rPr>
        <w:fldChar w:fldCharType="end"/>
      </w:r>
      <w:r>
        <w:rPr>
          <w:lang w:val="en-US"/>
        </w:rPr>
        <w:t>. -Date of access:28.08.2025.</w:t>
      </w:r>
    </w:p>
    <w:p>
      <w:pPr>
        <w:pStyle w:val="32"/>
        <w:tabs>
          <w:tab w:val="clear" w:pos="708"/>
          <w:tab w:val="left" w:pos="284" w:leader="none"/>
        </w:tabs>
        <w:spacing w:before="0" w:after="0"/>
        <w:jc w:val="both"/>
        <w:rPr>
          <w:lang w:val="en-US"/>
        </w:rPr>
      </w:pPr>
      <w:r>
        <w:rPr>
          <w:lang w:val="en-US"/>
        </w:rPr>
        <w:t>28.Damumed. Oficial'nyj sajt Edinoj medicinskoj informacionnoj sistemy Kazahstan</w:t>
      </w:r>
    </w:p>
    <w:p>
      <w:pPr>
        <w:pStyle w:val="32"/>
        <w:tabs>
          <w:tab w:val="clear" w:pos="708"/>
          <w:tab w:val="left" w:pos="284" w:leader="none"/>
        </w:tabs>
        <w:spacing w:before="0" w:after="0"/>
        <w:jc w:val="both"/>
        <w:rPr>
          <w:lang w:val="en-US"/>
        </w:rPr>
      </w:pPr>
      <w:r>
        <w:rPr>
          <w:lang w:val="en-US"/>
        </w:rPr>
        <w:t>2025. URL: https://damumed.kz. - Data obrashhenija: 29.08.2025. [in Russian]</w:t>
      </w:r>
    </w:p>
    <w:p>
      <w:pPr>
        <w:pStyle w:val="32"/>
        <w:tabs>
          <w:tab w:val="clear" w:pos="708"/>
          <w:tab w:val="left" w:pos="284" w:leader="none"/>
        </w:tabs>
        <w:spacing w:before="0" w:after="0"/>
        <w:jc w:val="both"/>
        <w:rPr>
          <w:lang w:val="en-US"/>
        </w:rPr>
      </w:pPr>
      <w:r>
        <w:rPr>
          <w:lang w:val="en-US"/>
        </w:rPr>
        <w:t>29. Komitet po statistike Ministerstva narodnogo hozjajstva Respubliki Kazahstan. Oficial'nyj portal statisticheskih dannyh. -2025. URL: https://stat.gov.kz. - Data obrashhenija: 29.08.2025. [in Russian]</w:t>
      </w:r>
    </w:p>
    <w:p>
      <w:pPr>
        <w:pStyle w:val="32"/>
        <w:tabs>
          <w:tab w:val="clear" w:pos="708"/>
          <w:tab w:val="left" w:pos="284" w:leader="none"/>
        </w:tabs>
        <w:spacing w:before="0" w:after="0"/>
        <w:jc w:val="both"/>
        <w:rPr>
          <w:lang w:val="en-US"/>
        </w:rPr>
      </w:pPr>
      <w:r>
        <w:rPr>
          <w:lang w:val="en-US"/>
        </w:rPr>
        <w:t xml:space="preserve">30.Murat A., et al. </w:t>
      </w:r>
      <w:r>
        <w:rPr>
          <w:iCs/>
          <w:lang w:val="en-US"/>
        </w:rPr>
        <w:t>Effectiveness of primary health care in the Republic of Kazakhstan during the COVID-19 pandemic and factors affecting it</w:t>
      </w:r>
      <w:r>
        <w:rPr>
          <w:lang w:val="en-US"/>
        </w:rPr>
        <w:t>// Disaster and Emergency. -2024. -Vol.9(4). -</w:t>
      </w:r>
      <w:r>
        <w:rPr/>
        <w:t>Р</w:t>
      </w:r>
      <w:r>
        <w:rPr>
          <w:lang w:val="en-US"/>
        </w:rPr>
        <w:t xml:space="preserve">.208-225. DOI </w:t>
      </w:r>
      <w:hyperlink r:id="rId318">
        <w:r>
          <w:rPr>
            <w:rStyle w:val="Style3"/>
            <w:lang w:val="en-US"/>
          </w:rPr>
          <w:t>10.5603/demj.101057</w:t>
        </w:r>
      </w:hyperlink>
      <w:r>
        <w:rPr>
          <w:lang w:val="en-US"/>
        </w:rPr>
        <w:t>.</w:t>
      </w:r>
    </w:p>
    <w:p>
      <w:pPr>
        <w:pStyle w:val="32"/>
        <w:tabs>
          <w:tab w:val="clear" w:pos="708"/>
          <w:tab w:val="left" w:pos="284" w:leader="none"/>
        </w:tabs>
        <w:spacing w:before="0" w:after="0"/>
        <w:jc w:val="both"/>
        <w:rPr>
          <w:lang w:val="en-US"/>
        </w:rPr>
      </w:pPr>
      <w:r>
        <w:rPr>
          <w:lang w:val="en-US"/>
        </w:rPr>
        <w:t xml:space="preserve">31.Nurgaliyeva Z., Berkinbayev S., Zhunussova A. </w:t>
      </w:r>
      <w:r>
        <w:rPr>
          <w:iCs/>
          <w:lang w:val="en-US"/>
        </w:rPr>
        <w:t>Paving the way to establishing the digital-friendly health system in Kazakhstan</w:t>
      </w:r>
      <w:r>
        <w:rPr>
          <w:lang w:val="en-US"/>
        </w:rPr>
        <w:t>// Health Policy and Technology. -2024. -Vol.192: 105610. DOI 10.1016/j.ijmedinf.2024.105610.</w:t>
      </w:r>
    </w:p>
    <w:p>
      <w:pPr>
        <w:pStyle w:val="32"/>
        <w:tabs>
          <w:tab w:val="clear" w:pos="708"/>
          <w:tab w:val="left" w:pos="284" w:leader="none"/>
        </w:tabs>
        <w:spacing w:before="0" w:after="0"/>
        <w:jc w:val="both"/>
        <w:rPr>
          <w:lang w:val="en-US"/>
        </w:rPr>
      </w:pPr>
      <w:r>
        <w:rPr>
          <w:lang w:val="en-US"/>
        </w:rPr>
        <w:t xml:space="preserve">32.Jobalayeva B., et al. </w:t>
      </w:r>
      <w:r>
        <w:rPr>
          <w:iCs/>
          <w:lang w:val="en-US"/>
        </w:rPr>
        <w:t>Past, current status, and future trends of the rural healthcare network in the Republic of Kazakhstan</w:t>
      </w:r>
      <w:r>
        <w:rPr>
          <w:lang w:val="en-US"/>
        </w:rPr>
        <w:t>//Scientific Reports. -2025. -Vol. 15: 26913.  DOI 10.1038/s41598-025-11432-w.</w:t>
      </w:r>
    </w:p>
    <w:p>
      <w:pPr>
        <w:pStyle w:val="32"/>
        <w:tabs>
          <w:tab w:val="clear" w:pos="708"/>
          <w:tab w:val="left" w:pos="284" w:leader="none"/>
        </w:tabs>
        <w:spacing w:before="0" w:after="0"/>
        <w:jc w:val="both"/>
        <w:rPr>
          <w:lang w:val="en-US"/>
        </w:rPr>
      </w:pPr>
      <w:r>
        <w:rPr>
          <w:lang w:val="en-US"/>
        </w:rPr>
        <w:t xml:space="preserve">33.World Health Organization, Regional Office for Europe. </w:t>
      </w:r>
      <w:r>
        <w:rPr>
          <w:iCs/>
          <w:lang w:val="en-US"/>
        </w:rPr>
        <w:t>Addressing the growing needs of Kazakhstan’s digital health workforce</w:t>
      </w:r>
      <w:r>
        <w:rPr>
          <w:lang w:val="en-US"/>
        </w:rPr>
        <w:t xml:space="preserve">. WHO Europe News. -2023. URL: </w:t>
      </w:r>
      <w:r>
        <w:fldChar w:fldCharType="begin"/>
      </w:r>
      <w:r>
        <w:rPr>
          <w:rStyle w:val="Style3"/>
          <w:lang w:val="en-US"/>
        </w:rPr>
        <w:instrText xml:space="preserve"> HYPERLINK "https://www.who.int/europe/news/item/20-10-2023-addressing-the-growing-needs-of-kazakhstan-s-digital-health-workforce?utm_source=chatgpt.com" \l "_blank"</w:instrText>
      </w:r>
      <w:r>
        <w:rPr>
          <w:rStyle w:val="Style3"/>
          <w:lang w:val="en-US"/>
        </w:rPr>
        <w:fldChar w:fldCharType="separate"/>
      </w:r>
      <w:r>
        <w:rPr>
          <w:rStyle w:val="Style3"/>
          <w:lang w:val="en-US"/>
        </w:rPr>
        <w:t>https://www.who.int/europe/news/item/20-10-2023-addressing-the-growing-needs-of-kazakhstan-s-digital-health-workforce</w:t>
      </w:r>
      <w:r>
        <w:rPr>
          <w:rStyle w:val="Style3"/>
          <w:lang w:val="en-US"/>
        </w:rPr>
        <w:fldChar w:fldCharType="end"/>
      </w:r>
      <w:r>
        <w:rPr>
          <w:lang w:val="en-US"/>
        </w:rPr>
        <w:t>. - Date of access 29.08.2025.</w:t>
      </w:r>
    </w:p>
    <w:p>
      <w:pPr>
        <w:pStyle w:val="Normal"/>
        <w:tabs>
          <w:tab w:val="clear" w:pos="708"/>
          <w:tab w:val="left" w:pos="993" w:leader="none"/>
        </w:tabs>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tabs>
          <w:tab w:val="clear" w:pos="708"/>
          <w:tab w:val="left" w:pos="993" w:leader="none"/>
        </w:tabs>
        <w:spacing w:lineRule="auto" w:line="240" w:before="0" w:after="0"/>
        <w:rPr>
          <w:rFonts w:ascii="Times New Roman" w:hAnsi="Times New Roman" w:eastAsia="Times New Roman" w:cs="Times New Roman"/>
          <w:b/>
          <w:bCs/>
          <w:i/>
          <w:i/>
          <w:iCs/>
          <w:sz w:val="20"/>
          <w:szCs w:val="20"/>
        </w:rPr>
      </w:pPr>
      <w:r>
        <w:rPr>
          <w:rFonts w:eastAsia="Times New Roman" w:cs="Times New Roman" w:ascii="Times New Roman" w:hAnsi="Times New Roman"/>
          <w:b/>
          <w:bCs/>
          <w:sz w:val="20"/>
          <w:szCs w:val="20"/>
          <w:lang w:val="en-US"/>
        </w:rPr>
        <w:tab/>
      </w:r>
      <w:r>
        <w:rPr>
          <w:rFonts w:eastAsia="Times New Roman" w:cs="Times New Roman" w:ascii="Times New Roman" w:hAnsi="Times New Roman"/>
          <w:b/>
          <w:bCs/>
          <w:i/>
          <w:iCs/>
          <w:sz w:val="20"/>
          <w:szCs w:val="20"/>
        </w:rPr>
        <w:t>Сведения об авторах</w:t>
      </w:r>
    </w:p>
    <w:p>
      <w:pPr>
        <w:pStyle w:val="Normal"/>
        <w:tabs>
          <w:tab w:val="clear" w:pos="708"/>
          <w:tab w:val="left" w:pos="993" w:leader="none"/>
        </w:tabs>
        <w:spacing w:lineRule="auto" w:line="240" w:before="0" w:after="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tabs>
          <w:tab w:val="clear" w:pos="708"/>
          <w:tab w:val="left" w:pos="993"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bCs/>
          <w:sz w:val="20"/>
          <w:szCs w:val="20"/>
        </w:rPr>
        <w:t>Малдынова А.</w:t>
      </w:r>
      <w:r>
        <w:rPr>
          <w:rFonts w:eastAsia="Times New Roman" w:cs="Times New Roman" w:ascii="Times New Roman" w:hAnsi="Times New Roman"/>
          <w:sz w:val="20"/>
          <w:szCs w:val="20"/>
        </w:rPr>
        <w:t xml:space="preserve"> - PhD, доцент, Университет Международного Бизнеса им. Кенжегали Сагадиева, Алматы, Казахстан, e-mail: </w:t>
      </w:r>
      <w:hyperlink r:id="rId319">
        <w:r>
          <w:rPr>
            <w:rStyle w:val="Hyperlink"/>
            <w:rFonts w:eastAsia="Times New Roman" w:cs="Times New Roman" w:ascii="Times New Roman" w:hAnsi="Times New Roman"/>
            <w:color w:val="auto"/>
            <w:sz w:val="20"/>
            <w:szCs w:val="20"/>
            <w:u w:val="none"/>
          </w:rPr>
          <w:t>maldynova.a@uib.kz</w:t>
        </w:r>
      </w:hyperlink>
      <w:r>
        <w:rPr>
          <w:rFonts w:eastAsia="Times New Roman" w:cs="Times New Roman" w:ascii="Times New Roman" w:hAnsi="Times New Roman"/>
          <w:sz w:val="20"/>
          <w:szCs w:val="20"/>
        </w:rPr>
        <w:t>;</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bCs/>
          <w:sz w:val="20"/>
          <w:szCs w:val="20"/>
        </w:rPr>
        <w:t>Айдаргалиева Н.</w:t>
      </w:r>
      <w:r>
        <w:rPr>
          <w:rFonts w:eastAsia="Times New Roman" w:cs="Times New Roman" w:ascii="Times New Roman" w:hAnsi="Times New Roman"/>
          <w:sz w:val="20"/>
          <w:szCs w:val="20"/>
        </w:rPr>
        <w:t xml:space="preserve"> - PhD, доцент, Евразийский национальный университет им. Л.Н. Гумилёва, Астана, Казахстан, e-mail: </w:t>
      </w:r>
      <w:hyperlink r:id="rId320">
        <w:r>
          <w:rPr>
            <w:rStyle w:val="Hyperlink"/>
            <w:rFonts w:eastAsia="Times New Roman" w:cs="Times New Roman" w:ascii="Times New Roman" w:hAnsi="Times New Roman"/>
            <w:color w:val="auto"/>
            <w:sz w:val="20"/>
            <w:szCs w:val="20"/>
            <w:u w:val="none"/>
          </w:rPr>
          <w:t>aidargaliyeva@enu.kz</w:t>
        </w:r>
      </w:hyperlink>
      <w:r>
        <w:rPr>
          <w:rFonts w:eastAsia="Times New Roman" w:cs="Times New Roman" w:ascii="Times New Roman" w:hAnsi="Times New Roman"/>
          <w:sz w:val="20"/>
          <w:szCs w:val="20"/>
        </w:rPr>
        <w:t xml:space="preserve">; </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bCs/>
          <w:sz w:val="20"/>
          <w:szCs w:val="20"/>
        </w:rPr>
        <w:t xml:space="preserve">Мусабалина Д. </w:t>
      </w:r>
      <w:r>
        <w:rPr>
          <w:rFonts w:eastAsia="Times New Roman" w:cs="Times New Roman" w:ascii="Times New Roman" w:hAnsi="Times New Roman"/>
          <w:sz w:val="20"/>
          <w:szCs w:val="20"/>
        </w:rPr>
        <w:t xml:space="preserve">- PhD, постдокторант, Казахский национальный педагогический университет им. Абая, Алматы, Казахстан, e-mail: </w:t>
      </w:r>
      <w:hyperlink r:id="rId321">
        <w:r>
          <w:rPr>
            <w:rStyle w:val="Hyperlink"/>
            <w:rFonts w:eastAsia="Times New Roman" w:cs="Times New Roman" w:ascii="Times New Roman" w:hAnsi="Times New Roman"/>
            <w:color w:val="auto"/>
            <w:sz w:val="20"/>
            <w:szCs w:val="20"/>
            <w:u w:val="none"/>
          </w:rPr>
          <w:t>d.mussabalina@gmail.com</w:t>
        </w:r>
      </w:hyperlink>
      <w:r>
        <w:rPr>
          <w:rFonts w:eastAsia="Times New Roman" w:cs="Times New Roman" w:ascii="Times New Roman" w:hAnsi="Times New Roman"/>
          <w:sz w:val="20"/>
          <w:szCs w:val="20"/>
        </w:rPr>
        <w:t>;</w:t>
      </w:r>
    </w:p>
    <w:p>
      <w:pPr>
        <w:pStyle w:val="NoSpacing"/>
        <w:jc w:val="both"/>
        <w:rPr>
          <w:rFonts w:ascii="Times New Roman" w:hAnsi="Times New Roman" w:eastAsia="Times New Roman"/>
          <w:sz w:val="20"/>
          <w:szCs w:val="20"/>
          <w:lang w:val="ru-RU"/>
        </w:rPr>
      </w:pPr>
      <w:r>
        <w:rPr>
          <w:rFonts w:eastAsia="Times New Roman" w:ascii="Times New Roman" w:hAnsi="Times New Roman"/>
          <w:bCs/>
          <w:sz w:val="20"/>
          <w:szCs w:val="20"/>
          <w:lang w:val="kk-KZ"/>
        </w:rPr>
        <w:t>Абдрахманова Ж</w:t>
      </w:r>
      <w:r>
        <w:rPr>
          <w:rFonts w:eastAsia="Times New Roman" w:ascii="Times New Roman" w:hAnsi="Times New Roman"/>
          <w:bCs/>
          <w:sz w:val="20"/>
          <w:szCs w:val="20"/>
          <w:lang w:val="ru-RU"/>
        </w:rPr>
        <w:t>.</w:t>
      </w:r>
      <w:r>
        <w:rPr>
          <w:rFonts w:ascii="Times New Roman" w:hAnsi="Times New Roman"/>
          <w:sz w:val="20"/>
          <w:szCs w:val="20"/>
          <w:lang w:val="ru-RU"/>
        </w:rPr>
        <w:t xml:space="preserve"> - старший преподаватель, Восточно-Казахстанский технический университет им. Д. Серикбаева, </w:t>
      </w:r>
      <w:r>
        <w:rPr>
          <w:rStyle w:val="Emphasis"/>
          <w:rFonts w:ascii="Times New Roman" w:hAnsi="Times New Roman"/>
          <w:bCs/>
          <w:i w:val="false"/>
          <w:iCs w:val="false"/>
          <w:sz w:val="20"/>
          <w:szCs w:val="20"/>
          <w:shd w:fill="FFFFFF" w:val="clear"/>
          <w:lang w:val="ru-RU"/>
        </w:rPr>
        <w:t>Усть-Каменогорск</w:t>
      </w:r>
      <w:r>
        <w:rPr>
          <w:rFonts w:ascii="Times New Roman" w:hAnsi="Times New Roman"/>
          <w:sz w:val="20"/>
          <w:szCs w:val="20"/>
          <w:shd w:fill="FFFFFF" w:val="clear"/>
          <w:lang w:val="ru-RU"/>
        </w:rPr>
        <w:t xml:space="preserve">, </w:t>
      </w:r>
      <w:r>
        <w:rPr>
          <w:rFonts w:ascii="Times New Roman" w:hAnsi="Times New Roman"/>
          <w:sz w:val="20"/>
          <w:szCs w:val="20"/>
          <w:lang w:val="ru-RU"/>
        </w:rPr>
        <w:t>Казахстан,</w:t>
      </w:r>
      <w:r>
        <w:rPr>
          <w:rFonts w:ascii="Times New Roman" w:hAnsi="Times New Roman"/>
          <w:sz w:val="20"/>
          <w:szCs w:val="20"/>
          <w:lang w:val="kk-KZ"/>
        </w:rPr>
        <w:t xml:space="preserve"> </w:t>
      </w:r>
      <w:r>
        <w:rPr>
          <w:rFonts w:ascii="Times New Roman" w:hAnsi="Times New Roman"/>
          <w:sz w:val="20"/>
          <w:szCs w:val="20"/>
        </w:rPr>
        <w:t>e</w:t>
      </w:r>
      <w:r>
        <w:rPr>
          <w:rFonts w:ascii="Times New Roman" w:hAnsi="Times New Roman"/>
          <w:sz w:val="20"/>
          <w:szCs w:val="20"/>
          <w:lang w:val="ru-RU"/>
        </w:rPr>
        <w:t>-</w:t>
      </w:r>
      <w:r>
        <w:rPr>
          <w:rFonts w:ascii="Times New Roman" w:hAnsi="Times New Roman"/>
          <w:sz w:val="20"/>
          <w:szCs w:val="20"/>
        </w:rPr>
        <w:t>mail</w:t>
      </w:r>
      <w:r>
        <w:rPr>
          <w:rFonts w:ascii="Times New Roman" w:hAnsi="Times New Roman"/>
          <w:sz w:val="20"/>
          <w:szCs w:val="20"/>
          <w:lang w:val="ru-RU"/>
        </w:rPr>
        <w:t xml:space="preserve">: </w:t>
      </w:r>
      <w:hyperlink r:id="rId322">
        <w:r>
          <w:rPr>
            <w:rStyle w:val="Hyperlink"/>
            <w:rFonts w:eastAsia="Times New Roman" w:ascii="Times New Roman" w:hAnsi="Times New Roman"/>
            <w:color w:val="auto"/>
            <w:sz w:val="20"/>
            <w:szCs w:val="20"/>
            <w:u w:val="none"/>
          </w:rPr>
          <w:t>abdrakhmanova</w:t>
        </w:r>
        <w:r>
          <w:rPr>
            <w:rStyle w:val="Hyperlink"/>
            <w:rFonts w:eastAsia="Times New Roman" w:ascii="Times New Roman" w:hAnsi="Times New Roman"/>
            <w:color w:val="auto"/>
            <w:sz w:val="20"/>
            <w:szCs w:val="20"/>
            <w:u w:val="none"/>
            <w:lang w:val="ru-RU"/>
          </w:rPr>
          <w:t>.</w:t>
        </w:r>
        <w:r>
          <w:rPr>
            <w:rStyle w:val="Hyperlink"/>
            <w:rFonts w:eastAsia="Times New Roman" w:ascii="Times New Roman" w:hAnsi="Times New Roman"/>
            <w:color w:val="auto"/>
            <w:sz w:val="20"/>
            <w:szCs w:val="20"/>
            <w:u w:val="none"/>
          </w:rPr>
          <w:t>zhannur</w:t>
        </w:r>
        <w:r>
          <w:rPr>
            <w:rStyle w:val="Hyperlink"/>
            <w:rFonts w:eastAsia="Times New Roman" w:ascii="Times New Roman" w:hAnsi="Times New Roman"/>
            <w:color w:val="auto"/>
            <w:sz w:val="20"/>
            <w:szCs w:val="20"/>
            <w:u w:val="none"/>
            <w:lang w:val="ru-RU"/>
          </w:rPr>
          <w:t>@</w:t>
        </w:r>
        <w:r>
          <w:rPr>
            <w:rStyle w:val="Hyperlink"/>
            <w:rFonts w:eastAsia="Times New Roman" w:ascii="Times New Roman" w:hAnsi="Times New Roman"/>
            <w:color w:val="auto"/>
            <w:sz w:val="20"/>
            <w:szCs w:val="20"/>
            <w:u w:val="none"/>
          </w:rPr>
          <w:t>inbox</w:t>
        </w:r>
        <w:r>
          <w:rPr>
            <w:rStyle w:val="Hyperlink"/>
            <w:rFonts w:eastAsia="Times New Roman" w:ascii="Times New Roman" w:hAnsi="Times New Roman"/>
            <w:color w:val="auto"/>
            <w:sz w:val="20"/>
            <w:szCs w:val="20"/>
            <w:u w:val="none"/>
            <w:lang w:val="ru-RU"/>
          </w:rPr>
          <w:t>.</w:t>
        </w:r>
        <w:r>
          <w:rPr>
            <w:rStyle w:val="Hyperlink"/>
            <w:rFonts w:eastAsia="Times New Roman" w:ascii="Times New Roman" w:hAnsi="Times New Roman"/>
            <w:color w:val="auto"/>
            <w:sz w:val="20"/>
            <w:szCs w:val="20"/>
            <w:u w:val="none"/>
          </w:rPr>
          <w:t>ru</w:t>
        </w:r>
      </w:hyperlink>
      <w:r>
        <w:rPr>
          <w:rStyle w:val="Hyperlink"/>
          <w:rFonts w:eastAsia="Times New Roman" w:ascii="Times New Roman" w:hAnsi="Times New Roman"/>
          <w:color w:val="auto"/>
          <w:sz w:val="20"/>
          <w:szCs w:val="20"/>
          <w:u w:val="none"/>
          <w:lang w:val="ru-RU"/>
        </w:rPr>
        <w:t>;</w:t>
      </w:r>
    </w:p>
    <w:p>
      <w:pPr>
        <w:pStyle w:val="Normal"/>
        <w:tabs>
          <w:tab w:val="clear" w:pos="708"/>
          <w:tab w:val="left" w:pos="993" w:leader="none"/>
        </w:tabs>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Cs/>
          <w:sz w:val="20"/>
          <w:szCs w:val="20"/>
        </w:rPr>
        <w:t>Демесинов Т.</w:t>
      </w:r>
      <w:r>
        <w:rPr>
          <w:rFonts w:eastAsia="Times New Roman" w:cs="Times New Roman" w:ascii="Times New Roman" w:hAnsi="Times New Roman"/>
          <w:sz w:val="20"/>
          <w:szCs w:val="20"/>
        </w:rPr>
        <w:t xml:space="preserve"> - кандидат экономических наук, ассоциированный профессор, НАО «Кокшетауский университет им. Ш.Уалиханова», Кокшетау, Казахстан. e-mail: </w:t>
      </w:r>
      <w:hyperlink r:id="rId323">
        <w:r>
          <w:rPr>
            <w:rStyle w:val="Hyperlink"/>
            <w:rFonts w:eastAsia="Times New Roman" w:cs="Times New Roman" w:ascii="Times New Roman" w:hAnsi="Times New Roman"/>
            <w:color w:val="auto"/>
            <w:sz w:val="20"/>
            <w:szCs w:val="20"/>
            <w:u w:val="none"/>
          </w:rPr>
          <w:t>demesinov73@list.ru</w:t>
        </w:r>
      </w:hyperlink>
      <w:r>
        <w:rPr>
          <w:rFonts w:eastAsia="Times New Roman" w:cs="Times New Roman" w:ascii="Times New Roman" w:hAnsi="Times New Roman"/>
          <w:sz w:val="20"/>
          <w:szCs w:val="20"/>
        </w:rPr>
        <w:t>.</w:t>
      </w:r>
    </w:p>
    <w:p>
      <w:pPr>
        <w:pStyle w:val="Normal"/>
        <w:tabs>
          <w:tab w:val="clear" w:pos="708"/>
          <w:tab w:val="left" w:pos="993" w:leader="none"/>
        </w:tabs>
        <w:spacing w:lineRule="auto" w:line="240" w:before="0" w:after="0"/>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r>
    </w:p>
    <w:p>
      <w:pPr>
        <w:pStyle w:val="Normal"/>
        <w:tabs>
          <w:tab w:val="clear" w:pos="708"/>
          <w:tab w:val="left" w:pos="993" w:leader="none"/>
        </w:tabs>
        <w:spacing w:lineRule="auto" w:line="240" w:before="0" w:after="0"/>
        <w:rPr>
          <w:rFonts w:ascii="Times New Roman" w:hAnsi="Times New Roman" w:eastAsia="Times New Roman" w:cs="Times New Roman"/>
          <w:b/>
          <w:bCs/>
          <w:i/>
          <w:i/>
          <w:iCs/>
          <w:sz w:val="20"/>
          <w:szCs w:val="20"/>
        </w:rPr>
      </w:pPr>
      <w:r>
        <w:rPr>
          <w:rFonts w:eastAsia="Times New Roman" w:cs="Times New Roman" w:ascii="Times New Roman" w:hAnsi="Times New Roman"/>
          <w:b/>
          <w:bCs/>
          <w:sz w:val="20"/>
          <w:szCs w:val="20"/>
        </w:rPr>
        <w:tab/>
      </w:r>
      <w:r>
        <w:rPr>
          <w:rFonts w:eastAsia="Times New Roman" w:cs="Times New Roman" w:ascii="Times New Roman" w:hAnsi="Times New Roman"/>
          <w:b/>
          <w:bCs/>
          <w:i/>
          <w:iCs/>
          <w:sz w:val="20"/>
          <w:szCs w:val="20"/>
          <w:lang w:val="en-US"/>
        </w:rPr>
        <w:t>Information</w:t>
      </w:r>
      <w:r>
        <w:rPr>
          <w:rFonts w:eastAsia="Times New Roman" w:cs="Times New Roman" w:ascii="Times New Roman" w:hAnsi="Times New Roman"/>
          <w:b/>
          <w:bCs/>
          <w:i/>
          <w:iCs/>
          <w:sz w:val="20"/>
          <w:szCs w:val="20"/>
        </w:rPr>
        <w:t xml:space="preserve"> </w:t>
      </w:r>
      <w:r>
        <w:rPr>
          <w:rFonts w:eastAsia="Times New Roman" w:cs="Times New Roman" w:ascii="Times New Roman" w:hAnsi="Times New Roman"/>
          <w:b/>
          <w:bCs/>
          <w:i/>
          <w:iCs/>
          <w:sz w:val="20"/>
          <w:szCs w:val="20"/>
          <w:lang w:val="en-US"/>
        </w:rPr>
        <w:t>about</w:t>
      </w:r>
      <w:r>
        <w:rPr>
          <w:rFonts w:eastAsia="Times New Roman" w:cs="Times New Roman" w:ascii="Times New Roman" w:hAnsi="Times New Roman"/>
          <w:b/>
          <w:bCs/>
          <w:i/>
          <w:iCs/>
          <w:sz w:val="20"/>
          <w:szCs w:val="20"/>
        </w:rPr>
        <w:t xml:space="preserve"> </w:t>
      </w:r>
      <w:r>
        <w:rPr>
          <w:rFonts w:eastAsia="Times New Roman" w:cs="Times New Roman" w:ascii="Times New Roman" w:hAnsi="Times New Roman"/>
          <w:b/>
          <w:bCs/>
          <w:i/>
          <w:iCs/>
          <w:sz w:val="20"/>
          <w:szCs w:val="20"/>
          <w:lang w:val="en-US"/>
        </w:rPr>
        <w:t>authors</w:t>
      </w:r>
    </w:p>
    <w:p>
      <w:pPr>
        <w:pStyle w:val="Normal"/>
        <w:tabs>
          <w:tab w:val="clear" w:pos="708"/>
          <w:tab w:val="left" w:pos="993" w:leader="none"/>
        </w:tabs>
        <w:spacing w:lineRule="auto" w:line="240" w:before="0" w:after="0"/>
        <w:rPr>
          <w:rFonts w:ascii="Times New Roman" w:hAnsi="Times New Roman" w:eastAsia="Times New Roman" w:cs="Times New Roman"/>
          <w:b/>
          <w:bCs/>
          <w:i/>
          <w:i/>
          <w:iCs/>
          <w:sz w:val="20"/>
          <w:szCs w:val="20"/>
        </w:rPr>
      </w:pPr>
      <w:r>
        <w:rPr>
          <w:rFonts w:eastAsia="Times New Roman" w:cs="Times New Roman" w:ascii="Times New Roman" w:hAnsi="Times New Roman"/>
          <w:b/>
          <w:bCs/>
          <w:i/>
          <w:iCs/>
          <w:sz w:val="20"/>
          <w:szCs w:val="20"/>
        </w:rPr>
      </w:r>
    </w:p>
    <w:p>
      <w:pPr>
        <w:pStyle w:val="Normal"/>
        <w:tabs>
          <w:tab w:val="clear" w:pos="708"/>
          <w:tab w:val="left" w:pos="993" w:leader="none"/>
        </w:tabs>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Maldynova A.- PhD, Associate Professor, Kenzhegali Sagadiyev University of International Business, Almaty, Kazakhstan, e-mail: maldynova.a@uib.kz;</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Aidargaliyeva N. - PhD, Associate Professor, L.N. Gumilyov Eurasian National University, Department of Finance, Astana, Kazakhstan, e-mail: aidargaliyeva@enu.kz;</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Mussabalina D.- PhD, Postdoctoral Researcher, Abai Kazakh National Pedagogical University, Almaty, Kazakhstan, e-mail: d.mussabalina@gmail.com; </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Abdrakhmanova Z. - senior lecturer, D.Serikbayev East Kazakhstan Technical University, Ust-Kamenogorsk,  Kazakhstan, e-mail: </w:t>
      </w:r>
      <w:hyperlink r:id="rId324">
        <w:r>
          <w:rPr>
            <w:rStyle w:val="Style3"/>
            <w:rFonts w:eastAsia="Times New Roman" w:cs="Times New Roman" w:ascii="Times New Roman" w:hAnsi="Times New Roman"/>
            <w:sz w:val="20"/>
            <w:szCs w:val="20"/>
            <w:lang w:val="en-US"/>
          </w:rPr>
          <w:t>abdrakhmanova.zhannur@inbox.ru</w:t>
        </w:r>
      </w:hyperlink>
      <w:r>
        <w:rPr>
          <w:rFonts w:eastAsia="Times New Roman" w:cs="Times New Roman" w:ascii="Times New Roman" w:hAnsi="Times New Roman"/>
          <w:sz w:val="20"/>
          <w:szCs w:val="20"/>
          <w:lang w:val="en-US"/>
        </w:rPr>
        <w:t>;</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Demessinov T. - Candidate of Economic Sciences, Associate Professor, Sh. Ualikhanov Kokshetau University,</w:t>
      </w:r>
    </w:p>
    <w:p>
      <w:pPr>
        <w:pStyle w:val="Normal"/>
        <w:tabs>
          <w:tab w:val="clear" w:pos="708"/>
          <w:tab w:val="left" w:pos="993" w:leader="none"/>
        </w:tabs>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Kokshetau, Kazakhstan., e-mail: </w:t>
      </w:r>
      <w:hyperlink r:id="rId325">
        <w:r>
          <w:rPr>
            <w:rStyle w:val="Style3"/>
            <w:rFonts w:eastAsia="Times New Roman" w:cs="Times New Roman" w:ascii="Times New Roman" w:hAnsi="Times New Roman"/>
            <w:sz w:val="20"/>
            <w:szCs w:val="20"/>
            <w:lang w:val="en-US"/>
          </w:rPr>
          <w:t>demesinov73@list.ru</w:t>
        </w:r>
      </w:hyperlink>
      <w:r>
        <w:rPr>
          <w:rFonts w:eastAsia="Times New Roman" w:cs="Times New Roman" w:ascii="Times New Roman" w:hAnsi="Times New Roman"/>
          <w:sz w:val="20"/>
          <w:szCs w:val="20"/>
          <w:lang w:val="en-US"/>
        </w:rPr>
        <w:t>.</w:t>
      </w:r>
    </w:p>
    <w:p>
      <w:pPr>
        <w:pStyle w:val="Normal"/>
        <w:rPr>
          <w:lang w:val="en-US"/>
        </w:rPr>
      </w:pPr>
      <w:r>
        <w:rPr>
          <w:lang w:val="en-US"/>
        </w:rPr>
      </w:r>
    </w:p>
    <w:p>
      <w:pPr>
        <w:pStyle w:val="Normal"/>
        <w:spacing w:lineRule="auto" w:line="240"/>
        <w:rPr>
          <w:rFonts w:eastAsia="Times New Roman"/>
          <w:lang w:val="en-US"/>
        </w:rPr>
      </w:pPr>
      <w:r>
        <w:rPr>
          <w:rFonts w:eastAsia="Times New Roman"/>
          <w:lang w:val="en-US"/>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rPr>
          <w:rFonts w:eastAsia="Times New Roman"/>
          <w:lang w:val="kk-KZ"/>
        </w:rPr>
      </w:pPr>
      <w:r>
        <w:rPr>
          <w:rFonts w:eastAsia="Times New Roman"/>
          <w:lang w:val="kk-KZ"/>
        </w:rPr>
      </w:r>
    </w:p>
    <w:p>
      <w:pPr>
        <w:pStyle w:val="Normal"/>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t>МРНТИ 06.52.13</w:t>
      </w:r>
    </w:p>
    <w:p>
      <w:pPr>
        <w:pStyle w:val="Normal"/>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bCs/>
          <w:lang w:val="kk-KZ"/>
        </w:rPr>
      </w:pPr>
      <w:bookmarkStart w:id="9" w:name="_Hlk217172165"/>
      <w:r>
        <w:rPr>
          <w:rFonts w:cs="Times New Roman" w:ascii="Times New Roman" w:hAnsi="Times New Roman"/>
          <w:b/>
          <w:bCs/>
          <w:lang w:val="kk-KZ"/>
        </w:rPr>
        <w:t>ҚАЗАҚСТАНДАҒЫ БИЗНЕСТІҢ ӘЛЕУМЕТТІК ЖАУАПКЕРШІЛІГІ: ҚАЗІРГІ ЖАҒДАЙЫ ЖӘНЕ ДАМУ БАҒЫТТАРЫ</w:t>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t>С.Ж. Ибраимова</w:t>
      </w:r>
      <w:r>
        <w:rPr/>
        <w:drawing>
          <wp:inline distT="0" distB="0" distL="0" distR="0">
            <wp:extent cx="135890" cy="135890"/>
            <wp:effectExtent l="0" t="0" r="0" b="0"/>
            <wp:docPr id="65" name="Рисунок 1441953430" descr="D:\Desktop\иконка.png">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1441953430" descr="D:\Desktop\иконка.png">
                      <a:hlinkClick r:id="rId327"/>
                    </pic:cNvPr>
                    <pic:cNvPicPr>
                      <a:picLocks noChangeAspect="1" noChangeArrowheads="1"/>
                    </pic:cNvPicPr>
                  </pic:nvPicPr>
                  <pic:blipFill>
                    <a:blip r:embed="rId326"/>
                    <a:stretch>
                      <a:fillRect/>
                    </a:stretch>
                  </pic:blipFill>
                  <pic:spPr bwMode="auto">
                    <a:xfrm>
                      <a:off x="0" y="0"/>
                      <a:ext cx="135890" cy="135890"/>
                    </a:xfrm>
                    <a:prstGeom prst="rect">
                      <a:avLst/>
                    </a:prstGeom>
                    <a:noFill/>
                  </pic:spPr>
                </pic:pic>
              </a:graphicData>
            </a:graphic>
          </wp:inline>
        </w:drawing>
      </w:r>
      <w:r>
        <w:rPr>
          <w:rFonts w:cs="Times New Roman" w:ascii="Times New Roman" w:hAnsi="Times New Roman"/>
          <w:b/>
          <w:bCs/>
          <w:lang w:val="kk-KZ"/>
        </w:rPr>
        <w:t>, С.Б. Касымова</w:t>
      </w:r>
      <w:r>
        <w:rPr/>
        <w:drawing>
          <wp:inline distT="0" distB="0" distL="0" distR="0">
            <wp:extent cx="135890" cy="135890"/>
            <wp:effectExtent l="0" t="0" r="0" b="0"/>
            <wp:docPr id="66" name="Рисунок 2042949244" descr="D:\Desktop\иконка.png">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2042949244" descr="D:\Desktop\иконка.png">
                      <a:hlinkClick r:id="rId329"/>
                    </pic:cNvPr>
                    <pic:cNvPicPr>
                      <a:picLocks noChangeAspect="1" noChangeArrowheads="1"/>
                    </pic:cNvPicPr>
                  </pic:nvPicPr>
                  <pic:blipFill>
                    <a:blip r:embed="rId328"/>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color w:themeColor="accent5" w:val="4472C4"/>
          <w:vertAlign w:val="superscript"/>
          <w:lang w:val="mn-Cyrl-MN"/>
        </w:rPr>
        <w:sym w:font="Wingdings" w:char="f02a"/>
      </w:r>
      <w:r>
        <w:rPr>
          <w:rFonts w:cs="Times New Roman" w:ascii="Times New Roman" w:hAnsi="Times New Roman"/>
          <w:b/>
          <w:lang w:val="kk-KZ"/>
        </w:rPr>
        <w:t>, Г.Ж. Каримбаева</w:t>
      </w:r>
      <w:r>
        <w:rPr/>
        <w:drawing>
          <wp:inline distT="0" distB="0" distL="0" distR="0">
            <wp:extent cx="135890" cy="135890"/>
            <wp:effectExtent l="0" t="0" r="0" b="0"/>
            <wp:docPr id="67" name="Рисунок 1565975212" descr="D:\Desktop\иконка.png">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1565975212" descr="D:\Desktop\иконка.png">
                      <a:hlinkClick r:id="rId331"/>
                    </pic:cNvPr>
                    <pic:cNvPicPr>
                      <a:picLocks noChangeAspect="1" noChangeArrowheads="1"/>
                    </pic:cNvPicPr>
                  </pic:nvPicPr>
                  <pic:blipFill>
                    <a:blip r:embed="rId330"/>
                    <a:stretch>
                      <a:fillRect/>
                    </a:stretch>
                  </pic:blipFill>
                  <pic:spPr bwMode="auto">
                    <a:xfrm>
                      <a:off x="0" y="0"/>
                      <a:ext cx="135890" cy="135890"/>
                    </a:xfrm>
                    <a:prstGeom prst="rect">
                      <a:avLst/>
                    </a:prstGeom>
                    <a:noFill/>
                  </pic:spPr>
                </pic:pic>
              </a:graphicData>
            </a:graphic>
          </wp:inline>
        </w:drawing>
      </w:r>
      <w:r>
        <w:rPr>
          <w:rFonts w:cs="Times New Roman" w:ascii="Times New Roman" w:hAnsi="Times New Roman"/>
          <w:b/>
          <w:lang w:val="kk-KZ"/>
        </w:rPr>
        <w:t>, Д.Б. Шарипова</w:t>
      </w:r>
      <w:r>
        <w:rPr/>
        <w:drawing>
          <wp:inline distT="0" distB="0" distL="0" distR="0">
            <wp:extent cx="135890" cy="135890"/>
            <wp:effectExtent l="0" t="0" r="0" b="0"/>
            <wp:docPr id="68" name="Рисунок 236890289" descr="D:\Desktop\иконка.png">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236890289" descr="D:\Desktop\иконка.png">
                      <a:hlinkClick r:id="rId333"/>
                    </pic:cNvPr>
                    <pic:cNvPicPr>
                      <a:picLocks noChangeAspect="1" noChangeArrowheads="1"/>
                    </pic:cNvPicPr>
                  </pic:nvPicPr>
                  <pic:blipFill>
                    <a:blip r:embed="rId332"/>
                    <a:stretch>
                      <a:fillRect/>
                    </a:stretch>
                  </pic:blipFill>
                  <pic:spPr bwMode="auto">
                    <a:xfrm>
                      <a:off x="0" y="0"/>
                      <a:ext cx="135890" cy="135890"/>
                    </a:xfrm>
                    <a:prstGeom prst="rect">
                      <a:avLst/>
                    </a:prstGeom>
                    <a:noFill/>
                  </pic:spPr>
                </pic:pic>
              </a:graphicData>
            </a:graphic>
          </wp:inline>
        </w:drawing>
      </w:r>
      <w:r>
        <w:rPr>
          <w:rFonts w:cs="Times New Roman" w:ascii="Times New Roman" w:hAnsi="Times New Roman"/>
          <w:b/>
          <w:lang w:val="kk-KZ"/>
        </w:rPr>
        <w:t xml:space="preserve"> </w:t>
      </w:r>
      <w:bookmarkEnd w:id="9"/>
    </w:p>
    <w:p>
      <w:pPr>
        <w:pStyle w:val="Normal"/>
        <w:spacing w:lineRule="auto" w:line="240" w:before="0" w:after="0"/>
        <w:jc w:val="center"/>
        <w:rPr>
          <w:rFonts w:ascii="Times New Roman" w:hAnsi="Times New Roman" w:cs="Times New Roman"/>
          <w:i/>
          <w:i/>
          <w:sz w:val="20"/>
          <w:szCs w:val="20"/>
          <w:lang w:val="kk-KZ"/>
        </w:rPr>
      </w:pPr>
      <w:r>
        <w:rPr>
          <w:rFonts w:cs="Times New Roman" w:ascii="Times New Roman" w:hAnsi="Times New Roman"/>
          <w:i/>
          <w:sz w:val="20"/>
          <w:szCs w:val="20"/>
          <w:lang w:val="kk-KZ"/>
        </w:rPr>
        <w:t>Қ.Құлажанов атындағы Қазақ технология және бизнес университеті, Астана, Қазақстан</w:t>
      </w:r>
    </w:p>
    <w:p>
      <w:pPr>
        <w:pStyle w:val="Normal"/>
        <w:spacing w:lineRule="auto" w:line="240" w:before="0" w:after="0"/>
        <w:jc w:val="center"/>
        <w:rPr>
          <w:rFonts w:ascii="Times New Roman" w:hAnsi="Times New Roman" w:cs="Times New Roman"/>
          <w:i/>
          <w:i/>
          <w:sz w:val="20"/>
          <w:szCs w:val="20"/>
          <w:lang w:val="kk-KZ"/>
        </w:rPr>
      </w:pPr>
      <w:r>
        <w:rPr>
          <w:rFonts w:cs="Times New Roman" w:ascii="Times New Roman" w:hAnsi="Times New Roman"/>
          <w:i/>
          <w:sz w:val="20"/>
          <w:szCs w:val="20"/>
          <w:lang w:val="kk-KZ"/>
        </w:rPr>
      </w:r>
    </w:p>
    <w:p>
      <w:pPr>
        <w:pStyle w:val="Normal"/>
        <w:spacing w:lineRule="auto" w:line="240" w:before="0" w:after="0"/>
        <w:rPr>
          <w:rFonts w:ascii="Times New Roman" w:hAnsi="Times New Roman" w:cs="Times New Roman"/>
          <w:b/>
          <w:bCs/>
          <w:sz w:val="20"/>
          <w:szCs w:val="20"/>
          <w:lang w:val="kk-KZ"/>
        </w:rPr>
      </w:pPr>
      <w:r>
        <w:rPr>
          <w:rFonts w:eastAsia="Wingdings" w:cs="Wingdings" w:ascii="Wingdings" w:hAnsi="Wingdings"/>
          <w:b/>
          <w:color w:themeColor="accent5" w:val="4472C4"/>
          <w:sz w:val="20"/>
          <w:szCs w:val="20"/>
          <w:vertAlign w:val="superscript"/>
          <w:lang w:val="mn-Cyrl-MN"/>
        </w:rPr>
        <w:sym w:font="Wingdings" w:char="f02a"/>
      </w:r>
      <w:r>
        <w:rPr>
          <w:rFonts w:cs="Times New Roman" w:ascii="Times New Roman" w:hAnsi="Times New Roman"/>
          <w:sz w:val="20"/>
          <w:szCs w:val="20"/>
          <w:lang w:val="kk-KZ"/>
        </w:rPr>
        <w:t xml:space="preserve">Корреспондент-автор: </w:t>
      </w:r>
      <w:hyperlink r:id="rId334">
        <w:r>
          <w:rPr>
            <w:rStyle w:val="Hyperlink"/>
            <w:rFonts w:cs="Times New Roman" w:ascii="Times New Roman" w:hAnsi="Times New Roman"/>
            <w:color w:val="auto"/>
            <w:sz w:val="20"/>
            <w:szCs w:val="20"/>
            <w:u w:val="none"/>
            <w:lang w:val="kk-KZ"/>
          </w:rPr>
          <w:t>Sanim_81@list.ru</w:t>
        </w:r>
      </w:hyperlink>
      <w:r>
        <w:rPr>
          <w:rFonts w:cs="Times New Roman" w:ascii="Times New Roman" w:hAnsi="Times New Roman"/>
          <w:sz w:val="20"/>
          <w:szCs w:val="20"/>
          <w:lang w:val="kk-KZ"/>
        </w:rPr>
        <w:t xml:space="preserve"> </w:t>
      </w:r>
    </w:p>
    <w:p>
      <w:pPr>
        <w:pStyle w:val="Normal"/>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bCs/>
          <w:sz w:val="24"/>
          <w:szCs w:val="24"/>
          <w:lang w:val="kk-KZ"/>
        </w:rPr>
      </w:pPr>
      <w:r>
        <w:rPr>
          <w:rFonts w:cs="Times New Roman" w:ascii="Times New Roman" w:hAnsi="Times New Roman"/>
          <w:bCs/>
          <w:sz w:val="24"/>
          <w:szCs w:val="24"/>
          <w:lang w:val="kk-KZ"/>
        </w:rPr>
        <w:t>Бұл мақалада Қазақстан Республикасындағы корпоративтік әлеуметтік жауапкершіліктің институционалдық негіздерінің қалыптасуы мен эволюциясы қарастырылады. Зерттеу нысаны - әртүрлі көлемдегі кәсіпкерлік құрылымдар-шағын, орта және ірі кәсіпорындар. Талдау пәні әлеуметтік жауапкершілікті жүзеге асырудың ұйымдастырушылық-экономикалық аспектілері мен практикалық құралдары болып табылады. Зерттеудің мақсаты - корпоративтік әлеуметтік жауапкершілікті қалыптастырудың заманауи тенденцияларын зерделеу, бар жүйелік проблемаларды анықтау, сондай-ақ қазіргі экономика жағдайында тұрақты әлеуметтік жауапкершілік институтын дамытудың стратегиялық бағыттарын анықтау. Әдістемелік негіз аналитикалық, статистикалық, есептеу-аналитикалық, диалектикалық және іздеу әдістерінен тұрды. Зерттеу нәтижелері бизнестің әлеуметтік мәселелерді шешуге және қоғамның дамуына қатысуы қалыптасу сатысында екенін көрсетеді. Әлеуметтік жауапкершіліктің ең белсенді тетіктерін ірі компаниялар пайдаланады, ал мемлекет оларды жүзеге асыруда маңызды рөл атқарады. Сонымен қатар, әлеуметтік жауапкершілік саласындағы халықаралық стандарттарға сәйкестік деңгейі жеткіліксіз болып қалуда. Менеджменттің халықаралық стандарттарын енгізуге қарамастан, олардағы әлеуметтік компонент көбінесе кішігірім позицияларда болады. Әлеуметтік жауапкершіліктің қолданыстағы тетіктері әлеуметтік саланы және адам әлеуетін толыққанды дамыту үшін қажетті жағдайларды қамтамасыз етпейді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 xml:space="preserve">Түйін сөздер: </w:t>
      </w:r>
      <w:r>
        <w:rPr>
          <w:rFonts w:cs="Times New Roman" w:ascii="Times New Roman" w:hAnsi="Times New Roman"/>
          <w:color w:val="231F20"/>
          <w:sz w:val="24"/>
          <w:szCs w:val="24"/>
          <w:lang w:val="kk-KZ"/>
        </w:rPr>
        <w:t>әлеуметтік</w:t>
      </w:r>
      <w:r>
        <w:rPr>
          <w:rFonts w:cs="Times New Roman" w:ascii="Times New Roman" w:hAnsi="Times New Roman"/>
          <w:color w:val="231F20"/>
          <w:spacing w:val="-3"/>
          <w:sz w:val="24"/>
          <w:szCs w:val="24"/>
          <w:lang w:val="kk-KZ"/>
        </w:rPr>
        <w:t xml:space="preserve"> </w:t>
      </w:r>
      <w:r>
        <w:rPr>
          <w:rFonts w:cs="Times New Roman" w:ascii="Times New Roman" w:hAnsi="Times New Roman"/>
          <w:color w:val="231F20"/>
          <w:sz w:val="24"/>
          <w:szCs w:val="24"/>
          <w:lang w:val="kk-KZ"/>
        </w:rPr>
        <w:t>жауапкершілік,</w:t>
      </w:r>
      <w:r>
        <w:rPr>
          <w:rFonts w:cs="Times New Roman" w:ascii="Times New Roman" w:hAnsi="Times New Roman"/>
          <w:color w:val="231F20"/>
          <w:spacing w:val="-2"/>
          <w:sz w:val="24"/>
          <w:szCs w:val="24"/>
          <w:lang w:val="kk-KZ"/>
        </w:rPr>
        <w:t xml:space="preserve"> </w:t>
      </w:r>
      <w:r>
        <w:rPr>
          <w:rFonts w:cs="Times New Roman" w:ascii="Times New Roman" w:hAnsi="Times New Roman"/>
          <w:color w:val="231F20"/>
          <w:sz w:val="24"/>
          <w:szCs w:val="24"/>
          <w:lang w:val="kk-KZ"/>
        </w:rPr>
        <w:t>бизнес</w:t>
      </w:r>
      <w:r>
        <w:rPr>
          <w:rFonts w:cs="Times New Roman" w:ascii="Times New Roman" w:hAnsi="Times New Roman"/>
          <w:color w:val="231F20"/>
          <w:spacing w:val="-3"/>
          <w:sz w:val="24"/>
          <w:szCs w:val="24"/>
          <w:lang w:val="kk-KZ"/>
        </w:rPr>
        <w:t xml:space="preserve"> </w:t>
      </w:r>
      <w:r>
        <w:rPr>
          <w:rFonts w:cs="Times New Roman" w:ascii="Times New Roman" w:hAnsi="Times New Roman"/>
          <w:color w:val="231F20"/>
          <w:sz w:val="24"/>
          <w:szCs w:val="24"/>
          <w:lang w:val="kk-KZ"/>
        </w:rPr>
        <w:t>ұйымдары,</w:t>
      </w:r>
      <w:r>
        <w:rPr>
          <w:rFonts w:cs="Times New Roman" w:ascii="Times New Roman" w:hAnsi="Times New Roman"/>
          <w:color w:val="231F20"/>
          <w:spacing w:val="-3"/>
          <w:sz w:val="24"/>
          <w:szCs w:val="24"/>
          <w:lang w:val="kk-KZ"/>
        </w:rPr>
        <w:t xml:space="preserve"> </w:t>
      </w:r>
      <w:r>
        <w:rPr>
          <w:rFonts w:cs="Times New Roman" w:ascii="Times New Roman" w:hAnsi="Times New Roman"/>
          <w:color w:val="231F20"/>
          <w:sz w:val="24"/>
          <w:szCs w:val="24"/>
          <w:lang w:val="kk-KZ"/>
        </w:rPr>
        <w:t>әлеуметтік</w:t>
      </w:r>
      <w:r>
        <w:rPr>
          <w:rFonts w:cs="Times New Roman" w:ascii="Times New Roman" w:hAnsi="Times New Roman"/>
          <w:color w:val="231F20"/>
          <w:spacing w:val="-3"/>
          <w:sz w:val="24"/>
          <w:szCs w:val="24"/>
          <w:lang w:val="kk-KZ"/>
        </w:rPr>
        <w:t xml:space="preserve"> </w:t>
      </w:r>
      <w:r>
        <w:rPr>
          <w:rFonts w:cs="Times New Roman" w:ascii="Times New Roman" w:hAnsi="Times New Roman"/>
          <w:color w:val="231F20"/>
          <w:sz w:val="24"/>
          <w:szCs w:val="24"/>
          <w:lang w:val="kk-KZ"/>
        </w:rPr>
        <w:t>инвестициялар,</w:t>
      </w:r>
      <w:r>
        <w:rPr>
          <w:rFonts w:cs="Times New Roman" w:ascii="Times New Roman" w:hAnsi="Times New Roman"/>
          <w:color w:val="231F20"/>
          <w:spacing w:val="-3"/>
          <w:sz w:val="24"/>
          <w:szCs w:val="24"/>
          <w:lang w:val="kk-KZ"/>
        </w:rPr>
        <w:t xml:space="preserve"> </w:t>
      </w:r>
      <w:r>
        <w:rPr>
          <w:rFonts w:cs="Times New Roman" w:ascii="Times New Roman" w:hAnsi="Times New Roman"/>
          <w:color w:val="231F20"/>
          <w:sz w:val="24"/>
          <w:szCs w:val="24"/>
          <w:lang w:val="kk-KZ"/>
        </w:rPr>
        <w:t>нарық институттары, халықаралық стандарттар, әлеуметтік сектор, бизнес-ұйымдар.</w:t>
      </w:r>
    </w:p>
    <w:p>
      <w:pPr>
        <w:pStyle w:val="Normal"/>
        <w:spacing w:lineRule="auto" w:line="240" w:before="0" w:after="0"/>
        <w:ind w:firstLine="567" w:right="-15"/>
        <w:jc w:val="center"/>
        <w:rPr>
          <w:rFonts w:ascii="Times New Roman" w:hAnsi="Times New Roman" w:cs="Times New Roman"/>
          <w:b/>
          <w:bCs/>
        </w:rPr>
      </w:pPr>
      <w:r>
        <w:rPr>
          <w:rFonts w:cs="Times New Roman" w:ascii="Times New Roman" w:hAnsi="Times New Roman"/>
          <w:b/>
          <w:bCs/>
        </w:rPr>
        <w:t>СОЦИАЛЬНАЯ ОТВЕТСТВЕННОСТЬ БИЗНЕСА В КАЗАХСТАНЕ: СОВРЕМЕННОЕ СОСТОЯНИЕ И НАПРАВЛЕНИЯ РАЗВИТИЯ</w:t>
      </w:r>
    </w:p>
    <w:p>
      <w:pPr>
        <w:pStyle w:val="Normal"/>
        <w:spacing w:lineRule="auto" w:line="240" w:before="0" w:after="0"/>
        <w:ind w:firstLine="567" w:right="-15"/>
        <w:jc w:val="both"/>
        <w:rPr>
          <w:rFonts w:ascii="Times New Roman" w:hAnsi="Times New Roman" w:cs="Times New Roman"/>
          <w:color w:val="000000"/>
          <w:spacing w:val="-2"/>
        </w:rPr>
      </w:pPr>
      <w:r>
        <w:rPr>
          <w:rFonts w:cs="Times New Roman" w:ascii="Times New Roman" w:hAnsi="Times New Roman"/>
          <w:color w:val="000000"/>
          <w:spacing w:val="-2"/>
        </w:rPr>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t>С.Ж. Ибраимова, С.Б. Касымова</w:t>
      </w:r>
      <w:r>
        <w:rPr>
          <w:rFonts w:eastAsia="Wingdings" w:cs="Wingdings" w:ascii="Wingdings" w:hAnsi="Wingdings"/>
          <w:b/>
          <w:color w:themeColor="accent5" w:val="4472C4"/>
          <w:vertAlign w:val="superscript"/>
          <w:lang w:val="mn-Cyrl-MN"/>
        </w:rPr>
        <w:sym w:font="Wingdings" w:char="f02a"/>
      </w:r>
      <w:r>
        <w:rPr>
          <w:rFonts w:cs="Times New Roman" w:ascii="Times New Roman" w:hAnsi="Times New Roman"/>
          <w:b/>
          <w:lang w:val="kk-KZ"/>
        </w:rPr>
        <w:t>,</w:t>
      </w:r>
      <w:r>
        <w:rPr>
          <w:rFonts w:cs="Times New Roman" w:ascii="Times New Roman" w:hAnsi="Times New Roman"/>
          <w:b/>
          <w:color w:themeColor="accent5" w:val="4472C4"/>
          <w:lang w:val="kk-KZ"/>
        </w:rPr>
        <w:t xml:space="preserve"> </w:t>
      </w:r>
      <w:r>
        <w:rPr>
          <w:rFonts w:cs="Times New Roman" w:ascii="Times New Roman" w:hAnsi="Times New Roman"/>
          <w:b/>
          <w:lang w:val="kk-KZ"/>
        </w:rPr>
        <w:t>Г.Ж. Каримбаева, Д.Б. Шарипова</w:t>
      </w:r>
    </w:p>
    <w:p>
      <w:pPr>
        <w:pStyle w:val="Normal"/>
        <w:spacing w:lineRule="auto" w:line="240" w:before="0" w:after="0"/>
        <w:jc w:val="center"/>
        <w:rPr>
          <w:rFonts w:ascii="Times New Roman" w:hAnsi="Times New Roman" w:cs="Times New Roman"/>
          <w:i/>
          <w:i/>
          <w:sz w:val="20"/>
          <w:szCs w:val="20"/>
          <w:lang w:val="kk-KZ"/>
        </w:rPr>
      </w:pPr>
      <w:r>
        <w:rPr>
          <w:rFonts w:cs="Times New Roman" w:ascii="Times New Roman" w:hAnsi="Times New Roman"/>
          <w:i/>
          <w:sz w:val="20"/>
          <w:szCs w:val="20"/>
          <w:lang w:val="kk-KZ"/>
        </w:rPr>
        <w:t>Казахский университет технологии и бизнеса им. К.Кулажанова, Астана, Казахстан,</w:t>
      </w:r>
    </w:p>
    <w:p>
      <w:pPr>
        <w:pStyle w:val="Normal"/>
        <w:spacing w:lineRule="auto" w:line="240" w:before="0" w:after="0"/>
        <w:jc w:val="center"/>
        <w:rPr>
          <w:rFonts w:ascii="Times New Roman" w:hAnsi="Times New Roman" w:cs="Times New Roman"/>
          <w:b/>
          <w:bCs/>
          <w:sz w:val="20"/>
          <w:szCs w:val="20"/>
          <w:lang w:val="kk-KZ"/>
        </w:rPr>
      </w:pPr>
      <w:r>
        <w:rPr>
          <w:rFonts w:cs="Times New Roman" w:ascii="Times New Roman" w:hAnsi="Times New Roman"/>
          <w:sz w:val="20"/>
          <w:szCs w:val="20"/>
          <w:lang w:val="en-US"/>
        </w:rPr>
        <w:t>e</w:t>
      </w:r>
      <w:r>
        <w:rPr>
          <w:rFonts w:cs="Times New Roman" w:ascii="Times New Roman" w:hAnsi="Times New Roman"/>
          <w:sz w:val="20"/>
          <w:szCs w:val="20"/>
        </w:rPr>
        <w:t>-</w:t>
      </w:r>
      <w:r>
        <w:rPr>
          <w:rFonts w:cs="Times New Roman" w:ascii="Times New Roman" w:hAnsi="Times New Roman"/>
          <w:sz w:val="20"/>
          <w:szCs w:val="20"/>
          <w:lang w:val="en-US"/>
        </w:rPr>
        <w:t>mail</w:t>
      </w:r>
      <w:r>
        <w:rPr>
          <w:rFonts w:cs="Times New Roman" w:ascii="Times New Roman" w:hAnsi="Times New Roman"/>
          <w:sz w:val="20"/>
          <w:szCs w:val="20"/>
        </w:rPr>
        <w:t>:</w:t>
      </w:r>
      <w:r>
        <w:rPr>
          <w:rFonts w:cs="Times New Roman" w:ascii="Times New Roman" w:hAnsi="Times New Roman"/>
          <w:sz w:val="20"/>
          <w:szCs w:val="20"/>
          <w:lang w:val="kk-KZ"/>
        </w:rPr>
        <w:t xml:space="preserve"> </w:t>
      </w:r>
      <w:hyperlink r:id="rId335">
        <w:r>
          <w:rPr>
            <w:rStyle w:val="Hyperlink"/>
            <w:rFonts w:cs="Times New Roman" w:ascii="Times New Roman" w:hAnsi="Times New Roman"/>
            <w:color w:val="auto"/>
            <w:sz w:val="20"/>
            <w:szCs w:val="20"/>
            <w:u w:val="none"/>
          </w:rPr>
          <w:t>Sanim_81@list.ru</w:t>
        </w:r>
      </w:hyperlink>
      <w:r>
        <w:rPr>
          <w:rFonts w:cs="Times New Roman" w:ascii="Times New Roman" w:hAnsi="Times New Roman"/>
          <w:sz w:val="20"/>
          <w:szCs w:val="20"/>
          <w:lang w:val="kk-KZ"/>
        </w:rPr>
        <w:t xml:space="preserve"> </w:t>
      </w:r>
    </w:p>
    <w:p>
      <w:pPr>
        <w:pStyle w:val="Normal"/>
        <w:spacing w:lineRule="auto" w:line="240" w:before="0" w:after="0"/>
        <w:ind w:firstLine="567" w:right="-15"/>
        <w:jc w:val="both"/>
        <w:rPr>
          <w:rFonts w:ascii="Times New Roman" w:hAnsi="Times New Roman" w:cs="Times New Roman"/>
          <w:color w:val="000000"/>
          <w:spacing w:val="-2"/>
          <w:sz w:val="16"/>
          <w:szCs w:val="24"/>
          <w:lang w:val="kk-KZ"/>
        </w:rPr>
      </w:pPr>
      <w:r>
        <w:rPr>
          <w:rFonts w:cs="Times New Roman" w:ascii="Times New Roman" w:hAnsi="Times New Roman"/>
          <w:color w:val="000000"/>
          <w:spacing w:val="-2"/>
          <w:sz w:val="16"/>
          <w:szCs w:val="24"/>
          <w:lang w:val="kk-KZ"/>
        </w:rPr>
      </w:r>
    </w:p>
    <w:p>
      <w:pPr>
        <w:pStyle w:val="NormalWeb"/>
        <w:spacing w:before="0" w:after="0"/>
        <w:ind w:firstLine="567"/>
        <w:jc w:val="both"/>
        <w:rPr/>
      </w:pPr>
      <w:r>
        <w:rPr/>
        <w:t>В данной статье рассматривается формирование и эволюция институциональных основ корпоративной социальной ответственности в Республике Казахстан. Объектом исследования являются предпринимательские структуры различных размеров - малые, средние и крупные предприятия. Предметом анализа являются организационно-экономические аспекты и практические инструменты реализации социальной ответственности. Цель исследования - изучить современные тенденции формирования корпоративной социальной ответственности, выявить существующие системные проблемы, а также определить стратегические направления развития устойчивого института социальной ответственности в условиях современной экономики. Методологическую основу составили аналитический, статистический, расчетно-аналитический, диалектический и поисковый методы. Результаты исследования показывают, что участие бизнеса в решении социальных проблем и развитии общества находится на стадии становления. Наиболее активно механизмы социальной ответственности используют крупные компании, при этом государство продолжает играть значительную роль в их реализации. В то же время уровень соответствия международным стандартам в области социальной ответственности остается недостаточным. Несмотря на внедрение международных стандартов менеджмента, социальная составляющая в них зачастую оказывается на второстепенных позициях. Существующие механизмы социальной ответственности не обеспечивают необходимых условий для полноценного развития социальной сферы и человеческого потенциала</w:t>
      </w:r>
    </w:p>
    <w:p>
      <w:pPr>
        <w:pStyle w:val="Normal"/>
        <w:spacing w:lineRule="auto" w:line="240" w:before="0" w:after="0"/>
        <w:ind w:firstLine="567" w:right="-15"/>
        <w:jc w:val="both"/>
        <w:rPr>
          <w:rFonts w:ascii="Times New Roman" w:hAnsi="Times New Roman" w:cs="Times New Roman"/>
          <w:bCs/>
          <w:sz w:val="24"/>
          <w:szCs w:val="24"/>
          <w:lang w:val="kk-KZ"/>
        </w:rPr>
      </w:pPr>
      <w:r>
        <w:rPr>
          <w:rFonts w:cs="Times New Roman" w:ascii="Times New Roman" w:hAnsi="Times New Roman"/>
          <w:b/>
          <w:sz w:val="24"/>
          <w:szCs w:val="24"/>
        </w:rPr>
        <w:t>Ключевые слова:</w:t>
      </w:r>
      <w:r>
        <w:rPr>
          <w:rFonts w:cs="Times New Roman" w:ascii="Times New Roman" w:hAnsi="Times New Roman"/>
          <w:b/>
          <w:sz w:val="24"/>
          <w:szCs w:val="24"/>
          <w:lang w:val="kk-KZ"/>
        </w:rPr>
        <w:t xml:space="preserve"> </w:t>
      </w:r>
      <w:r>
        <w:rPr>
          <w:rFonts w:cs="Times New Roman" w:ascii="Times New Roman" w:hAnsi="Times New Roman"/>
          <w:bCs/>
          <w:sz w:val="24"/>
          <w:szCs w:val="24"/>
          <w:lang w:val="kk-KZ"/>
        </w:rPr>
        <w:t>социальная ответственность, бизнес-организации, социальные инвестиции, институты рынка, международные стандарты, социальный сектор, бизнес-организации.</w:t>
      </w:r>
    </w:p>
    <w:p>
      <w:pPr>
        <w:pStyle w:val="Normal"/>
        <w:spacing w:lineRule="auto" w:line="240" w:before="0" w:after="0"/>
        <w:ind w:firstLine="567" w:right="-15"/>
        <w:jc w:val="both"/>
        <w:rPr>
          <w:rFonts w:ascii="Times New Roman" w:hAnsi="Times New Roman" w:cs="Times New Roman"/>
          <w:bCs/>
          <w:sz w:val="24"/>
          <w:szCs w:val="24"/>
          <w:lang w:val="kk-KZ"/>
        </w:rPr>
      </w:pPr>
      <w:r>
        <w:rPr>
          <w:rFonts w:cs="Times New Roman" w:ascii="Times New Roman" w:hAnsi="Times New Roman"/>
          <w:bCs/>
          <w:sz w:val="24"/>
          <w:szCs w:val="24"/>
          <w:lang w:val="kk-KZ"/>
        </w:rPr>
      </w:r>
    </w:p>
    <w:p>
      <w:pPr>
        <w:pStyle w:val="Normal"/>
        <w:spacing w:lineRule="auto" w:line="240" w:before="0" w:after="0"/>
        <w:ind w:firstLine="567" w:right="-15"/>
        <w:jc w:val="center"/>
        <w:rPr>
          <w:rFonts w:ascii="Times New Roman" w:hAnsi="Times New Roman" w:cs="Times New Roman"/>
          <w:b/>
          <w:bCs/>
          <w:color w:val="000000"/>
          <w:spacing w:val="-2"/>
          <w:lang w:val="kk-KZ"/>
        </w:rPr>
      </w:pPr>
      <w:r>
        <w:rPr>
          <w:rFonts w:cs="Times New Roman" w:ascii="Times New Roman" w:hAnsi="Times New Roman"/>
          <w:b/>
          <w:bCs/>
          <w:color w:val="000000"/>
          <w:spacing w:val="-2"/>
          <w:position w:val="2"/>
          <w:lang w:val="kk-KZ"/>
        </w:rPr>
        <w:t>SOCIAL RESPONSIBILITY OF BUSINESS IN KAZAKHSTAN: CURRENT STATE AND DIRECTIONS OF DEVELOPMENT</w:t>
      </w:r>
    </w:p>
    <w:p>
      <w:pPr>
        <w:pStyle w:val="Normal"/>
        <w:spacing w:lineRule="auto" w:line="240" w:before="0" w:after="0"/>
        <w:ind w:firstLine="567" w:right="-15"/>
        <w:jc w:val="center"/>
        <w:rPr>
          <w:rFonts w:ascii="Times New Roman" w:hAnsi="Times New Roman" w:cs="Times New Roman"/>
          <w:b/>
          <w:bCs/>
          <w:color w:val="000000"/>
          <w:spacing w:val="-2"/>
          <w:lang w:val="kk-KZ"/>
        </w:rPr>
      </w:pPr>
      <w:r>
        <w:rPr>
          <w:rFonts w:cs="Times New Roman" w:ascii="Times New Roman" w:hAnsi="Times New Roman"/>
          <w:b/>
          <w:bCs/>
          <w:color w:val="000000"/>
          <w:spacing w:val="-2"/>
          <w:lang w:val="kk-KZ"/>
        </w:rPr>
      </w:r>
    </w:p>
    <w:p>
      <w:pPr>
        <w:pStyle w:val="Normal"/>
        <w:spacing w:lineRule="auto" w:line="240" w:before="0" w:after="0"/>
        <w:ind w:firstLine="567" w:right="-15"/>
        <w:jc w:val="center"/>
        <w:rPr>
          <w:rFonts w:ascii="Times New Roman" w:hAnsi="Times New Roman" w:cs="Times New Roman"/>
          <w:b/>
          <w:bCs/>
          <w:color w:val="000000"/>
          <w:spacing w:val="-2"/>
          <w:lang w:val="en-US"/>
        </w:rPr>
      </w:pPr>
      <w:r>
        <w:rPr>
          <w:rFonts w:cs="Times New Roman" w:ascii="Times New Roman" w:hAnsi="Times New Roman"/>
          <w:b/>
          <w:bCs/>
          <w:color w:val="000000"/>
          <w:spacing w:val="-2"/>
          <w:position w:val="2"/>
          <w:lang w:val="kk-KZ"/>
        </w:rPr>
        <w:t>C.Zh. Ibraimova, C.B. Ka</w:t>
      </w:r>
      <w:r>
        <w:rPr>
          <w:rFonts w:cs="Times New Roman" w:ascii="Times New Roman" w:hAnsi="Times New Roman"/>
          <w:b/>
          <w:bCs/>
          <w:color w:val="000000"/>
          <w:spacing w:val="-2"/>
          <w:position w:val="2"/>
          <w:lang w:val="en-US"/>
        </w:rPr>
        <w:t>s</w:t>
      </w:r>
      <w:r>
        <w:rPr>
          <w:rFonts w:cs="Times New Roman" w:ascii="Times New Roman" w:hAnsi="Times New Roman"/>
          <w:b/>
          <w:bCs/>
          <w:color w:val="000000"/>
          <w:spacing w:val="-2"/>
          <w:position w:val="2"/>
          <w:lang w:val="kk-KZ"/>
        </w:rPr>
        <w:t>symova</w:t>
      </w:r>
      <w:r>
        <w:rPr>
          <w:rFonts w:eastAsia="Wingdings" w:cs="Wingdings" w:ascii="Wingdings" w:hAnsi="Wingdings"/>
          <w:b/>
          <w:color w:themeColor="accent5" w:val="4472C4"/>
          <w:vertAlign w:val="superscript"/>
          <w:lang w:val="mn-Cyrl-MN"/>
        </w:rPr>
        <w:sym w:font="Wingdings" w:char="f02a"/>
      </w:r>
      <w:r>
        <w:rPr>
          <w:rFonts w:cs="Times New Roman" w:ascii="Times New Roman" w:hAnsi="Times New Roman"/>
          <w:b/>
          <w:color w:themeColor="accent5" w:val="4472C4"/>
          <w:lang w:val="kk-KZ"/>
        </w:rPr>
        <w:t xml:space="preserve">, </w:t>
      </w:r>
      <w:r>
        <w:rPr>
          <w:rFonts w:cs="Times New Roman" w:ascii="Times New Roman" w:hAnsi="Times New Roman"/>
          <w:b/>
          <w:lang w:val="en-US"/>
        </w:rPr>
        <w:t>G.</w:t>
      </w:r>
      <w:r>
        <w:rPr>
          <w:b/>
          <w:lang w:val="en-US"/>
        </w:rPr>
        <w:t xml:space="preserve"> </w:t>
      </w:r>
      <w:r>
        <w:rPr>
          <w:rFonts w:cs="Times New Roman" w:ascii="Times New Roman" w:hAnsi="Times New Roman"/>
          <w:b/>
          <w:lang w:val="en-US"/>
        </w:rPr>
        <w:t xml:space="preserve">Zh. </w:t>
      </w:r>
      <w:r>
        <w:rPr>
          <w:rFonts w:cs="Times New Roman" w:ascii="Times New Roman" w:hAnsi="Times New Roman"/>
          <w:b/>
          <w:lang w:val="kk-KZ"/>
        </w:rPr>
        <w:t xml:space="preserve">Karimbayeva, D.B. Sharipova </w:t>
      </w:r>
    </w:p>
    <w:p>
      <w:pPr>
        <w:pStyle w:val="Normal"/>
        <w:spacing w:lineRule="auto" w:line="240" w:before="0" w:after="0"/>
        <w:jc w:val="center"/>
        <w:rPr>
          <w:rFonts w:ascii="Times New Roman" w:hAnsi="Times New Roman" w:cs="Times New Roman"/>
          <w:bCs/>
          <w:i/>
          <w:i/>
          <w:sz w:val="20"/>
          <w:szCs w:val="20"/>
          <w:lang w:val="kk-KZ"/>
        </w:rPr>
      </w:pPr>
      <w:r>
        <w:rPr>
          <w:rFonts w:cs="Times New Roman" w:ascii="Times New Roman" w:hAnsi="Times New Roman"/>
          <w:bCs/>
          <w:i/>
          <w:sz w:val="20"/>
          <w:szCs w:val="20"/>
          <w:lang w:val="en-US"/>
        </w:rPr>
        <w:t>K.Kulazhanov Kazakh University of Technology and Business, Astana, Kazakhstan,</w:t>
      </w:r>
      <w:r>
        <w:rPr>
          <w:rFonts w:cs="Times New Roman" w:ascii="Times New Roman" w:hAnsi="Times New Roman"/>
          <w:bCs/>
          <w:i/>
          <w:sz w:val="20"/>
          <w:szCs w:val="20"/>
          <w:lang w:val="kk-KZ"/>
        </w:rPr>
        <w:t xml:space="preserve"> </w:t>
      </w:r>
    </w:p>
    <w:p>
      <w:pPr>
        <w:pStyle w:val="Normal"/>
        <w:spacing w:lineRule="auto" w:line="240" w:before="0" w:after="0"/>
        <w:jc w:val="center"/>
        <w:rPr>
          <w:rFonts w:ascii="Times New Roman" w:hAnsi="Times New Roman" w:cs="Times New Roman"/>
          <w:b/>
          <w:bCs/>
          <w:sz w:val="20"/>
          <w:szCs w:val="20"/>
          <w:lang w:val="kk-KZ"/>
        </w:rPr>
      </w:pPr>
      <w:r>
        <w:rPr>
          <w:rFonts w:cs="Times New Roman" w:ascii="Times New Roman" w:hAnsi="Times New Roman"/>
          <w:sz w:val="20"/>
          <w:szCs w:val="20"/>
          <w:lang w:val="en-US"/>
        </w:rPr>
        <w:t>e-mail:</w:t>
      </w:r>
      <w:r>
        <w:rPr>
          <w:rFonts w:cs="Times New Roman" w:ascii="Times New Roman" w:hAnsi="Times New Roman"/>
          <w:sz w:val="20"/>
          <w:szCs w:val="20"/>
          <w:lang w:val="kk-KZ"/>
        </w:rPr>
        <w:t xml:space="preserve"> </w:t>
      </w:r>
      <w:hyperlink r:id="rId336">
        <w:r>
          <w:rPr>
            <w:rStyle w:val="Hyperlink"/>
            <w:rFonts w:cs="Times New Roman" w:ascii="Times New Roman" w:hAnsi="Times New Roman"/>
            <w:color w:val="auto"/>
            <w:sz w:val="20"/>
            <w:szCs w:val="20"/>
            <w:u w:val="none"/>
            <w:lang w:val="en-US"/>
          </w:rPr>
          <w:t>Sanim_81@list.ru</w:t>
        </w:r>
      </w:hyperlink>
      <w:r>
        <w:rPr>
          <w:rFonts w:cs="Times New Roman" w:ascii="Times New Roman" w:hAnsi="Times New Roman"/>
          <w:sz w:val="20"/>
          <w:szCs w:val="20"/>
          <w:lang w:val="kk-KZ"/>
        </w:rPr>
        <w:t xml:space="preserve"> </w:t>
      </w:r>
    </w:p>
    <w:p>
      <w:pPr>
        <w:pStyle w:val="Normal"/>
        <w:spacing w:lineRule="auto" w:line="240" w:before="0" w:after="0"/>
        <w:ind w:firstLine="567" w:right="-15"/>
        <w:jc w:val="center"/>
        <w:rPr>
          <w:rFonts w:ascii="Times New Roman" w:hAnsi="Times New Roman" w:cs="Times New Roman"/>
          <w:b/>
          <w:bCs/>
          <w:color w:val="000000"/>
          <w:spacing w:val="-2"/>
          <w:sz w:val="24"/>
          <w:szCs w:val="24"/>
          <w:highlight w:val="yellow"/>
          <w:lang w:val="kk-KZ"/>
        </w:rPr>
      </w:pPr>
      <w:r>
        <w:rPr>
          <w:rFonts w:cs="Times New Roman" w:ascii="Times New Roman" w:hAnsi="Times New Roman"/>
          <w:b/>
          <w:bCs/>
          <w:color w:val="000000"/>
          <w:spacing w:val="-2"/>
          <w:sz w:val="24"/>
          <w:szCs w:val="24"/>
          <w:highlight w:val="yellow"/>
          <w:lang w:val="kk-KZ"/>
        </w:rPr>
      </w:r>
    </w:p>
    <w:p>
      <w:pPr>
        <w:pStyle w:val="Normal"/>
        <w:spacing w:lineRule="auto" w:line="240" w:before="0" w:after="0"/>
        <w:ind w:firstLine="567" w:right="-15"/>
        <w:jc w:val="both"/>
        <w:rPr>
          <w:rFonts w:ascii="Times New Roman" w:hAnsi="Times New Roman" w:cs="Times New Roman"/>
          <w:bCs/>
          <w:sz w:val="24"/>
          <w:szCs w:val="24"/>
          <w:lang w:val="kk-KZ"/>
        </w:rPr>
      </w:pPr>
      <w:r>
        <w:rPr>
          <w:rFonts w:cs="Times New Roman" w:ascii="Times New Roman" w:hAnsi="Times New Roman"/>
          <w:bCs/>
          <w:sz w:val="24"/>
          <w:szCs w:val="24"/>
          <w:lang w:val="kk-KZ"/>
        </w:rPr>
        <w:t>This article examines the formation and evolution of the institutional foundations of corporate social responsibility in the Republic of Kazakhstan. The object of the study is business structures of various sizes - small, medium and large enterprises. The subject of the analysis is organizational and economic aspects and practical tools for implementing social responsibility. The purpose of the study is to study current trends in the formation of corporate social responsibility, identify existing systemic problems, and identify strategic directions for the development of a sustainable institution of social responsibility in a modern economy. The methodological basis consists of analytical, statistical, computational and analytical, dialectical and search methods. The results of the study show that business participation in solving social problems and developing society is in its infancy. Large companies use social responsibility mechanisms most actively, while the state continues to play a significant role in their implementation. Large companies use social responsibility mechanisms most actively, while the state continues to play a significant role in their implementation. At the same time, the level of compliance with international standards in the field of social responsibility remains insufficient. Despite the introduction of international management standards, the social component in them often finds itself in secondary positions. The existing mechanisms of social responsibility do not provide the necessary conditions for the full development of the social sphere and human potential</w:t>
      </w:r>
    </w:p>
    <w:p>
      <w:pPr>
        <w:pStyle w:val="Normal"/>
        <w:spacing w:lineRule="auto" w:line="240" w:before="0" w:after="0"/>
        <w:ind w:firstLine="567" w:right="-15"/>
        <w:jc w:val="both"/>
        <w:rPr>
          <w:rFonts w:ascii="Times New Roman" w:hAnsi="Times New Roman" w:cs="Times New Roman"/>
          <w:b/>
          <w:bCs/>
          <w:color w:val="000000"/>
          <w:spacing w:val="-2"/>
          <w:sz w:val="24"/>
          <w:szCs w:val="24"/>
          <w:highlight w:val="yellow"/>
          <w:lang w:val="kk-KZ"/>
        </w:rPr>
      </w:pPr>
      <w:r>
        <w:rPr>
          <w:rFonts w:cs="Times New Roman" w:ascii="Times New Roman" w:hAnsi="Times New Roman"/>
          <w:b/>
          <w:position w:val="2"/>
          <w:sz w:val="24"/>
          <w:szCs w:val="24"/>
          <w:lang w:val="kk-KZ"/>
        </w:rPr>
        <w:t>Keywords:</w:t>
      </w:r>
      <w:r>
        <w:rPr>
          <w:rFonts w:cs="Times New Roman" w:ascii="Times New Roman" w:hAnsi="Times New Roman"/>
          <w:b/>
          <w:sz w:val="24"/>
          <w:szCs w:val="24"/>
          <w:lang w:val="kk-KZ"/>
        </w:rPr>
        <w:t xml:space="preserve"> </w:t>
      </w:r>
      <w:r>
        <w:rPr>
          <w:rFonts w:cs="Times New Roman" w:ascii="Times New Roman" w:hAnsi="Times New Roman"/>
          <w:bCs/>
          <w:sz w:val="24"/>
          <w:szCs w:val="24"/>
          <w:lang w:val="kk-KZ"/>
        </w:rPr>
        <w:t>social responsibility, business organizations, social investments, market institutions, international standards, social sector, business organizations</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b/>
          <w:bCs/>
          <w:color w:val="000000"/>
          <w:spacing w:val="-2"/>
          <w:position w:val="2"/>
          <w:sz w:val="24"/>
          <w:szCs w:val="24"/>
          <w:lang w:val="kk-KZ"/>
        </w:rPr>
        <w:t>Кіріспе.</w:t>
      </w:r>
      <w:r>
        <w:rPr>
          <w:rFonts w:cs="Times New Roman" w:ascii="Times New Roman" w:hAnsi="Times New Roman"/>
          <w:color w:val="000000"/>
          <w:spacing w:val="-2"/>
          <w:position w:val="2"/>
          <w:sz w:val="24"/>
          <w:szCs w:val="24"/>
          <w:lang w:val="kk-KZ"/>
        </w:rPr>
        <w:t xml:space="preserve"> Нарықтық экономиканың жұмыс істеуі мен дамуы жағдайындағы бизнес - ұйымдардың әлеуметтік жауапкершілігі өз кезегінде экономиканың нақты секторының іргетасы болып табылатын әлеуметтік саланы дамытудың маңызды құралы болып табылады. Әлеуметтік салада адами капиталдың қалыптасуы мен дамуы қалыптасады, сондай-ақ білім беру, денсаулық сақтау сияқты экономиканың маңызды салаларын дамыту үшін жағдайлар жасалады. Индустриялық-инновациялық трендтерді ескере отырып, қазіргі нарықтық жағдайларда экономиканың әлеуметтік секторын дамыту мен нығайту тек мемлекеттің қатысуы шеңберінде ғана емес, сонымен қатар бизнес-кәсіпкерліктің қатысуымен де жүргізілуі тиіс. Бизнес-ұйымдардың әлеуметтік жауапкершілігінің тиімді тетіктерін құру мемлекеттің экономикалық жүйесінің дамудың постиндустриалды кезеңіне қарқынды ауысуы үшін кешенді жағдайлар жасайды.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 xml:space="preserve">Қазақстан Республикасында әлеуметтік саланы дамыту үшін мемлекет тарапынан бизнес-ұйымдардың әлеуметтік жауапкершілігі қағидаттарында бірқатар ұйымдастыру шаралары қабылданды: елдің Біріккен Ұлттар Ұйымына мүшелігі, еңбек мәселелерін, жалақыны, жалпымемлекеттік табиғи ресурстарды пайдалануды реттейтін заңнамалық-нормативтік құжаттардың кең спектрін қабылдау. </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Сонымен қатар, әлеуметтік жауапкершіліктің тұрақты нарықтық институтын қалыптастыру саласында айтарлықтай проблемалар бар, атап айтқанда ірі өнеркәсіптік кәсіпорындар тарапынан әлеуметтік салаға инвестициялардың циклділігі мен тұрақсыздығы, әлеуметтік жауапкершіліктің халықаралық стандарттарын игерудің төмен тенденциялары, шағын және орта бизнестің әлеуметтік жауапкершілікке қатысу деңгейінің төмендігі.</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Бизнес-ұйымдардың әлеуметтік жауапкершілігін дамыту жолдарын іздеу мақсатында экономиканың нақты секторында жүргізілетін әлеуметтік саясаттың барлық аспектілерін терең талдау талап етіледі. Келешекте бизнес-ұйымдардың әлеуметтік жауапкершілігінің орнықты нарықтық институтын қалыптастыру экономиканың нақты секторы мен әлеуметтік саланың интеграцияланған өзара іс-қимылын, Қазақстан экономикасының постиндустриалды жұмыс істеу кезеңіне көшуінің берік іргетасын құруға мүмкіндік береді.</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Осы зерттеудің мақсаты - бизнес-ұйымдардың әлеуметтік жауапкершілігін қалыптастырудың заманауи үрдістерін талдау, әлеуметтік жауапкершіліктің тұрақты нарықтық институтын құрудың жүйелі проблемалары мен стратегиялық басымдықтарын анықтау.</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Зерттеудің ғылыми жаңалығы - бизнестің әлеуметтік жауапкершілік тенденцияларының сандық және сапалық жақтарын қамтитын талдаудың кешенді әдіснамасын қолдану. Сандық талдау бизнес ұйымдарының динамикасы, әлеуметтік жауапкершілікке салынған пайда мен инвестициялардың динамикасы, халықаралық әлеуметтік жауапкершілік стандарттарын тәжірибеге енгізудің индикативті көрсеткіштері сияқты деректерді зерттеуге негізделген. Сапалы зерттеулер заңдар мен нормативтік - құқықтық актілерге, әлеуметтік жауапкершілікке инвестициялар басымдықтарының құрылымына, оны іс жүзінде жүзеге асырудың ұйымдастырушылық-экономикалық механизміне бағытталған.</w:t>
      </w:r>
    </w:p>
    <w:p>
      <w:pPr>
        <w:pStyle w:val="Normal"/>
        <w:spacing w:lineRule="auto" w:line="240" w:before="0" w:after="0"/>
        <w:ind w:firstLine="567" w:right="-15"/>
        <w:jc w:val="both"/>
        <w:rPr>
          <w:rFonts w:ascii="Times New Roman" w:hAnsi="Times New Roman" w:cs="Times New Roman"/>
          <w:b/>
          <w:sz w:val="24"/>
          <w:szCs w:val="24"/>
          <w:lang w:val="kk-KZ"/>
        </w:rPr>
      </w:pPr>
      <w:r>
        <w:rPr>
          <w:rFonts w:cs="Times New Roman" w:ascii="Times New Roman" w:hAnsi="Times New Roman"/>
          <w:b/>
          <w:sz w:val="24"/>
          <w:szCs w:val="24"/>
          <w:lang w:val="kk-KZ"/>
        </w:rPr>
        <w:t xml:space="preserve">Материалдар мен әдістер. </w:t>
      </w:r>
      <w:r>
        <w:rPr>
          <w:rFonts w:cs="Times New Roman" w:ascii="Times New Roman" w:hAnsi="Times New Roman"/>
          <w:bCs/>
          <w:sz w:val="24"/>
          <w:szCs w:val="24"/>
          <w:lang w:val="kk-KZ"/>
        </w:rPr>
        <w:t xml:space="preserve">Бизнестің әлеуметтік жауапкершілігі тұжырымдамаларының тарихи дамуын талдау 1970 жылдардың басында негізгі Тұжырымдаманың тек теориялық құндылығы бар екендігі белгілі болды, өйткені оның ережелері іс жүзінде толық қолданыла алмайды. Тиісінше, әлеуметтік жауапкершілік қағидаттарын жеке субъектілер деңгейінде практикалық іске асыру мәселелері әлеуметтік жауапкершіліктің философиялық сипатындағы мәселелермен алмастырылды, ал қоғамды әлеуметтік ісшаралар мен бағдарламаларды өткізу нәтижелері туралы ақпараттандыру мәселелері корпоративтік әлеуметтік сезімталдық тұжырымдамасы аясында ерекше өзектілікке ие болды </w:t>
      </w:r>
      <w:r>
        <w:rPr>
          <w:rFonts w:cs="Times New Roman" w:ascii="Times New Roman" w:hAnsi="Times New Roman"/>
          <w:color w:val="000000"/>
          <w:spacing w:val="-2"/>
          <w:position w:val="2"/>
          <w:sz w:val="24"/>
          <w:szCs w:val="24"/>
          <w:lang w:val="kk-KZ"/>
        </w:rPr>
        <w:t>[1]</w:t>
      </w:r>
      <w:r>
        <w:rPr>
          <w:rFonts w:cs="Times New Roman" w:ascii="Times New Roman" w:hAnsi="Times New Roman"/>
          <w:bCs/>
          <w:sz w:val="24"/>
          <w:szCs w:val="24"/>
          <w:lang w:val="kk-KZ"/>
        </w:rPr>
        <w:t>.</w:t>
      </w:r>
      <w:r>
        <w:rPr>
          <w:rFonts w:cs="Times New Roman" w:ascii="Times New Roman" w:hAnsi="Times New Roman"/>
          <w:b/>
          <w:sz w:val="24"/>
          <w:szCs w:val="24"/>
          <w:lang w:val="kk-KZ"/>
        </w:rPr>
        <w:t xml:space="preserve"> </w:t>
      </w:r>
      <w:r>
        <w:rPr>
          <w:rFonts w:cs="Times New Roman" w:ascii="Times New Roman" w:hAnsi="Times New Roman"/>
          <w:bCs/>
          <w:sz w:val="24"/>
          <w:szCs w:val="24"/>
          <w:lang w:val="kk-KZ"/>
        </w:rPr>
        <w:t xml:space="preserve">Корпоративтік әлеуметтік жауапкершілік - бұл, ең алдымен, ұйымның қоршаған орта мен қоғам үшін жауапкершілігі, ол бизнестің бәсекеге қабілеттілігімен байланысты және жай ғана байланысты емес, компаниялардың бәсекеге қабілеттілігіне айтарлықтай әсер етеді </w:t>
      </w:r>
      <w:r>
        <w:rPr>
          <w:rFonts w:cs="Times New Roman" w:ascii="Times New Roman" w:hAnsi="Times New Roman"/>
          <w:bCs/>
          <w:spacing w:val="-2"/>
          <w:position w:val="2"/>
          <w:sz w:val="24"/>
          <w:szCs w:val="24"/>
          <w:lang w:val="kk-KZ"/>
        </w:rPr>
        <w:t>[2]</w:t>
      </w:r>
      <w:r>
        <w:rPr>
          <w:rFonts w:cs="Times New Roman" w:ascii="Times New Roman" w:hAnsi="Times New Roman"/>
          <w:bCs/>
          <w:sz w:val="24"/>
          <w:szCs w:val="24"/>
          <w:lang w:val="kk-KZ"/>
        </w:rPr>
        <w:t>.</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Қазіргі ғылыми салада әлеуметтік жауапкершілік жеке адамдар мен ұйымдардың шешім қабылдау процесінде қалыптасатын этикалық қағидат (мәртебе) ретінде қарастырылады. Бұл этикалық қағидат шешім қабылдау кезінде осы шешімдерді қабылдаған экономика субъектілерінің мүдделері ғана емес, сонымен қатар кең әлеуметтік топтардың, жалпы қоғамның мүдделері де ескерілетінін болжайды [3,4].</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Әлеуметтік жауапкершілік тұрақты даму шеңберіндегі кәсіпорындардың экономикалық қызметінің нәтижелері мен мазмұнына мүдделі қоғамның сұраныстарына жауап ретінде дамиды.  Сондай-ақ, қазіргі қоғамда әлеуметтік процестер меншік иелері үшін де, қарапайым тұтынушылар үшін де инвестициялық шешімдер қабылдауда маңызды рөл атқаратынын ескерген жөн; экономикалық қызметтен туындаған қоршаған ортаның ластануының артуына алаңдаушылық артып келеді; бұқаралық ақпарат құралдары мен ақпараттық-коммуникациялық технологиялардың көмегімен кәсіпкерлік қызметтің ашықтығы үшін қажетті жағдайлар жасалады [5].</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Бизнес-ұйымдардың әлеуметтік жауапкершілігі - кәсіпорындар, фирмалар, компаниялар, сондай-ақ басқа да бизнес-құрылымдар өздерінің өндірістік-шаруашылық қызметі процесінде қоғамдық саланың тараптарына әсер етудің әртүрлі нысандары үшін жауапкершілікті өзіне жүктей отырып, қоғамның мүдделерін ескеретін тұжырымдама [6,7].</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Корпоративтік әлеуметтік жауапкершілік тұжырымдамасы корпорациялардың қалыптасуы мен даму тенденцияларына параллель ұзақ кезеңнен өтті [8].</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Корпоративтік әлеуметтік жауапкершілік теориясын қалыптастыру процесінде қарама-қайшылықтар пайда болды, олар келесі атауларға ие болды: «корпоративті эгоизм» (либералды тәсіл), «ақылға қонымды эгоизм», «корпоративті альтруизм».</w:t>
      </w:r>
    </w:p>
    <w:p>
      <w:pPr>
        <w:pStyle w:val="Normal"/>
        <w:spacing w:lineRule="auto" w:line="240" w:before="0" w:after="0"/>
        <w:ind w:firstLine="567" w:right="-15"/>
        <w:jc w:val="both"/>
        <w:rPr>
          <w:rFonts w:ascii="Times New Roman" w:hAnsi="Times New Roman" w:cs="Times New Roman"/>
          <w:spacing w:val="-2"/>
          <w:sz w:val="24"/>
          <w:szCs w:val="24"/>
          <w:lang w:val="kk-KZ"/>
        </w:rPr>
      </w:pPr>
      <w:r>
        <w:rPr>
          <w:rFonts w:cs="Times New Roman" w:ascii="Times New Roman" w:hAnsi="Times New Roman"/>
          <w:spacing w:val="-2"/>
          <w:position w:val="2"/>
          <w:sz w:val="24"/>
          <w:szCs w:val="24"/>
          <w:lang w:val="kk-KZ"/>
        </w:rPr>
        <w:t>Орталық Азия елдерінің ішінде Қазақстан Республикасы әлеуметтік жауапкершілік саласындағы көшбасшы болып табылады.  Елімізде әлеуметтік жауапкершілікті дамытудың алғашқы алғышарттары 1990 жылдардың ортасында өздерінің әлеуметтік жауапкершілігін көрсеткен шетелдік компаниялардың нарыққа шығуымен пайда болды. Алайда, бұған қарамастан, осыдан бес жыл бұрын корпоративтік әлеуметтік тұжырымдамасы Қазақстанда салыстырмалы түрде жаңа болып саналды. Бүгінгі таңда отандық компаниялардың әлеуметтік жауапкершіліктің негізгі принциптері туралы хабардарлығы тез өсуде [9,10].</w:t>
      </w:r>
    </w:p>
    <w:p>
      <w:pPr>
        <w:pStyle w:val="Normal"/>
        <w:spacing w:lineRule="auto" w:line="240" w:before="0" w:after="0"/>
        <w:ind w:firstLine="567" w:right="-15"/>
        <w:jc w:val="both"/>
        <w:rPr>
          <w:rFonts w:ascii="Times New Roman" w:hAnsi="Times New Roman" w:cs="Times New Roman"/>
          <w:spacing w:val="-2"/>
          <w:sz w:val="24"/>
          <w:szCs w:val="24"/>
          <w:lang w:val="kk-KZ"/>
        </w:rPr>
      </w:pPr>
      <w:r>
        <w:rPr>
          <w:rFonts w:cs="Times New Roman" w:ascii="Times New Roman" w:hAnsi="Times New Roman"/>
          <w:spacing w:val="-2"/>
          <w:position w:val="2"/>
          <w:sz w:val="24"/>
          <w:szCs w:val="24"/>
          <w:lang w:val="kk-KZ"/>
        </w:rPr>
        <w:t>Бизнестің әлеуметтік жауапкершілігі концепциясын интерпретациялауда, алғашқы және анағұрлым дәстүрлі болып саналатын Милтон Фридманның теориясы. Оның пікірінше, бизнестің жауапкершілігі негізінде акционерлер өздерінің пайдасын өсіруі тиіс [11].</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Шетелдік ғалымдардың бизнес-ұйымдардың әлеуметтік жауапкершілік теориясына ғылыми көзқарастарын зерттеу әлеуметтік жауапкершілік эволюциялық-тарихи сипатта болатын және уақыт өте келе үнемі дамып отыратын күрделі-жүйеленген құбылыс екенін көрсетеді. Уақыт өте келе әлеуметтік жауапкершілікті экономист ғалымдар бизнестің логикалық процестеріне қайшы келетін құбылыс ретінде емес, табыс пен пайда алуға оң әсер ету құралы, кәсіпкерлік қызметтің қажетті және міндетті компоненті ретінде қарастыра бастады.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Сондай-ақ, бизнес-ұйымдардың әлеуметтік жауапкершілігін заманауи зерттеулер тұжырымдамалық аппаратқа және бұл құбылысты бизнес пен кәсіпкерліктің даму тенденцияларына, шағын, орта және ірі кәсіпорындардың, фирмалар мен компаниялардың қызметіне әсер ететін фактор ретінде қарастыруға көп көңіл бөледі деген қорытындыға келу маңызды. Бұл зерттеудің басқалардан басты айырмашылығы - бизнестің әлеуметтік жауапкершілігі экономиканың нақты секторына әсер ететін фактор ретінде ғана емес, сонымен қатар мемлекет, экономиканың өнеркәсіптік секторы, шағын және орта бизнес қатысатын институционалдық құбылыс ретінде қарастырылады. Бұл экономика субъектілері әлеуметтік жауапкершілікті іс жүзінде іске асырудың нарықтық нормалары мен ережелерін қалыптастырады, олар тек еркін нарықтық форматта ғана емес, сонымен қатар басымдықтары, мақсаттары, міндеттері нақты құрылған басқарылатын күйде болуы керек.</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Әлеуметтік жауапкершілікке ғылыми көзқарастарды зерттеу қазақстандық практика үшін бизнестің әлеуметтік жауапкершілігінің маңыздылығын анықтауға мүмкіндік береді. Біздің ойымызша, Қазақстан Республикасының экономикасында бизнес-ұйымдардың әлеуметтік жауапкершілігі - бұл институционалдық құбылыс, ұлттық аумақтық шекаралар шегінде (өңірлер, тұтастай алғанда ел) және олар үшін ішкі және сыртқы адам ресурстарына шоғырланған әлеуметтік саясатты әзірлеуге бағдарланған ұйымдардың топ-менеджментінің этикалық мінез-құлқын қалыптастырудың серпінді процесі дәстүрлі қоғамдық қажеттіліктерге де, қоғамдық құндылықтарды өзгертуге де бағытталған шектеулер.</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 xml:space="preserve">Ғылыми зерттеу аясында бизнестің әлеуметтік жауапкершілік тенденцияларының сандық және сапалық жақтарын қамтитын талдаудың кешенді әдістемесі қолданылды. Сандық талдау бизнес ұйымдарының динамикасы, әлеуметтік жауапкершілікке салынған пайда мен инвестициялардың динамикасы, халықаралық әлеуметтік жауапкершілік стандарттарын тәжірибеге енгізудің индикативті көрсеткіштері сияқты деректерді зерттеуге негізделген. </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 xml:space="preserve">Зерттеудің негізгі әдістері: аналитикалық және синтетикалық, статистикалық, есептеу-аналитикалық зерттеу әдістері. Зерттеудің аналитикалық әдісі шеңберінде бизнес - ұйымдардың әлеуметтік жауапкершілігінің экономикалық және ұйымдастырушылық негіздерінің барлық құрамдас элементтері, атап айтқанда: бизнес-ұйымдардың динамикасы және олардың құрылымы; бизнес-ұйымдардың кірістерінің динамикасы; бизнестің әлеуметтік жауапкершілігін реттейтін заңдар мен нормативтік-құқықтық құжаттар жеке талданды; бизнес-ұйымдар тарапынан әлеуметтік жауапкершілікке инвестициялардың бағыттары және олардың құрылымы; өңірлік экономикалық жүйелер практикасында қолданылатын өнеркәсіптік жер қойнауын пайдаланушы кәсіпорындардың әлеуметтік жауапкершілігінің ұйымдастырушылық-экономикалық тетігі; менеджменттің халықаралық стандарттарының жұмыс істеуі шеңберінде әлеуметтік жауапкершілікті қалыптастыру критерийлері; әлеуметтік салық және әлеуметтік сақтандыру жөніндегі кәсіпорындардың </w:t>
      </w:r>
      <w:r>
        <w:rPr>
          <w:rFonts w:cs="Times New Roman" w:ascii="Times New Roman" w:hAnsi="Times New Roman"/>
          <w:spacing w:val="-2"/>
          <w:position w:val="2"/>
          <w:sz w:val="24"/>
          <w:szCs w:val="24"/>
          <w:lang w:val="kk-KZ"/>
        </w:rPr>
        <w:t xml:space="preserve">аударымдарының серпіні; атаулы және нақты орташа жалақының серпіні. Қолданылатын әдіснама шеңберінде 2020 жылдан 2024 жылға </w:t>
      </w:r>
      <w:r>
        <w:rPr>
          <w:rFonts w:cs="Times New Roman" w:ascii="Times New Roman" w:hAnsi="Times New Roman"/>
          <w:color w:val="000000"/>
          <w:spacing w:val="-2"/>
          <w:position w:val="2"/>
          <w:sz w:val="24"/>
          <w:szCs w:val="24"/>
          <w:lang w:val="kk-KZ"/>
        </w:rPr>
        <w:t>дейінгі стратегиялық кезеңдегі деректер пайдаланылды. Практикалық деректердің шектеулілігін ескере отырып, индикативті көрсеткіштердің белгілі бір кешені таңдалған стратегиялық кезеңнен тыс зерттелді.</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Аналитикалық әдіс Қазақстан Республикасындағы әлеуметтік жауапкершілік институтының жұмыс істеуінің ағымдағы жай-күйі туралы кешенді пайымдауды қалыптастыруға мүмкіндік берді. Қолданылған әдіснаманың негізінде бизнестің әлеуметтік жауапкершілік институтының қалыптасуы мен дамуының қазіргі кезеңіне ғылыми негіздеме берілді.</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b/>
          <w:bCs/>
          <w:color w:val="000000"/>
          <w:spacing w:val="-2"/>
          <w:position w:val="2"/>
          <w:sz w:val="24"/>
          <w:szCs w:val="24"/>
          <w:lang w:val="kk-KZ"/>
        </w:rPr>
        <w:t xml:space="preserve">Нәтижелер және талқылау. </w:t>
      </w:r>
      <w:r>
        <w:rPr>
          <w:rFonts w:cs="Times New Roman" w:ascii="Times New Roman" w:hAnsi="Times New Roman"/>
          <w:color w:val="000000"/>
          <w:spacing w:val="-2"/>
          <w:position w:val="2"/>
          <w:sz w:val="24"/>
          <w:szCs w:val="24"/>
          <w:lang w:val="kk-KZ"/>
        </w:rPr>
        <w:t>Әлеуметтік жауапкершілік және оның Қазақстан Республикасындағы тұжырымдамалық негіздері мемлекеттік деңгейде де, шағын және орта бизнестің, ірі кәсіпорындардың, фирмалардың, компаниялардың қызметінде де қаланды. Қазақстан Республикасында «Мемлекет пен бизнестің әлеуметтік жауапкершілігін қалыптастыру орнықты дамудың базалық шарттарының бірі болып табылатынына» басты назар аударды. Осы қағида негізінде Қазақстан Республикасы 2050 жылға қарай әлемнің дамыған 30 елінің қатарына кіруі тиіс [12].</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Қазақстан Республикасының Біріккен Ұлттар Ұйымының (БҰҰ) халықаралық ұйымына мүшелігі елдің бизнес-қоғамдастығын өз қызметінде әлеуметтік жауапкершіліктің үш іргелі қағидатын басшылыққа алуға бағыттайды және шақырады: адам құқықтарын сақтау саласындағы негізгі қағидаттарды іске асыру; еңбек қатынастары нормаларын орындау; қоршаған ортаны қорғау.</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Қазақстан Республикасында кәсіпкерлік бизнес-ортада шағын, орта және ірі бизнес субъектілерінің қызметі ұйымдық негіздердің бірі болып табылады.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Шағын және орта бизнес саласында 1-кестеге сәйкес Қазақстан Республикасында кәсіпкерлік субъектілерінің оң серпіні байқалады, олардың арасында жеке кәсіпкерлер, шағын кәсіпорындар басым. Қазақстан нарығында салыстырмалы түрде аз мөлшерде (1 және 2-кестелер) мөлшері бойынша орташа кәсіпорындар, сондай-ақ ұйымдық-құқықтық мәртебесі акционерлік қоғамдар болып табылатын кәсіпкерлік бизнес-құрылымдар ұсынылған.</w:t>
      </w:r>
      <w:bookmarkStart w:id="10" w:name="_Hlk217164545"/>
      <w:r>
        <w:rPr>
          <w:rFonts w:cs="Times New Roman" w:ascii="Times New Roman" w:hAnsi="Times New Roman"/>
          <w:b/>
          <w:bCs/>
          <w:sz w:val="20"/>
          <w:szCs w:val="20"/>
          <w:lang w:val="kk-KZ"/>
        </w:rPr>
        <w:t xml:space="preserve"> </w:t>
      </w:r>
      <w:bookmarkEnd w:id="10"/>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center"/>
        <w:rPr>
          <w:rFonts w:ascii="Times New Roman" w:hAnsi="Times New Roman" w:cs="Times New Roman"/>
          <w:b/>
          <w:bCs/>
          <w:color w:val="000000"/>
          <w:spacing w:val="-2"/>
          <w:lang w:val="kk-KZ"/>
        </w:rPr>
      </w:pPr>
      <w:r>
        <w:rPr>
          <w:rFonts w:cs="Times New Roman" w:ascii="Times New Roman" w:hAnsi="Times New Roman"/>
          <w:b/>
          <w:bCs/>
          <w:position w:val="2"/>
          <w:lang w:val="kk-KZ"/>
        </w:rPr>
        <w:t>1-кесте.</w:t>
      </w:r>
      <w:r>
        <w:rPr>
          <w:rFonts w:cs="Times New Roman" w:ascii="Times New Roman" w:hAnsi="Times New Roman"/>
          <w:b/>
          <w:bCs/>
          <w:color w:val="000000"/>
          <w:spacing w:val="-2"/>
          <w:position w:val="2"/>
          <w:lang w:val="kk-KZ"/>
        </w:rPr>
        <w:t xml:space="preserve"> Шағын және орта бизнес бөлінісіндегі Қазақстанның бизнес-ұйымдарының динамикасы</w:t>
      </w:r>
    </w:p>
    <w:p>
      <w:pPr>
        <w:pStyle w:val="Normal"/>
        <w:spacing w:lineRule="auto" w:line="240" w:before="0" w:after="0"/>
        <w:ind w:firstLine="567" w:right="-15"/>
        <w:jc w:val="center"/>
        <w:rPr>
          <w:rFonts w:ascii="Times New Roman" w:hAnsi="Times New Roman" w:cs="Times New Roman"/>
          <w:b/>
          <w:bCs/>
          <w:color w:val="000000"/>
          <w:spacing w:val="-2"/>
          <w:lang w:val="kk-KZ"/>
        </w:rPr>
      </w:pPr>
      <w:r>
        <w:rPr>
          <w:rFonts w:cs="Times New Roman" w:ascii="Times New Roman" w:hAnsi="Times New Roman"/>
          <w:b/>
          <w:bCs/>
          <w:color w:val="000000"/>
          <w:spacing w:val="-2"/>
          <w:lang w:val="kk-KZ"/>
        </w:rPr>
      </w:r>
    </w:p>
    <w:tbl>
      <w:tblPr>
        <w:tblStyle w:val="ae"/>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3610"/>
        <w:gridCol w:w="1231"/>
        <w:gridCol w:w="1101"/>
        <w:gridCol w:w="1103"/>
        <w:gridCol w:w="1101"/>
        <w:gridCol w:w="1203"/>
      </w:tblGrid>
      <w:tr>
        <w:trPr/>
        <w:tc>
          <w:tcPr>
            <w:tcW w:w="3610" w:type="dxa"/>
            <w:vMerge w:val="restart"/>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Көрсеткіштің атауы</w:t>
            </w:r>
          </w:p>
        </w:tc>
        <w:tc>
          <w:tcPr>
            <w:tcW w:w="5739" w:type="dxa"/>
            <w:gridSpan w:val="5"/>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Мәні, мың бірлік</w:t>
            </w:r>
          </w:p>
        </w:tc>
      </w:tr>
      <w:tr>
        <w:trPr/>
        <w:tc>
          <w:tcPr>
            <w:tcW w:w="3610" w:type="dxa"/>
            <w:vMerge w:val="continue"/>
            <w:tcBorders/>
          </w:tcPr>
          <w:p>
            <w:pPr>
              <w:pStyle w:val="Normal"/>
              <w:widowControl/>
              <w:spacing w:lineRule="auto" w:line="240" w:before="0" w:after="0"/>
              <w:ind w:right="-15"/>
              <w:jc w:val="both"/>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sz w:val="22"/>
                <w:szCs w:val="22"/>
                <w:lang w:val="kk-KZ" w:eastAsia="ru-RU" w:bidi="ar-SA"/>
              </w:rPr>
            </w:r>
          </w:p>
        </w:tc>
        <w:tc>
          <w:tcPr>
            <w:tcW w:w="1231"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2020</w:t>
            </w:r>
          </w:p>
        </w:tc>
        <w:tc>
          <w:tcPr>
            <w:tcW w:w="1101"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2021</w:t>
            </w:r>
          </w:p>
        </w:tc>
        <w:tc>
          <w:tcPr>
            <w:tcW w:w="1103"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2022</w:t>
            </w:r>
          </w:p>
        </w:tc>
        <w:tc>
          <w:tcPr>
            <w:tcW w:w="1101"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2023</w:t>
            </w:r>
          </w:p>
        </w:tc>
        <w:tc>
          <w:tcPr>
            <w:tcW w:w="1203"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2024</w:t>
            </w:r>
          </w:p>
        </w:tc>
      </w:tr>
      <w:tr>
        <w:trPr/>
        <w:tc>
          <w:tcPr>
            <w:tcW w:w="3610" w:type="dxa"/>
            <w:tcBorders/>
          </w:tcPr>
          <w:p>
            <w:pPr>
              <w:pStyle w:val="Normal"/>
              <w:widowControl/>
              <w:spacing w:lineRule="auto" w:line="240" w:before="0" w:after="0"/>
              <w:ind w:right="-15"/>
              <w:jc w:val="both"/>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Шағын және орта бизнес-кәсіпкерлік субъектілерінің жалпы саны, оның ішінде:</w:t>
            </w:r>
          </w:p>
        </w:tc>
        <w:tc>
          <w:tcPr>
            <w:tcW w:w="123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231F20"/>
                <w:kern w:val="0"/>
                <w:position w:val="2"/>
                <w:sz w:val="22"/>
                <w:szCs w:val="22"/>
                <w:lang w:val="ru-RU" w:eastAsia="ru-RU" w:bidi="ar-SA"/>
              </w:rPr>
              <w:t>1610</w:t>
            </w:r>
            <w:r>
              <w:rPr>
                <w:rFonts w:eastAsia="Calibri" w:cs="Times New Roman" w:ascii="Times New Roman" w:hAnsi="Times New Roman"/>
                <w:color w:val="231F20"/>
                <w:kern w:val="0"/>
                <w:sz w:val="22"/>
                <w:szCs w:val="22"/>
                <w:lang w:val="kk-KZ" w:eastAsia="ru-RU" w:bidi="ar-SA"/>
              </w:rPr>
              <w:t>,4</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1694,7</w:t>
            </w:r>
          </w:p>
        </w:tc>
        <w:tc>
          <w:tcPr>
            <w:tcW w:w="11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2026,5</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2178,9</w:t>
            </w:r>
          </w:p>
        </w:tc>
        <w:tc>
          <w:tcPr>
            <w:tcW w:w="12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2262,4</w:t>
            </w:r>
          </w:p>
        </w:tc>
      </w:tr>
      <w:tr>
        <w:trPr/>
        <w:tc>
          <w:tcPr>
            <w:tcW w:w="3610" w:type="dxa"/>
            <w:tcBorders/>
          </w:tcPr>
          <w:p>
            <w:pPr>
              <w:pStyle w:val="Normal"/>
              <w:widowControl/>
              <w:spacing w:lineRule="auto" w:line="240" w:before="0" w:after="0"/>
              <w:ind w:right="-15"/>
              <w:jc w:val="both"/>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 шағын бизнес кәсіпорындары</w:t>
            </w:r>
          </w:p>
        </w:tc>
        <w:tc>
          <w:tcPr>
            <w:tcW w:w="123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231F20"/>
                <w:kern w:val="0"/>
                <w:position w:val="2"/>
                <w:sz w:val="22"/>
                <w:szCs w:val="22"/>
                <w:lang w:val="ru-RU" w:eastAsia="ru-RU" w:bidi="ar-SA"/>
              </w:rPr>
              <w:t>398</w:t>
            </w:r>
            <w:r>
              <w:rPr>
                <w:rFonts w:eastAsia="Calibri" w:cs="Times New Roman" w:ascii="Times New Roman" w:hAnsi="Times New Roman"/>
                <w:color w:val="231F20"/>
                <w:kern w:val="0"/>
                <w:sz w:val="22"/>
                <w:szCs w:val="22"/>
                <w:lang w:val="kk-KZ" w:eastAsia="ru-RU" w:bidi="ar-SA"/>
              </w:rPr>
              <w:t>,8</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416,1</w:t>
            </w:r>
          </w:p>
        </w:tc>
        <w:tc>
          <w:tcPr>
            <w:tcW w:w="11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438,4</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456,6</w:t>
            </w:r>
          </w:p>
        </w:tc>
        <w:tc>
          <w:tcPr>
            <w:tcW w:w="12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464,8</w:t>
            </w:r>
          </w:p>
        </w:tc>
      </w:tr>
      <w:tr>
        <w:trPr/>
        <w:tc>
          <w:tcPr>
            <w:tcW w:w="3610" w:type="dxa"/>
            <w:tcBorders/>
          </w:tcPr>
          <w:p>
            <w:pPr>
              <w:pStyle w:val="Normal"/>
              <w:widowControl/>
              <w:spacing w:lineRule="auto" w:line="240" w:before="0" w:after="0"/>
              <w:ind w:right="-15"/>
              <w:jc w:val="both"/>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 орта бизнес кәсіпорындары</w:t>
            </w:r>
          </w:p>
        </w:tc>
        <w:tc>
          <w:tcPr>
            <w:tcW w:w="123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231F20"/>
                <w:kern w:val="0"/>
                <w:position w:val="2"/>
                <w:sz w:val="22"/>
                <w:szCs w:val="22"/>
                <w:lang w:val="ru-RU" w:eastAsia="ru-RU" w:bidi="ar-SA"/>
              </w:rPr>
              <w:t>2</w:t>
            </w:r>
            <w:r>
              <w:rPr>
                <w:rFonts w:eastAsia="Calibri" w:cs="Times New Roman" w:ascii="Times New Roman" w:hAnsi="Times New Roman"/>
                <w:color w:val="231F20"/>
                <w:kern w:val="0"/>
                <w:sz w:val="22"/>
                <w:szCs w:val="22"/>
                <w:lang w:val="kk-KZ" w:eastAsia="ru-RU" w:bidi="ar-SA"/>
              </w:rPr>
              <w:t>,6</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2,9</w:t>
            </w:r>
          </w:p>
        </w:tc>
        <w:tc>
          <w:tcPr>
            <w:tcW w:w="11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3,0</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3,0</w:t>
            </w:r>
          </w:p>
        </w:tc>
        <w:tc>
          <w:tcPr>
            <w:tcW w:w="12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3,2</w:t>
            </w:r>
          </w:p>
        </w:tc>
      </w:tr>
      <w:tr>
        <w:trPr/>
        <w:tc>
          <w:tcPr>
            <w:tcW w:w="3610" w:type="dxa"/>
            <w:tcBorders/>
          </w:tcPr>
          <w:p>
            <w:pPr>
              <w:pStyle w:val="Normal"/>
              <w:widowControl/>
              <w:spacing w:lineRule="auto" w:line="240" w:before="0" w:after="0"/>
              <w:ind w:right="-15"/>
              <w:jc w:val="both"/>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 жеке кәсіпкерлер</w:t>
            </w:r>
          </w:p>
        </w:tc>
        <w:tc>
          <w:tcPr>
            <w:tcW w:w="123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231F20"/>
                <w:kern w:val="0"/>
                <w:position w:val="2"/>
                <w:sz w:val="22"/>
                <w:szCs w:val="22"/>
                <w:lang w:val="ru-RU" w:eastAsia="ru-RU" w:bidi="ar-SA"/>
              </w:rPr>
              <w:t>983</w:t>
            </w:r>
            <w:r>
              <w:rPr>
                <w:rFonts w:eastAsia="Calibri" w:cs="Times New Roman" w:ascii="Times New Roman" w:hAnsi="Times New Roman"/>
                <w:color w:val="231F20"/>
                <w:kern w:val="0"/>
                <w:sz w:val="22"/>
                <w:szCs w:val="22"/>
                <w:lang w:val="kk-KZ" w:eastAsia="ru-RU" w:bidi="ar-SA"/>
              </w:rPr>
              <w:t>,5</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1044,3</w:t>
            </w:r>
          </w:p>
        </w:tc>
        <w:tc>
          <w:tcPr>
            <w:tcW w:w="11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1336,5</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1442,8</w:t>
            </w:r>
          </w:p>
        </w:tc>
        <w:tc>
          <w:tcPr>
            <w:tcW w:w="12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1523,0</w:t>
            </w:r>
          </w:p>
        </w:tc>
      </w:tr>
      <w:tr>
        <w:trPr/>
        <w:tc>
          <w:tcPr>
            <w:tcW w:w="3610" w:type="dxa"/>
            <w:tcBorders/>
          </w:tcPr>
          <w:p>
            <w:pPr>
              <w:pStyle w:val="Normal"/>
              <w:widowControl/>
              <w:spacing w:lineRule="auto" w:line="240" w:before="0" w:after="0"/>
              <w:ind w:right="-15"/>
              <w:jc w:val="both"/>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 шаруа қожалықтары</w:t>
            </w:r>
          </w:p>
        </w:tc>
        <w:tc>
          <w:tcPr>
            <w:tcW w:w="123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231F20"/>
                <w:kern w:val="0"/>
                <w:position w:val="2"/>
                <w:sz w:val="22"/>
                <w:szCs w:val="22"/>
                <w:lang w:val="ru-RU" w:eastAsia="ru-RU" w:bidi="ar-SA"/>
              </w:rPr>
              <w:t>225</w:t>
            </w:r>
            <w:r>
              <w:rPr>
                <w:rFonts w:eastAsia="Calibri" w:cs="Times New Roman" w:ascii="Times New Roman" w:hAnsi="Times New Roman"/>
                <w:color w:val="231F20"/>
                <w:kern w:val="0"/>
                <w:sz w:val="22"/>
                <w:szCs w:val="22"/>
                <w:lang w:val="kk-KZ" w:eastAsia="ru-RU" w:bidi="ar-SA"/>
              </w:rPr>
              <w:t>,</w:t>
            </w:r>
            <w:r>
              <w:rPr>
                <w:rFonts w:eastAsia="Calibri" w:cs="Times New Roman" w:ascii="Times New Roman" w:hAnsi="Times New Roman"/>
                <w:color w:val="231F20"/>
                <w:spacing w:val="-5"/>
                <w:kern w:val="0"/>
                <w:sz w:val="22"/>
                <w:szCs w:val="22"/>
                <w:lang w:val="ru-RU" w:eastAsia="ru-RU" w:bidi="ar-SA"/>
              </w:rPr>
              <w:t>4</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231,4</w:t>
            </w:r>
          </w:p>
        </w:tc>
        <w:tc>
          <w:tcPr>
            <w:tcW w:w="11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248,6</w:t>
            </w:r>
          </w:p>
        </w:tc>
        <w:tc>
          <w:tcPr>
            <w:tcW w:w="1101"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276,4</w:t>
            </w:r>
          </w:p>
        </w:tc>
        <w:tc>
          <w:tcPr>
            <w:tcW w:w="120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271,3</w:t>
            </w:r>
          </w:p>
        </w:tc>
      </w:tr>
      <w:tr>
        <w:trPr/>
        <w:tc>
          <w:tcPr>
            <w:tcW w:w="9349" w:type="dxa"/>
            <w:gridSpan w:val="6"/>
            <w:tcBorders/>
          </w:tcPr>
          <w:p>
            <w:pPr>
              <w:pStyle w:val="Normal"/>
              <w:widowControl/>
              <w:spacing w:lineRule="auto" w:line="240" w:before="0" w:after="0"/>
              <w:ind w:right="-15"/>
              <w:jc w:val="both"/>
              <w:rPr>
                <w:rFonts w:ascii="Times New Roman" w:hAnsi="Times New Roman"/>
                <w:i/>
                <w:i/>
                <w:iCs/>
                <w:color w:val="000000"/>
                <w:spacing w:val="-2"/>
                <w:sz w:val="22"/>
                <w:szCs w:val="22"/>
                <w:lang w:val="kk-KZ"/>
              </w:rPr>
            </w:pPr>
            <w:r>
              <w:rPr>
                <w:rFonts w:eastAsia="Calibri" w:cs="Times New Roman" w:ascii="Times New Roman" w:hAnsi="Times New Roman"/>
                <w:i/>
                <w:iCs/>
                <w:color w:val="000000"/>
                <w:spacing w:val="-2"/>
                <w:kern w:val="0"/>
                <w:position w:val="2"/>
                <w:sz w:val="22"/>
                <w:szCs w:val="22"/>
                <w:lang w:val="kk-KZ" w:eastAsia="ru-RU" w:bidi="ar-SA"/>
              </w:rPr>
              <w:t>Ескерту - авторлар Bureau of National Statistics дереккөзі бойынша құрастырған</w:t>
            </w:r>
          </w:p>
        </w:tc>
      </w:tr>
    </w:tbl>
    <w:p>
      <w:pPr>
        <w:pStyle w:val="Normal"/>
        <w:spacing w:lineRule="auto" w:line="240" w:before="0" w:after="0"/>
        <w:ind w:firstLine="567" w:right="-15"/>
        <w:jc w:val="both"/>
        <w:rPr>
          <w:rFonts w:ascii="Times New Roman" w:hAnsi="Times New Roman" w:cs="Times New Roman"/>
          <w:color w:val="000000"/>
          <w:spacing w:val="-2"/>
          <w:lang w:val="kk-KZ"/>
        </w:rPr>
      </w:pPr>
      <w:r>
        <w:rPr>
          <w:rFonts w:cs="Times New Roman" w:ascii="Times New Roman" w:hAnsi="Times New Roman"/>
          <w:color w:val="000000"/>
          <w:spacing w:val="-2"/>
          <w:lang w:val="kk-KZ"/>
        </w:rPr>
      </w:r>
    </w:p>
    <w:p>
      <w:pPr>
        <w:pStyle w:val="Normal"/>
        <w:spacing w:lineRule="auto" w:line="240" w:before="0" w:after="0"/>
        <w:ind w:firstLine="567" w:right="-15"/>
        <w:jc w:val="center"/>
        <w:rPr>
          <w:rFonts w:ascii="Times New Roman" w:hAnsi="Times New Roman" w:cs="Times New Roman"/>
          <w:b/>
          <w:bCs/>
          <w:color w:val="000000"/>
          <w:spacing w:val="-2"/>
          <w:lang w:val="kk-KZ"/>
        </w:rPr>
      </w:pPr>
      <w:r>
        <w:rPr>
          <w:rFonts w:cs="Times New Roman" w:ascii="Times New Roman" w:hAnsi="Times New Roman"/>
          <w:b/>
          <w:bCs/>
          <w:position w:val="2"/>
          <w:lang w:val="kk-KZ"/>
        </w:rPr>
        <w:t xml:space="preserve">2-кесте. </w:t>
      </w:r>
      <w:r>
        <w:rPr>
          <w:rFonts w:cs="Times New Roman" w:ascii="Times New Roman" w:hAnsi="Times New Roman"/>
          <w:b/>
          <w:bCs/>
          <w:color w:val="000000"/>
          <w:spacing w:val="-2"/>
          <w:position w:val="2"/>
          <w:lang w:val="kk-KZ"/>
        </w:rPr>
        <w:t>2024 жылға арналған меншіктің ұйымдық-құқықтық нысандары бөлінісінде Қазақстан Республикасы бизнес-ұйымдарының құрылымы</w:t>
      </w:r>
    </w:p>
    <w:p>
      <w:pPr>
        <w:pStyle w:val="Normal"/>
        <w:spacing w:lineRule="auto" w:line="240" w:before="0" w:after="0"/>
        <w:ind w:firstLine="567" w:right="-15"/>
        <w:jc w:val="center"/>
        <w:rPr>
          <w:rFonts w:ascii="Times New Roman" w:hAnsi="Times New Roman" w:cs="Times New Roman"/>
          <w:b/>
          <w:bCs/>
          <w:color w:val="000000"/>
          <w:spacing w:val="-2"/>
          <w:sz w:val="20"/>
          <w:szCs w:val="20"/>
          <w:lang w:val="kk-KZ"/>
        </w:rPr>
      </w:pPr>
      <w:r>
        <w:rPr>
          <w:rFonts w:cs="Times New Roman" w:ascii="Times New Roman" w:hAnsi="Times New Roman"/>
          <w:b/>
          <w:bCs/>
          <w:color w:val="000000"/>
          <w:spacing w:val="-2"/>
          <w:sz w:val="20"/>
          <w:szCs w:val="20"/>
          <w:lang w:val="kk-KZ"/>
        </w:rPr>
      </w:r>
    </w:p>
    <w:tbl>
      <w:tblPr>
        <w:tblStyle w:val="ae"/>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693"/>
        <w:gridCol w:w="2874"/>
        <w:gridCol w:w="1783"/>
      </w:tblGrid>
      <w:tr>
        <w:trPr/>
        <w:tc>
          <w:tcPr>
            <w:tcW w:w="4693"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Ұйымдық-құқықтық нысанның атауы</w:t>
            </w:r>
          </w:p>
        </w:tc>
        <w:tc>
          <w:tcPr>
            <w:tcW w:w="2874"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Тіркелген шағын және орта бизнес субъектілерінің саны, мың бірлік</w:t>
            </w:r>
          </w:p>
        </w:tc>
        <w:tc>
          <w:tcPr>
            <w:tcW w:w="1783" w:type="dxa"/>
            <w:tcBorders/>
          </w:tcPr>
          <w:p>
            <w:pPr>
              <w:pStyle w:val="Normal"/>
              <w:widowControl/>
              <w:spacing w:lineRule="auto" w:line="240" w:before="0" w:after="0"/>
              <w:ind w:right="-15"/>
              <w:jc w:val="center"/>
              <w:rPr>
                <w:rFonts w:ascii="Times New Roman" w:hAnsi="Times New Roman"/>
                <w:b/>
                <w:bCs/>
                <w:color w:val="000000"/>
                <w:spacing w:val="-2"/>
                <w:sz w:val="22"/>
                <w:szCs w:val="22"/>
                <w:lang w:val="kk-KZ"/>
              </w:rPr>
            </w:pPr>
            <w:r>
              <w:rPr>
                <w:rFonts w:eastAsia="Calibri" w:cs="Times New Roman" w:ascii="Times New Roman" w:hAnsi="Times New Roman"/>
                <w:b/>
                <w:bCs/>
                <w:color w:val="000000"/>
                <w:spacing w:val="-2"/>
                <w:kern w:val="0"/>
                <w:position w:val="2"/>
                <w:sz w:val="22"/>
                <w:szCs w:val="22"/>
                <w:lang w:val="kk-KZ" w:eastAsia="ru-RU" w:bidi="ar-SA"/>
              </w:rPr>
              <w:t>Құрылымы, %</w:t>
            </w:r>
          </w:p>
        </w:tc>
      </w:tr>
      <w:tr>
        <w:trPr/>
        <w:tc>
          <w:tcPr>
            <w:tcW w:w="469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Жеке кәсіпкерлік</w:t>
            </w:r>
          </w:p>
        </w:tc>
        <w:tc>
          <w:tcPr>
            <w:tcW w:w="2874"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1523,0</w:t>
            </w:r>
          </w:p>
        </w:tc>
        <w:tc>
          <w:tcPr>
            <w:tcW w:w="178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67,4</w:t>
            </w:r>
          </w:p>
        </w:tc>
      </w:tr>
      <w:tr>
        <w:trPr/>
        <w:tc>
          <w:tcPr>
            <w:tcW w:w="469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Серіктестіктер (жауапкершілігі шектеулі серіктестіктер)</w:t>
            </w:r>
          </w:p>
        </w:tc>
        <w:tc>
          <w:tcPr>
            <w:tcW w:w="2874"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467,9</w:t>
            </w:r>
          </w:p>
        </w:tc>
        <w:tc>
          <w:tcPr>
            <w:tcW w:w="178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20,68</w:t>
            </w:r>
          </w:p>
        </w:tc>
      </w:tr>
      <w:tr>
        <w:trPr/>
        <w:tc>
          <w:tcPr>
            <w:tcW w:w="469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Акционерлік қоғамдар</w:t>
            </w:r>
          </w:p>
        </w:tc>
        <w:tc>
          <w:tcPr>
            <w:tcW w:w="2874"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0,23</w:t>
            </w:r>
          </w:p>
        </w:tc>
        <w:tc>
          <w:tcPr>
            <w:tcW w:w="178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0,02</w:t>
            </w:r>
          </w:p>
        </w:tc>
      </w:tr>
      <w:tr>
        <w:trPr/>
        <w:tc>
          <w:tcPr>
            <w:tcW w:w="469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Шаруа (фермер) қожалықтары</w:t>
            </w:r>
          </w:p>
        </w:tc>
        <w:tc>
          <w:tcPr>
            <w:tcW w:w="2874"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271,3</w:t>
            </w:r>
          </w:p>
        </w:tc>
        <w:tc>
          <w:tcPr>
            <w:tcW w:w="178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11,9</w:t>
            </w:r>
          </w:p>
        </w:tc>
      </w:tr>
      <w:tr>
        <w:trPr/>
        <w:tc>
          <w:tcPr>
            <w:tcW w:w="469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Барлығы</w:t>
            </w:r>
          </w:p>
        </w:tc>
        <w:tc>
          <w:tcPr>
            <w:tcW w:w="2874"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2262,4</w:t>
            </w:r>
          </w:p>
        </w:tc>
        <w:tc>
          <w:tcPr>
            <w:tcW w:w="1783" w:type="dxa"/>
            <w:tcBorders/>
          </w:tcPr>
          <w:p>
            <w:pPr>
              <w:pStyle w:val="Normal"/>
              <w:widowControl/>
              <w:spacing w:lineRule="auto" w:line="240" w:before="0" w:after="0"/>
              <w:ind w:right="-15"/>
              <w:jc w:val="center"/>
              <w:rPr>
                <w:rFonts w:ascii="Times New Roman" w:hAnsi="Times New Roman"/>
                <w:color w:val="000000"/>
                <w:spacing w:val="-2"/>
                <w:sz w:val="22"/>
                <w:szCs w:val="22"/>
                <w:lang w:val="kk-KZ"/>
              </w:rPr>
            </w:pPr>
            <w:r>
              <w:rPr>
                <w:rFonts w:eastAsia="Calibri" w:cs="Times New Roman" w:ascii="Times New Roman" w:hAnsi="Times New Roman"/>
                <w:color w:val="000000"/>
                <w:spacing w:val="-2"/>
                <w:kern w:val="0"/>
                <w:position w:val="2"/>
                <w:sz w:val="22"/>
                <w:szCs w:val="22"/>
                <w:lang w:val="kk-KZ" w:eastAsia="ru-RU" w:bidi="ar-SA"/>
              </w:rPr>
              <w:t>100,0</w:t>
            </w:r>
          </w:p>
        </w:tc>
      </w:tr>
      <w:tr>
        <w:trPr/>
        <w:tc>
          <w:tcPr>
            <w:tcW w:w="9350" w:type="dxa"/>
            <w:gridSpan w:val="3"/>
            <w:tcBorders/>
          </w:tcPr>
          <w:p>
            <w:pPr>
              <w:pStyle w:val="Normal"/>
              <w:widowControl/>
              <w:spacing w:lineRule="auto" w:line="240" w:before="0" w:after="0"/>
              <w:ind w:right="-15"/>
              <w:jc w:val="both"/>
              <w:rPr>
                <w:rFonts w:ascii="Times New Roman" w:hAnsi="Times New Roman"/>
                <w:i/>
                <w:i/>
                <w:iCs/>
                <w:color w:val="000000"/>
                <w:spacing w:val="-2"/>
                <w:sz w:val="24"/>
                <w:szCs w:val="24"/>
                <w:lang w:val="kk-KZ"/>
              </w:rPr>
            </w:pPr>
            <w:r>
              <w:rPr>
                <w:rFonts w:eastAsia="Calibri" w:cs="Times New Roman" w:ascii="Times New Roman" w:hAnsi="Times New Roman"/>
                <w:i/>
                <w:iCs/>
                <w:color w:val="000000"/>
                <w:spacing w:val="-2"/>
                <w:kern w:val="0"/>
                <w:position w:val="2"/>
                <w:sz w:val="24"/>
                <w:szCs w:val="24"/>
                <w:lang w:val="kk-KZ" w:eastAsia="ru-RU" w:bidi="ar-SA"/>
              </w:rPr>
              <w:t>Ескерту - авторлар Bureau of National Statistics дереккөзі бойынша құрастырған</w:t>
            </w:r>
          </w:p>
        </w:tc>
      </w:tr>
    </w:tbl>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Шағын және орта бизнеспен қатар әлеуметтік жауапкершілік динамикасы тоқырау сипатына ие және 1-суретте көрсетілген ірі кәсіпорындардың атрибуты болып табылады.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Бизнестің әлеуметтік жауапкершілігінің инвестициялық-экономикалық негізі шаруашылық жүргізуші субъектілердің кірісі болып табылады. Жүргізілген зерттеулер 3 және 4-кестелерге сәйкес шағын және орта, ірі бизнес-кәсіпкерлік бөлінісіндегі кірістер мен пайда нарықтық қатынастардың даму жылдарында іс жүзінде тепе-теңдік деңгейіне жеткенін көрсетеді.</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Бизнес-кәсіпкерлік субъектілерінің пайдасы Қазақстанда қалыптасқан заңнама жүйесін ескере отырып, олардың қоғам алдындағы әлеуметтік жауапкершілігін орындауы үшін басты инвестициялық негіз болып табылады. Мәселен, 3-кестеде Қазақстанның шағын бизнес-ұйымдарының табысы мен пайдасының динамикасын толығырақ қарастыруға болады.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center"/>
        <w:rPr>
          <w:rFonts w:ascii="Times New Roman" w:hAnsi="Times New Roman" w:cs="Times New Roman"/>
          <w:color w:val="000000"/>
          <w:spacing w:val="-2"/>
          <w:sz w:val="24"/>
          <w:szCs w:val="24"/>
          <w:lang w:val="kk-KZ"/>
        </w:rPr>
      </w:pPr>
      <w:r>
        <w:rPr/>
        <w:drawing>
          <wp:inline distT="0" distB="0" distL="0" distR="0">
            <wp:extent cx="5486400" cy="1638300"/>
            <wp:effectExtent l="0" t="0" r="0" b="0"/>
            <wp:docPr id="69" name="Диаграмма 4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7"/>
              </a:graphicData>
            </a:graphic>
          </wp:inline>
        </w:drawing>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center"/>
        <w:rPr>
          <w:rFonts w:ascii="Times New Roman" w:hAnsi="Times New Roman" w:cs="Times New Roman"/>
          <w:b/>
          <w:color w:val="000000"/>
          <w:spacing w:val="-2"/>
          <w:sz w:val="20"/>
          <w:szCs w:val="20"/>
          <w:lang w:val="kk-KZ"/>
        </w:rPr>
      </w:pPr>
      <w:r>
        <w:rPr>
          <w:rFonts w:cs="Times New Roman" w:ascii="Times New Roman" w:hAnsi="Times New Roman"/>
          <w:b/>
          <w:position w:val="2"/>
          <w:sz w:val="20"/>
          <w:szCs w:val="20"/>
          <w:lang w:val="kk-KZ"/>
        </w:rPr>
        <w:t xml:space="preserve">1-сурет. </w:t>
      </w:r>
      <w:r>
        <w:rPr>
          <w:rFonts w:eastAsia="Times New Roman" w:cs="Times New Roman" w:ascii="Times New Roman" w:hAnsi="Times New Roman"/>
          <w:b/>
          <w:sz w:val="20"/>
          <w:szCs w:val="20"/>
          <w:lang w:val="kk-KZ" w:eastAsia="ru-RU"/>
        </w:rPr>
        <w:t xml:space="preserve"> </w:t>
      </w:r>
      <w:r>
        <w:rPr>
          <w:rFonts w:cs="Times New Roman" w:ascii="Times New Roman" w:hAnsi="Times New Roman"/>
          <w:b/>
          <w:color w:val="000000"/>
          <w:spacing w:val="-2"/>
          <w:position w:val="2"/>
          <w:sz w:val="20"/>
          <w:szCs w:val="20"/>
          <w:lang w:val="kk-KZ"/>
        </w:rPr>
        <w:t>Қазақстанда жұмыс істейтін ірі бизнес-ұйымдардың динамикасы, бірлік</w:t>
      </w:r>
    </w:p>
    <w:p>
      <w:pPr>
        <w:pStyle w:val="Normal"/>
        <w:spacing w:lineRule="auto" w:line="240" w:before="0" w:after="0"/>
        <w:ind w:firstLine="567" w:right="-15"/>
        <w:jc w:val="center"/>
        <w:rPr>
          <w:rFonts w:ascii="Times New Roman" w:hAnsi="Times New Roman" w:cs="Times New Roman"/>
          <w:bCs/>
          <w:i/>
          <w:i/>
          <w:iCs/>
          <w:color w:val="000000"/>
          <w:spacing w:val="-2"/>
          <w:sz w:val="24"/>
          <w:szCs w:val="24"/>
          <w:lang w:val="kk-KZ"/>
        </w:rPr>
      </w:pPr>
      <w:r>
        <w:rPr>
          <w:rFonts w:cs="Times New Roman" w:ascii="Times New Roman" w:hAnsi="Times New Roman"/>
          <w:bCs/>
          <w:i/>
          <w:iCs/>
          <w:color w:val="000000"/>
          <w:spacing w:val="-2"/>
          <w:position w:val="2"/>
          <w:sz w:val="20"/>
          <w:szCs w:val="20"/>
          <w:lang w:val="kk-KZ"/>
        </w:rPr>
        <w:t>Ескерту - авторлар Bureau of National Statistics дереккөзі бойынша құрастырған</w:t>
      </w:r>
    </w:p>
    <w:p>
      <w:pPr>
        <w:pStyle w:val="Normal"/>
        <w:spacing w:lineRule="auto" w:line="240" w:before="0" w:after="0"/>
        <w:ind w:firstLine="567" w:right="-15"/>
        <w:jc w:val="center"/>
        <w:rPr>
          <w:rFonts w:ascii="Times New Roman" w:hAnsi="Times New Roman" w:cs="Times New Roman"/>
          <w:b/>
          <w:color w:val="231F20"/>
          <w:sz w:val="24"/>
          <w:szCs w:val="24"/>
          <w:lang w:val="kk-KZ"/>
        </w:rPr>
      </w:pPr>
      <w:r>
        <w:rPr>
          <w:rFonts w:cs="Times New Roman" w:ascii="Times New Roman" w:hAnsi="Times New Roman"/>
          <w:b/>
          <w:color w:val="231F20"/>
          <w:sz w:val="24"/>
          <w:szCs w:val="24"/>
          <w:lang w:val="kk-KZ"/>
        </w:rPr>
      </w:r>
    </w:p>
    <w:p>
      <w:pPr>
        <w:pStyle w:val="Normal"/>
        <w:spacing w:lineRule="auto" w:line="240" w:before="0" w:after="0"/>
        <w:ind w:firstLine="567" w:right="-15"/>
        <w:jc w:val="center"/>
        <w:rPr>
          <w:rFonts w:ascii="Times New Roman" w:hAnsi="Times New Roman" w:cs="Times New Roman"/>
          <w:b/>
          <w:bCs/>
          <w:color w:val="231F20"/>
          <w:lang w:val="kk-KZ"/>
        </w:rPr>
      </w:pPr>
      <w:r>
        <w:rPr>
          <w:rFonts w:cs="Times New Roman" w:ascii="Times New Roman" w:hAnsi="Times New Roman"/>
          <w:b/>
          <w:bCs/>
          <w:lang w:val="kk-KZ"/>
        </w:rPr>
        <w:t xml:space="preserve">3-кесте. </w:t>
      </w:r>
      <w:r>
        <w:rPr>
          <w:rFonts w:cs="Times New Roman" w:ascii="Times New Roman" w:hAnsi="Times New Roman"/>
          <w:b/>
          <w:bCs/>
          <w:color w:val="231F20"/>
          <w:lang w:val="kk-KZ"/>
        </w:rPr>
        <w:t>Қазақстанның шағын бизнес-ұйымдарының табысы мен пайдасының серпіні</w:t>
      </w:r>
    </w:p>
    <w:p>
      <w:pPr>
        <w:pStyle w:val="Normal"/>
        <w:spacing w:lineRule="auto" w:line="240" w:before="0" w:after="0"/>
        <w:ind w:firstLine="567" w:right="-15"/>
        <w:jc w:val="center"/>
        <w:rPr>
          <w:rFonts w:ascii="Times New Roman" w:hAnsi="Times New Roman" w:cs="Times New Roman"/>
          <w:bCs/>
          <w:color w:val="231F20"/>
          <w:lang w:val="kk-KZ"/>
        </w:rPr>
      </w:pPr>
      <w:r>
        <w:rPr>
          <w:rFonts w:cs="Times New Roman" w:ascii="Times New Roman" w:hAnsi="Times New Roman"/>
          <w:bCs/>
          <w:color w:val="231F20"/>
          <w:lang w:val="kk-KZ"/>
        </w:rPr>
      </w:r>
    </w:p>
    <w:tbl>
      <w:tblPr>
        <w:tblStyle w:val="ae"/>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583"/>
        <w:gridCol w:w="1353"/>
        <w:gridCol w:w="1354"/>
        <w:gridCol w:w="1353"/>
        <w:gridCol w:w="1354"/>
        <w:gridCol w:w="1352"/>
      </w:tblGrid>
      <w:tr>
        <w:trPr/>
        <w:tc>
          <w:tcPr>
            <w:tcW w:w="2583" w:type="dxa"/>
            <w:vMerge w:val="restart"/>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231F20"/>
                <w:kern w:val="0"/>
                <w:sz w:val="22"/>
                <w:szCs w:val="22"/>
                <w:lang w:val="kk-KZ" w:eastAsia="ru-RU" w:bidi="ar-SA"/>
              </w:rPr>
              <w:t>Көрсеткіштің атауы</w:t>
            </w:r>
          </w:p>
        </w:tc>
        <w:tc>
          <w:tcPr>
            <w:tcW w:w="6766" w:type="dxa"/>
            <w:gridSpan w:val="5"/>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231F20"/>
                <w:kern w:val="0"/>
                <w:sz w:val="22"/>
                <w:szCs w:val="22"/>
                <w:lang w:val="kk-KZ" w:eastAsia="ru-RU" w:bidi="ar-SA"/>
              </w:rPr>
              <w:t>Мәні</w:t>
            </w:r>
          </w:p>
        </w:tc>
      </w:tr>
      <w:tr>
        <w:trPr/>
        <w:tc>
          <w:tcPr>
            <w:tcW w:w="2583" w:type="dxa"/>
            <w:vMerge w:val="continue"/>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231F20"/>
                <w:kern w:val="0"/>
                <w:sz w:val="22"/>
                <w:szCs w:val="22"/>
                <w:lang w:val="kk-KZ" w:eastAsia="ru-RU" w:bidi="ar-SA"/>
              </w:rPr>
            </w:r>
          </w:p>
        </w:tc>
        <w:tc>
          <w:tcPr>
            <w:tcW w:w="1353" w:type="dxa"/>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2020</w:t>
            </w:r>
          </w:p>
        </w:tc>
        <w:tc>
          <w:tcPr>
            <w:tcW w:w="1354" w:type="dxa"/>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2021</w:t>
            </w:r>
          </w:p>
        </w:tc>
        <w:tc>
          <w:tcPr>
            <w:tcW w:w="1353" w:type="dxa"/>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2022</w:t>
            </w:r>
          </w:p>
        </w:tc>
        <w:tc>
          <w:tcPr>
            <w:tcW w:w="1354" w:type="dxa"/>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2023</w:t>
            </w:r>
          </w:p>
        </w:tc>
        <w:tc>
          <w:tcPr>
            <w:tcW w:w="1352" w:type="dxa"/>
            <w:tcBorders/>
          </w:tcPr>
          <w:p>
            <w:pPr>
              <w:pStyle w:val="Normal"/>
              <w:widowControl/>
              <w:spacing w:lineRule="auto" w:line="240" w:before="0" w:after="0"/>
              <w:ind w:right="-15"/>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2024</w:t>
            </w:r>
          </w:p>
        </w:tc>
      </w:tr>
      <w:tr>
        <w:trPr/>
        <w:tc>
          <w:tcPr>
            <w:tcW w:w="2583" w:type="dxa"/>
            <w:tcBorders/>
          </w:tcPr>
          <w:p>
            <w:pPr>
              <w:pStyle w:val="Normal"/>
              <w:widowControl/>
              <w:spacing w:lineRule="auto" w:line="240" w:before="0" w:after="0"/>
              <w:ind w:right="-15"/>
              <w:jc w:val="both"/>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Шағын бизнес-кәсіпкерлік субъектілерінің табысы, млн теңге</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color w:val="231F20"/>
                <w:kern w:val="0"/>
                <w:sz w:val="22"/>
                <w:szCs w:val="22"/>
                <w:lang w:val="ru-RU" w:eastAsia="ru-RU" w:bidi="ar-SA"/>
              </w:rPr>
              <w:t>23 </w:t>
            </w:r>
            <w:r>
              <w:rPr>
                <w:rFonts w:eastAsia="Calibri" w:cs="Times New Roman" w:ascii="Times New Roman" w:hAnsi="Times New Roman"/>
                <w:color w:val="231F20"/>
                <w:kern w:val="0"/>
                <w:sz w:val="22"/>
                <w:szCs w:val="22"/>
                <w:lang w:val="kk-KZ" w:eastAsia="ru-RU" w:bidi="ar-SA"/>
              </w:rPr>
              <w:t>164 042</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28 025 374</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36 539 684</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45 577 129</w:t>
            </w:r>
          </w:p>
        </w:tc>
        <w:tc>
          <w:tcPr>
            <w:tcW w:w="1352"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54 197 184</w:t>
            </w:r>
          </w:p>
        </w:tc>
      </w:tr>
      <w:tr>
        <w:trPr/>
        <w:tc>
          <w:tcPr>
            <w:tcW w:w="2583" w:type="dxa"/>
            <w:tcBorders/>
          </w:tcPr>
          <w:p>
            <w:pPr>
              <w:pStyle w:val="Normal"/>
              <w:widowControl/>
              <w:spacing w:lineRule="auto" w:line="240" w:before="0" w:after="0"/>
              <w:ind w:right="-15"/>
              <w:jc w:val="both"/>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Қызметкерлердің орташа жылдық тізімдік саны, адам</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1 409 882</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1 421 017</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1 645 995</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1 756 265</w:t>
            </w:r>
          </w:p>
        </w:tc>
        <w:tc>
          <w:tcPr>
            <w:tcW w:w="1352"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1 745 668</w:t>
            </w:r>
          </w:p>
        </w:tc>
      </w:tr>
      <w:tr>
        <w:trPr/>
        <w:tc>
          <w:tcPr>
            <w:tcW w:w="2583" w:type="dxa"/>
            <w:tcBorders/>
          </w:tcPr>
          <w:p>
            <w:pPr>
              <w:pStyle w:val="Normal"/>
              <w:widowControl/>
              <w:spacing w:lineRule="auto" w:line="240" w:before="0" w:after="0"/>
              <w:ind w:right="-15"/>
              <w:jc w:val="both"/>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Қызметкерлердің жалақы қоры, млн теңге</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2 448 701</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2 898 943</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3 900 773</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4 875 973</w:t>
            </w:r>
          </w:p>
        </w:tc>
        <w:tc>
          <w:tcPr>
            <w:tcW w:w="1352"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6 503 987</w:t>
            </w:r>
          </w:p>
        </w:tc>
      </w:tr>
      <w:tr>
        <w:trPr/>
        <w:tc>
          <w:tcPr>
            <w:tcW w:w="2583" w:type="dxa"/>
            <w:tcBorders/>
          </w:tcPr>
          <w:p>
            <w:pPr>
              <w:pStyle w:val="Normal"/>
              <w:widowControl/>
              <w:spacing w:lineRule="auto" w:line="240" w:before="0" w:after="0"/>
              <w:ind w:right="-15"/>
              <w:jc w:val="both"/>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Шағын бизнес-кәсіпкерлік субъектілерінің пайдасы, млн теңге</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color w:val="231F20"/>
                <w:kern w:val="0"/>
                <w:sz w:val="22"/>
                <w:szCs w:val="22"/>
                <w:lang w:val="kk-KZ" w:eastAsia="ru-RU" w:bidi="ar-SA"/>
              </w:rPr>
              <w:t>4 742 647</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8 649 502</w:t>
            </w:r>
          </w:p>
        </w:tc>
        <w:tc>
          <w:tcPr>
            <w:tcW w:w="1353"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11 275 290</w:t>
            </w:r>
          </w:p>
        </w:tc>
        <w:tc>
          <w:tcPr>
            <w:tcW w:w="1354"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14 560 620</w:t>
            </w:r>
          </w:p>
        </w:tc>
        <w:tc>
          <w:tcPr>
            <w:tcW w:w="1352" w:type="dxa"/>
            <w:tcBorders/>
          </w:tcPr>
          <w:p>
            <w:pPr>
              <w:pStyle w:val="Normal"/>
              <w:widowControl/>
              <w:spacing w:lineRule="auto" w:line="240" w:before="0" w:after="0"/>
              <w:ind w:right="-15"/>
              <w:jc w:val="center"/>
              <w:rPr>
                <w:rFonts w:ascii="Times New Roman" w:hAnsi="Times New Roman"/>
                <w:bCs/>
                <w:color w:val="231F20"/>
                <w:sz w:val="22"/>
                <w:szCs w:val="22"/>
                <w:lang w:val="kk-KZ"/>
              </w:rPr>
            </w:pPr>
            <w:r>
              <w:rPr>
                <w:rFonts w:eastAsia="Calibri" w:cs="Times New Roman" w:ascii="Times New Roman" w:hAnsi="Times New Roman"/>
                <w:bCs/>
                <w:color w:val="231F20"/>
                <w:kern w:val="0"/>
                <w:sz w:val="22"/>
                <w:szCs w:val="22"/>
                <w:lang w:val="kk-KZ" w:eastAsia="ru-RU" w:bidi="ar-SA"/>
              </w:rPr>
              <w:t>17 604 983</w:t>
            </w:r>
          </w:p>
        </w:tc>
      </w:tr>
      <w:tr>
        <w:trPr/>
        <w:tc>
          <w:tcPr>
            <w:tcW w:w="9349" w:type="dxa"/>
            <w:gridSpan w:val="6"/>
            <w:tcBorders/>
          </w:tcPr>
          <w:p>
            <w:pPr>
              <w:pStyle w:val="Normal"/>
              <w:widowControl/>
              <w:spacing w:lineRule="auto" w:line="240" w:before="0" w:after="0"/>
              <w:ind w:right="-15"/>
              <w:jc w:val="both"/>
              <w:rPr>
                <w:rFonts w:ascii="Times New Roman" w:hAnsi="Times New Roman"/>
                <w:bCs/>
                <w:i/>
                <w:i/>
                <w:iCs/>
                <w:color w:val="231F20"/>
                <w:sz w:val="22"/>
                <w:szCs w:val="22"/>
                <w:lang w:val="kk-KZ"/>
              </w:rPr>
            </w:pPr>
            <w:r>
              <w:rPr>
                <w:rFonts w:eastAsia="Calibri" w:cs="Times New Roman" w:ascii="Times New Roman" w:hAnsi="Times New Roman"/>
                <w:i/>
                <w:iCs/>
                <w:color w:val="000000"/>
                <w:spacing w:val="-2"/>
                <w:kern w:val="0"/>
                <w:position w:val="2"/>
                <w:sz w:val="22"/>
                <w:szCs w:val="22"/>
                <w:lang w:val="kk-KZ" w:eastAsia="ru-RU" w:bidi="ar-SA"/>
              </w:rPr>
              <w:t>Ескерту - авторлар Bureau of National Statistics дереккөзі бойынша құрастырған</w:t>
            </w:r>
          </w:p>
        </w:tc>
      </w:tr>
    </w:tbl>
    <w:p>
      <w:pPr>
        <w:pStyle w:val="Normal"/>
        <w:spacing w:lineRule="auto" w:line="240" w:before="0" w:after="0"/>
        <w:ind w:firstLine="567" w:right="-15"/>
        <w:jc w:val="both"/>
        <w:rPr>
          <w:rFonts w:ascii="Times New Roman" w:hAnsi="Times New Roman" w:cs="Times New Roman"/>
          <w:color w:val="000000"/>
          <w:spacing w:val="-2"/>
          <w:lang w:val="kk-KZ"/>
        </w:rPr>
      </w:pPr>
      <w:r>
        <w:rPr>
          <w:rFonts w:cs="Times New Roman" w:ascii="Times New Roman" w:hAnsi="Times New Roman"/>
          <w:color w:val="000000"/>
          <w:spacing w:val="-2"/>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Бұдан әрі 4-кестеде Қазақстанда жұмыс істейтін ірі бизнес-ұйымдардың табыс, пайда және рентабельділік динамикасын толығырақ қарастыруға болады.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
        <w:jc w:val="center"/>
        <w:rPr>
          <w:rFonts w:ascii="Times New Roman" w:hAnsi="Times New Roman" w:cs="Times New Roman"/>
          <w:b/>
          <w:color w:val="231F20"/>
          <w:lang w:val="kk-KZ"/>
        </w:rPr>
      </w:pPr>
      <w:r>
        <w:rPr>
          <w:rFonts w:cs="Times New Roman" w:ascii="Times New Roman" w:hAnsi="Times New Roman"/>
          <w:b/>
          <w:color w:val="231F20"/>
          <w:lang w:val="kk-KZ"/>
        </w:rPr>
        <w:t xml:space="preserve">4 -кесте. </w:t>
      </w:r>
      <w:r>
        <w:rPr>
          <w:rFonts w:cs="Times New Roman" w:ascii="Times New Roman" w:hAnsi="Times New Roman"/>
          <w:b/>
          <w:color w:val="231F20"/>
          <w:spacing w:val="-5"/>
          <w:lang w:val="kk-KZ"/>
        </w:rPr>
        <w:t xml:space="preserve"> </w:t>
      </w:r>
      <w:r>
        <w:rPr>
          <w:rFonts w:cs="Times New Roman" w:ascii="Times New Roman" w:hAnsi="Times New Roman"/>
          <w:b/>
          <w:color w:val="231F20"/>
          <w:lang w:val="kk-KZ"/>
        </w:rPr>
        <w:t>Қазақстанда жұмыс істейтін ірі және орта бизнес-ұйымдардың табыс, пайда және рентабельділік динамикасы</w:t>
      </w:r>
    </w:p>
    <w:p>
      <w:pPr>
        <w:pStyle w:val="Normal"/>
        <w:spacing w:lineRule="auto" w:line="240" w:before="0" w:after="0"/>
        <w:ind w:firstLine="567" w:right="-1"/>
        <w:jc w:val="center"/>
        <w:rPr>
          <w:rFonts w:ascii="Times New Roman" w:hAnsi="Times New Roman" w:cs="Times New Roman"/>
          <w:b/>
          <w:color w:val="231F20"/>
          <w:lang w:val="kk-KZ"/>
        </w:rPr>
      </w:pPr>
      <w:r>
        <w:rPr>
          <w:rFonts w:cs="Times New Roman" w:ascii="Times New Roman" w:hAnsi="Times New Roman"/>
          <w:b/>
          <w:color w:val="231F20"/>
          <w:lang w:val="kk-KZ"/>
        </w:rPr>
      </w:r>
    </w:p>
    <w:tbl>
      <w:tblPr>
        <w:tblStyle w:val="ae"/>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588"/>
        <w:gridCol w:w="1352"/>
        <w:gridCol w:w="1353"/>
        <w:gridCol w:w="1352"/>
        <w:gridCol w:w="1352"/>
        <w:gridCol w:w="1352"/>
      </w:tblGrid>
      <w:tr>
        <w:trPr/>
        <w:tc>
          <w:tcPr>
            <w:tcW w:w="2588" w:type="dxa"/>
            <w:vMerge w:val="restart"/>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231F20"/>
                <w:kern w:val="0"/>
                <w:sz w:val="22"/>
                <w:szCs w:val="22"/>
                <w:lang w:val="kk-KZ" w:eastAsia="ru-RU" w:bidi="ar-SA"/>
              </w:rPr>
              <w:t>Көрсеткіштің атауы</w:t>
            </w:r>
          </w:p>
        </w:tc>
        <w:tc>
          <w:tcPr>
            <w:tcW w:w="6761" w:type="dxa"/>
            <w:gridSpan w:val="5"/>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231F20"/>
                <w:spacing w:val="-2"/>
                <w:kern w:val="0"/>
                <w:sz w:val="22"/>
                <w:szCs w:val="22"/>
                <w:lang w:val="kk-KZ" w:eastAsia="ru-RU" w:bidi="ar-SA"/>
              </w:rPr>
              <w:t>Мәні</w:t>
            </w:r>
          </w:p>
        </w:tc>
      </w:tr>
      <w:tr>
        <w:trPr/>
        <w:tc>
          <w:tcPr>
            <w:tcW w:w="2588" w:type="dxa"/>
            <w:vMerge w:val="continue"/>
            <w:tcBorders/>
          </w:tcPr>
          <w:p>
            <w:pPr>
              <w:pStyle w:val="Normal"/>
              <w:widowControl/>
              <w:spacing w:lineRule="auto" w:line="240" w:before="0" w:after="0"/>
              <w:ind w:right="-1"/>
              <w:jc w:val="both"/>
              <w:rPr>
                <w:rFonts w:ascii="Times New Roman" w:hAnsi="Times New Roman"/>
                <w:b/>
                <w:color w:val="231F20"/>
                <w:sz w:val="22"/>
                <w:szCs w:val="22"/>
                <w:lang w:val="kk-KZ"/>
              </w:rPr>
            </w:pPr>
            <w:r>
              <w:rPr>
                <w:rFonts w:eastAsia="Calibri" w:cs="Times New Roman" w:ascii="Times New Roman" w:hAnsi="Times New Roman"/>
                <w:b/>
                <w:color w:val="231F20"/>
                <w:kern w:val="0"/>
                <w:sz w:val="22"/>
                <w:szCs w:val="22"/>
                <w:lang w:val="kk-KZ" w:eastAsia="ru-RU" w:bidi="ar-SA"/>
              </w:rPr>
            </w:r>
          </w:p>
        </w:tc>
        <w:tc>
          <w:tcPr>
            <w:tcW w:w="1352" w:type="dxa"/>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2020</w:t>
            </w:r>
          </w:p>
        </w:tc>
        <w:tc>
          <w:tcPr>
            <w:tcW w:w="1353" w:type="dxa"/>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2021</w:t>
            </w:r>
          </w:p>
        </w:tc>
        <w:tc>
          <w:tcPr>
            <w:tcW w:w="1352" w:type="dxa"/>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2022</w:t>
            </w:r>
          </w:p>
        </w:tc>
        <w:tc>
          <w:tcPr>
            <w:tcW w:w="1352" w:type="dxa"/>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2023</w:t>
            </w:r>
          </w:p>
        </w:tc>
        <w:tc>
          <w:tcPr>
            <w:tcW w:w="1352" w:type="dxa"/>
            <w:tcBorders/>
          </w:tcPr>
          <w:p>
            <w:pPr>
              <w:pStyle w:val="Normal"/>
              <w:widowControl/>
              <w:spacing w:lineRule="auto" w:line="240" w:before="0" w:after="0"/>
              <w:ind w:right="-1"/>
              <w:jc w:val="center"/>
              <w:rPr>
                <w:rFonts w:ascii="Times New Roman" w:hAnsi="Times New Roman"/>
                <w:b/>
                <w:color w:val="231F20"/>
                <w:sz w:val="22"/>
                <w:szCs w:val="22"/>
                <w:lang w:val="kk-KZ"/>
              </w:rPr>
            </w:pPr>
            <w:r>
              <w:rPr>
                <w:rFonts w:eastAsia="Calibri" w:cs="Times New Roman" w:ascii="Times New Roman" w:hAnsi="Times New Roman"/>
                <w:b/>
                <w:color w:val="000000"/>
                <w:spacing w:val="-2"/>
                <w:kern w:val="0"/>
                <w:position w:val="2"/>
                <w:sz w:val="22"/>
                <w:szCs w:val="22"/>
                <w:lang w:val="kk-KZ" w:eastAsia="ru-RU" w:bidi="ar-SA"/>
              </w:rPr>
              <w:t>2024</w:t>
            </w:r>
          </w:p>
        </w:tc>
      </w:tr>
      <w:tr>
        <w:trPr/>
        <w:tc>
          <w:tcPr>
            <w:tcW w:w="2588" w:type="dxa"/>
            <w:tcBorders/>
          </w:tcPr>
          <w:p>
            <w:pPr>
              <w:pStyle w:val="Normal"/>
              <w:widowControl/>
              <w:spacing w:lineRule="auto" w:line="240" w:before="0" w:after="0"/>
              <w:jc w:val="both"/>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Өнімді сатудан және қызмет көрсетуден түскен табыс, млн теңге</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46 675 618</w:t>
            </w:r>
          </w:p>
        </w:tc>
        <w:tc>
          <w:tcPr>
            <w:tcW w:w="1353"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60 323 895</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78 132 450</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81 956 087</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91 236 611</w:t>
            </w:r>
          </w:p>
        </w:tc>
      </w:tr>
      <w:tr>
        <w:trPr/>
        <w:tc>
          <w:tcPr>
            <w:tcW w:w="2588" w:type="dxa"/>
            <w:tcBorders/>
          </w:tcPr>
          <w:p>
            <w:pPr>
              <w:pStyle w:val="Normal"/>
              <w:widowControl/>
              <w:spacing w:lineRule="auto" w:line="240" w:before="0" w:after="0"/>
              <w:jc w:val="both"/>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ru-RU" w:eastAsia="ru-RU" w:bidi="ar-SA"/>
              </w:rPr>
              <w:t>Рентабельділік</w:t>
            </w:r>
            <w:r>
              <w:rPr>
                <w:rFonts w:eastAsia="Calibri" w:cs="Times New Roman" w:ascii="Times New Roman" w:hAnsi="Times New Roman"/>
                <w:color w:val="231F20"/>
                <w:spacing w:val="-6"/>
                <w:kern w:val="0"/>
                <w:sz w:val="22"/>
                <w:szCs w:val="22"/>
                <w:lang w:val="kk-KZ" w:eastAsia="ru-RU" w:bidi="ar-SA"/>
              </w:rPr>
              <w:t>,</w:t>
            </w:r>
            <w:r>
              <w:rPr>
                <w:rFonts w:eastAsia="Calibri" w:cs="Times New Roman" w:ascii="Times New Roman" w:hAnsi="Times New Roman"/>
                <w:color w:val="231F20"/>
                <w:spacing w:val="-4"/>
                <w:kern w:val="0"/>
                <w:sz w:val="22"/>
                <w:szCs w:val="22"/>
                <w:lang w:val="ru-RU" w:eastAsia="ru-RU" w:bidi="ar-SA"/>
              </w:rPr>
              <w:t xml:space="preserve"> </w:t>
            </w:r>
            <w:r>
              <w:rPr>
                <w:rFonts w:eastAsia="Calibri" w:cs="Times New Roman" w:ascii="Times New Roman" w:hAnsi="Times New Roman"/>
                <w:color w:val="231F20"/>
                <w:spacing w:val="-10"/>
                <w:kern w:val="0"/>
                <w:sz w:val="22"/>
                <w:szCs w:val="22"/>
                <w:lang w:val="ru-RU" w:eastAsia="ru-RU" w:bidi="ar-SA"/>
              </w:rPr>
              <w:t>%</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11,6</w:t>
            </w:r>
          </w:p>
        </w:tc>
        <w:tc>
          <w:tcPr>
            <w:tcW w:w="1353"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28,0</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23,6</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18,5</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15,8</w:t>
            </w:r>
          </w:p>
        </w:tc>
      </w:tr>
      <w:tr>
        <w:trPr/>
        <w:tc>
          <w:tcPr>
            <w:tcW w:w="2588" w:type="dxa"/>
            <w:tcBorders/>
          </w:tcPr>
          <w:p>
            <w:pPr>
              <w:pStyle w:val="Normal"/>
              <w:widowControl/>
              <w:spacing w:lineRule="auto" w:line="240" w:before="0" w:after="0"/>
              <w:jc w:val="both"/>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Ірі және орта кәсіпорындардың пайдасы, млн. теңге</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6 679 821</w:t>
            </w:r>
          </w:p>
        </w:tc>
        <w:tc>
          <w:tcPr>
            <w:tcW w:w="1353"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14 796 652</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17 995 441</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14 764 670</w:t>
            </w:r>
          </w:p>
        </w:tc>
        <w:tc>
          <w:tcPr>
            <w:tcW w:w="1352" w:type="dxa"/>
            <w:tcBorders/>
          </w:tcPr>
          <w:p>
            <w:pPr>
              <w:pStyle w:val="Normal"/>
              <w:widowControl/>
              <w:spacing w:lineRule="auto" w:line="240" w:before="0" w:after="0"/>
              <w:jc w:val="center"/>
              <w:rPr>
                <w:rFonts w:ascii="Times New Roman" w:hAnsi="Times New Roman"/>
                <w:color w:val="231F20"/>
                <w:sz w:val="22"/>
                <w:szCs w:val="22"/>
                <w:lang w:val="kk-KZ"/>
              </w:rPr>
            </w:pPr>
            <w:r>
              <w:rPr>
                <w:rFonts w:eastAsia="Calibri" w:cs="Times New Roman" w:ascii="Times New Roman" w:hAnsi="Times New Roman"/>
                <w:color w:val="231F20"/>
                <w:kern w:val="0"/>
                <w:sz w:val="22"/>
                <w:szCs w:val="22"/>
                <w:lang w:val="kk-KZ" w:eastAsia="ru-RU" w:bidi="ar-SA"/>
              </w:rPr>
              <w:t>14 653 528</w:t>
            </w:r>
          </w:p>
        </w:tc>
      </w:tr>
      <w:tr>
        <w:trPr/>
        <w:tc>
          <w:tcPr>
            <w:tcW w:w="9349" w:type="dxa"/>
            <w:gridSpan w:val="6"/>
            <w:tcBorders/>
          </w:tcPr>
          <w:p>
            <w:pPr>
              <w:pStyle w:val="Normal"/>
              <w:widowControl/>
              <w:spacing w:lineRule="auto" w:line="240" w:before="0" w:after="0"/>
              <w:jc w:val="both"/>
              <w:rPr>
                <w:rFonts w:ascii="Times New Roman" w:hAnsi="Times New Roman"/>
                <w:i/>
                <w:i/>
                <w:iCs/>
                <w:color w:val="231F20"/>
                <w:sz w:val="22"/>
                <w:szCs w:val="22"/>
                <w:lang w:val="kk-KZ"/>
              </w:rPr>
            </w:pPr>
            <w:r>
              <w:rPr>
                <w:rFonts w:eastAsia="Calibri" w:cs="Times New Roman" w:ascii="Times New Roman" w:hAnsi="Times New Roman"/>
                <w:i/>
                <w:iCs/>
                <w:color w:val="000000"/>
                <w:spacing w:val="-2"/>
                <w:kern w:val="0"/>
                <w:position w:val="2"/>
                <w:sz w:val="22"/>
                <w:szCs w:val="22"/>
                <w:lang w:val="kk-KZ" w:eastAsia="ru-RU" w:bidi="ar-SA"/>
              </w:rPr>
              <w:t>Ескерту - авторлар Bureau of National Statistics дереккөзі бойынша құрастырған</w:t>
            </w:r>
          </w:p>
        </w:tc>
      </w:tr>
    </w:tbl>
    <w:p>
      <w:pPr>
        <w:pStyle w:val="Normal"/>
        <w:spacing w:lineRule="auto" w:line="240" w:before="0" w:after="0"/>
        <w:ind w:firstLine="567"/>
        <w:jc w:val="both"/>
        <w:rPr>
          <w:rFonts w:ascii="Times New Roman" w:hAnsi="Times New Roman" w:cs="Times New Roman"/>
          <w:i/>
          <w:i/>
          <w:iCs/>
          <w:color w:val="231F20"/>
          <w:sz w:val="24"/>
          <w:szCs w:val="24"/>
          <w:lang w:val="kk-KZ"/>
        </w:rPr>
      </w:pPr>
      <w:r>
        <w:rPr>
          <w:rFonts w:cs="Times New Roman" w:ascii="Times New Roman" w:hAnsi="Times New Roman"/>
          <w:i/>
          <w:iCs/>
          <w:color w:val="231F20"/>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t>Қазақстан Республикасындағы бизнестің әлеуметтік жауапкершілігін Конституция, Еңбек кодексі, Экологиялық Кодекс, «Жер қойнауы және жер қойнауын пайдалану туралы» Заң, «Кәсіподақтар туралы» Заң сияқты заңдар мен нормативтік-құқықтық құжаттар реттейді. Қазақстандағы бизнес-ұйымдар тарапынан әлеуметтік жауапкершілікке инвестициялар 2-суретке сәйкес ұсынылған бағыттар бойынша іске асырылады.</w: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11430" distL="0" distR="22860" simplePos="0" locked="0" layoutInCell="0" allowOverlap="1" relativeHeight="70" wp14:anchorId="7BE86192">
                <wp:simplePos x="0" y="0"/>
                <wp:positionH relativeFrom="margin">
                  <wp:align>left</wp:align>
                </wp:positionH>
                <wp:positionV relativeFrom="paragraph">
                  <wp:posOffset>118110</wp:posOffset>
                </wp:positionV>
                <wp:extent cx="6035040" cy="350520"/>
                <wp:effectExtent l="3175" t="3175" r="3175" b="3175"/>
                <wp:wrapNone/>
                <wp:docPr id="70" name="Надпись 42"/>
                <a:graphic xmlns:a="http://schemas.openxmlformats.org/drawingml/2006/main">
                  <a:graphicData uri="http://schemas.microsoft.com/office/word/2010/wordprocessingShape">
                    <wps:wsp>
                      <wps:cNvSpPr/>
                      <wps:spPr>
                        <a:xfrm>
                          <a:off x="0" y="0"/>
                          <a:ext cx="6035040" cy="3506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jc w:val="center"/>
                              <w:rPr>
                                <w:rFonts w:ascii="Times New Roman" w:hAnsi="Times New Roman" w:cs="Times New Roman"/>
                              </w:rPr>
                            </w:pPr>
                            <w:r>
                              <w:rPr>
                                <w:rFonts w:cs="Times New Roman" w:ascii="Times New Roman" w:hAnsi="Times New Roman"/>
                              </w:rPr>
                              <w:t>Бизнес-ұйымдардың пайдасын әлеуметтік жауапкершілікке инвестициялау бағыттары</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0pt;margin-top:9.3pt;width:475.15pt;height:27.55pt;mso-wrap-style:square;v-text-anchor:top;mso-position-horizontal:left;mso-position-horizontal-relative:margin" wp14:anchorId="7BE86192">
                <v:fill o:detectmouseclick="t" type="solid" color2="black"/>
                <v:stroke color="black" weight="6480" joinstyle="round" endcap="flat"/>
                <v:textbox>
                  <w:txbxContent>
                    <w:p>
                      <w:pPr>
                        <w:pStyle w:val="FrameContents"/>
                        <w:spacing w:lineRule="auto" w:line="240" w:before="0" w:after="0"/>
                        <w:jc w:val="center"/>
                        <w:rPr>
                          <w:rFonts w:ascii="Times New Roman" w:hAnsi="Times New Roman" w:cs="Times New Roman"/>
                        </w:rPr>
                      </w:pPr>
                      <w:r>
                        <w:rPr>
                          <w:rFonts w:cs="Times New Roman" w:ascii="Times New Roman" w:hAnsi="Times New Roman"/>
                        </w:rPr>
                        <w:t>Бизнес-ұйымдардың пайдасын әлеуметтік жауапкершілікке инвестициялау бағыттары</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2860" distL="0" distR="22860" simplePos="0" locked="0" layoutInCell="1" allowOverlap="1" relativeHeight="89" wp14:anchorId="5BDD0668">
                <wp:simplePos x="0" y="0"/>
                <wp:positionH relativeFrom="column">
                  <wp:posOffset>110490</wp:posOffset>
                </wp:positionH>
                <wp:positionV relativeFrom="paragraph">
                  <wp:posOffset>118110</wp:posOffset>
                </wp:positionV>
                <wp:extent cx="15240" cy="3672840"/>
                <wp:effectExtent l="3810" t="635" r="3175" b="0"/>
                <wp:wrapNone/>
                <wp:docPr id="71" name="Прямая соединительная линия 43"/>
                <a:graphic xmlns:a="http://schemas.openxmlformats.org/drawingml/2006/main">
                  <a:graphicData uri="http://schemas.microsoft.com/office/word/2010/wordprocessingShape">
                    <wps:wsp>
                      <wps:cNvSpPr/>
                      <wps:spPr>
                        <a:xfrm flipH="1">
                          <a:off x="0" y="0"/>
                          <a:ext cx="15120" cy="367272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8.7pt,9.3pt" to="9.85pt,298.45pt" ID="Прямая соединительная линия 43" stroked="t" o:allowincell="f" style="position:absolute;flip:x" wp14:anchorId="5BDD0668">
                <v:stroke color="#5b9bd5" weight="6480" joinstyle="miter" endcap="flat"/>
                <v:fill o:detectmouseclick="t" on="false"/>
                <w10:wrap type="none"/>
              </v:line>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6670" distL="0" distR="11430" simplePos="0" locked="0" layoutInCell="0" allowOverlap="1" relativeHeight="73" wp14:anchorId="7868A636">
                <wp:simplePos x="0" y="0"/>
                <wp:positionH relativeFrom="margin">
                  <wp:posOffset>819150</wp:posOffset>
                </wp:positionH>
                <wp:positionV relativeFrom="paragraph">
                  <wp:posOffset>72390</wp:posOffset>
                </wp:positionV>
                <wp:extent cx="5113020" cy="297180"/>
                <wp:effectExtent l="3175" t="3175" r="3175" b="3175"/>
                <wp:wrapNone/>
                <wp:docPr id="72" name="Надпись 42"/>
                <a:graphic xmlns:a="http://schemas.openxmlformats.org/drawingml/2006/main">
                  <a:graphicData uri="http://schemas.microsoft.com/office/word/2010/wordprocessingShape">
                    <wps:wsp>
                      <wps:cNvSpPr/>
                      <wps:spPr>
                        <a:xfrm>
                          <a:off x="0" y="0"/>
                          <a:ext cx="5113080" cy="2973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Жаңа жұмыс орындарын құру және еңбек нарығын дамыту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4.5pt;margin-top:5.7pt;width:402.55pt;height:23.35pt;mso-wrap-style:square;v-text-anchor:top;mso-position-horizontal-relative:margin" wp14:anchorId="7868A636">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Жаңа жұмыс орындарын құру және еңбек нарығын дамыту</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11430" distL="0" distR="22860" simplePos="0" locked="0" layoutInCell="0" allowOverlap="1" relativeHeight="75" wp14:anchorId="356AED1C">
                <wp:simplePos x="0" y="0"/>
                <wp:positionH relativeFrom="margin">
                  <wp:posOffset>819150</wp:posOffset>
                </wp:positionH>
                <wp:positionV relativeFrom="paragraph">
                  <wp:posOffset>80010</wp:posOffset>
                </wp:positionV>
                <wp:extent cx="5120640" cy="312420"/>
                <wp:effectExtent l="3175" t="3175" r="3175" b="3175"/>
                <wp:wrapNone/>
                <wp:docPr id="73" name="Надпись 42"/>
                <a:graphic xmlns:a="http://schemas.openxmlformats.org/drawingml/2006/main">
                  <a:graphicData uri="http://schemas.microsoft.com/office/word/2010/wordprocessingShape">
                    <wps:wsp>
                      <wps:cNvSpPr/>
                      <wps:spPr>
                        <a:xfrm>
                          <a:off x="0" y="0"/>
                          <a:ext cx="5120640" cy="3124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Салық міндеттемелерін кешенді және жан-жақты орындау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4.5pt;margin-top:6.3pt;width:403.15pt;height:24.55pt;mso-wrap-style:square;v-text-anchor:top;mso-position-horizontal-relative:margin" wp14:anchorId="356AED1C">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Салық міндеттемелерін кешенді және жан-жақты орындау</w:t>
                      </w:r>
                    </w:p>
                  </w:txbxContent>
                </v:textbox>
                <w10:wrap type="none"/>
              </v:rect>
            </w:pict>
          </mc:Fallback>
        </mc:AlternateContent>
        <mc:AlternateContent>
          <mc:Choice Requires="wps">
            <w:drawing>
              <wp:anchor behindDoc="0" distT="38100" distB="60960" distL="0" distR="30480" simplePos="0" locked="0" layoutInCell="1" allowOverlap="1" relativeHeight="90" wp14:anchorId="378DF6C4">
                <wp:simplePos x="0" y="0"/>
                <wp:positionH relativeFrom="column">
                  <wp:posOffset>125730</wp:posOffset>
                </wp:positionH>
                <wp:positionV relativeFrom="paragraph">
                  <wp:posOffset>41910</wp:posOffset>
                </wp:positionV>
                <wp:extent cx="579120" cy="3025140"/>
                <wp:effectExtent l="6350" t="1270" r="7620" b="1905"/>
                <wp:wrapNone/>
                <wp:docPr id="74" name="Стрелка: вправо 47"/>
                <a:graphic xmlns:a="http://schemas.openxmlformats.org/drawingml/2006/main">
                  <a:graphicData uri="http://schemas.microsoft.com/office/word/2010/wordprocessingShape">
                    <wps:wsp>
                      <wps:cNvSpPr/>
                      <wps:spPr>
                        <a:xfrm>
                          <a:off x="0" y="0"/>
                          <a:ext cx="579240" cy="3025080"/>
                        </a:xfrm>
                        <a:prstGeom prst="rightArrow">
                          <a:avLst>
                            <a:gd name="adj1" fmla="val 50000"/>
                            <a:gd name="adj2" fmla="val 50000"/>
                          </a:avLst>
                        </a:prstGeom>
                        <a:solidFill>
                          <a:srgbClr val="5b9bd5"/>
                        </a:solidFill>
                        <a:ln>
                          <a:solidFill>
                            <a:srgbClr val="27435d"/>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Стрелка: вправо 47" path="l-2147483635,-2147483631l-2147483635,0l-2147483622,-2147483632l-2147483635,-2147483623l-2147483635,-2147483629l0,-2147483629xe" fillcolor="#5b9bd5" stroked="t" o:allowincell="f" style="position:absolute;margin-left:9.9pt;margin-top:3.3pt;width:45.55pt;height:238.15pt;mso-wrap-style:none;v-text-anchor:middle" wp14:anchorId="378DF6C4" type="_x0000_t13">
                <v:fill o:detectmouseclick="t" type="solid" color2="#a4642a"/>
                <v:stroke color="#27435d" weight="12600" joinstyle="miter" endcap="flat"/>
                <w10:wrap type="none"/>
              </v:shape>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19050" distL="0" distR="11430" simplePos="0" locked="0" layoutInCell="0" allowOverlap="1" relativeHeight="77" wp14:anchorId="29533F89">
                <wp:simplePos x="0" y="0"/>
                <wp:positionH relativeFrom="margin">
                  <wp:posOffset>826770</wp:posOffset>
                </wp:positionH>
                <wp:positionV relativeFrom="paragraph">
                  <wp:posOffset>102870</wp:posOffset>
                </wp:positionV>
                <wp:extent cx="5113020" cy="266700"/>
                <wp:effectExtent l="3175" t="3175" r="3175" b="3175"/>
                <wp:wrapNone/>
                <wp:docPr id="75" name="Надпись 42"/>
                <a:graphic xmlns:a="http://schemas.openxmlformats.org/drawingml/2006/main">
                  <a:graphicData uri="http://schemas.microsoft.com/office/word/2010/wordprocessingShape">
                    <wps:wsp>
                      <wps:cNvSpPr/>
                      <wps:spPr>
                        <a:xfrm>
                          <a:off x="0" y="0"/>
                          <a:ext cx="5113080" cy="266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Әлеуметтік жауапкершілік қорларын қаржыландыру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5.1pt;margin-top:8.1pt;width:402.55pt;height:20.95pt;mso-wrap-style:square;v-text-anchor:top;mso-position-horizontal-relative:margin" wp14:anchorId="29533F89">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Әлеуметтік жауапкершілік қорларын қаржыландыру</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15240" distL="0" distR="22860" simplePos="0" locked="0" layoutInCell="0" allowOverlap="1" relativeHeight="79" wp14:anchorId="51BB1B2A">
                <wp:simplePos x="0" y="0"/>
                <wp:positionH relativeFrom="margin">
                  <wp:posOffset>819150</wp:posOffset>
                </wp:positionH>
                <wp:positionV relativeFrom="paragraph">
                  <wp:posOffset>87630</wp:posOffset>
                </wp:positionV>
                <wp:extent cx="5120640" cy="632460"/>
                <wp:effectExtent l="3175" t="3175" r="3175" b="3175"/>
                <wp:wrapNone/>
                <wp:docPr id="76" name="Надпись 42"/>
                <a:graphic xmlns:a="http://schemas.openxmlformats.org/drawingml/2006/main">
                  <a:graphicData uri="http://schemas.microsoft.com/office/word/2010/wordprocessingShape">
                    <wps:wsp>
                      <wps:cNvSpPr/>
                      <wps:spPr>
                        <a:xfrm>
                          <a:off x="0" y="0"/>
                          <a:ext cx="5120640" cy="6325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Негізгі өндірістік жабдықтарды, кәсіпорындарды басқару жүйелерін техникалық жаңғырту есебінен адам ресурстарының еңбек жағдайлары мен қауіпсіздігін жақсарту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4.5pt;margin-top:6.9pt;width:403.15pt;height:49.75pt;mso-wrap-style:square;v-text-anchor:top;mso-position-horizontal-relative:margin" wp14:anchorId="51BB1B2A">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Негізгі өндірістік жабдықтарды, кәсіпорындарды басқару жүйелерін техникалық жаңғырту есебінен адам ресурстарының еңбек жағдайлары мен қауіпсіздігін жақсарту</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6670" distL="0" distR="22860" simplePos="0" locked="0" layoutInCell="0" allowOverlap="1" relativeHeight="81" wp14:anchorId="3DFDE1DF">
                <wp:simplePos x="0" y="0"/>
                <wp:positionH relativeFrom="margin">
                  <wp:posOffset>826770</wp:posOffset>
                </wp:positionH>
                <wp:positionV relativeFrom="paragraph">
                  <wp:posOffset>87630</wp:posOffset>
                </wp:positionV>
                <wp:extent cx="5120640" cy="640080"/>
                <wp:effectExtent l="3175" t="3175" r="3175" b="3175"/>
                <wp:wrapNone/>
                <wp:docPr id="77" name="Надпись 42"/>
                <a:graphic xmlns:a="http://schemas.openxmlformats.org/drawingml/2006/main">
                  <a:graphicData uri="http://schemas.microsoft.com/office/word/2010/wordprocessingShape">
                    <wps:wsp>
                      <wps:cNvSpPr/>
                      <wps:spPr>
                        <a:xfrm>
                          <a:off x="0" y="0"/>
                          <a:ext cx="5120640" cy="6400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Тұтынушылардың проблемаларын шешуге бағдарлануын ескере отырып, тауарлардың, көрсетілетін қызметтердің сапасы мен инновациясын жетілдіру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5.1pt;margin-top:6.9pt;width:403.15pt;height:50.35pt;mso-wrap-style:square;v-text-anchor:top;mso-position-horizontal-relative:margin" wp14:anchorId="3DFDE1DF">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Тұтынушылардың проблемаларын шешуге бағдарлануын ескере отырып, тауарлардың, көрсетілетін қызметтердің сапасы мен инновациясын жетілдіру</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11430" distL="0" distR="26670" simplePos="0" locked="0" layoutInCell="0" allowOverlap="1" relativeHeight="83" wp14:anchorId="554745B1">
                <wp:simplePos x="0" y="0"/>
                <wp:positionH relativeFrom="margin">
                  <wp:posOffset>834390</wp:posOffset>
                </wp:positionH>
                <wp:positionV relativeFrom="paragraph">
                  <wp:posOffset>95250</wp:posOffset>
                </wp:positionV>
                <wp:extent cx="5135880" cy="312420"/>
                <wp:effectExtent l="3175" t="3175" r="3175" b="3175"/>
                <wp:wrapNone/>
                <wp:docPr id="78" name="Надпись 42"/>
                <a:graphic xmlns:a="http://schemas.openxmlformats.org/drawingml/2006/main">
                  <a:graphicData uri="http://schemas.microsoft.com/office/word/2010/wordprocessingShape">
                    <wps:wsp>
                      <wps:cNvSpPr/>
                      <wps:spPr>
                        <a:xfrm>
                          <a:off x="0" y="0"/>
                          <a:ext cx="5135760" cy="3124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Өңірлердің әлеуметтік инфрақұрылымын дамыту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5.7pt;margin-top:7.5pt;width:404.35pt;height:24.55pt;mso-wrap-style:square;v-text-anchor:top;mso-position-horizontal-relative:margin" wp14:anchorId="554745B1">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Өңірлердің әлеуметтік инфрақұрылымын дамыту</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2860" distL="0" distR="11430" simplePos="0" locked="0" layoutInCell="0" allowOverlap="1" relativeHeight="85" wp14:anchorId="5FD9747D">
                <wp:simplePos x="0" y="0"/>
                <wp:positionH relativeFrom="margin">
                  <wp:posOffset>826770</wp:posOffset>
                </wp:positionH>
                <wp:positionV relativeFrom="paragraph">
                  <wp:posOffset>118110</wp:posOffset>
                </wp:positionV>
                <wp:extent cx="5113020" cy="472440"/>
                <wp:effectExtent l="3175" t="3175" r="3175" b="3175"/>
                <wp:wrapNone/>
                <wp:docPr id="79" name="Надпись 42"/>
                <a:graphic xmlns:a="http://schemas.openxmlformats.org/drawingml/2006/main">
                  <a:graphicData uri="http://schemas.microsoft.com/office/word/2010/wordprocessingShape">
                    <wps:wsp>
                      <wps:cNvSpPr/>
                      <wps:spPr>
                        <a:xfrm>
                          <a:off x="0" y="0"/>
                          <a:ext cx="5113080" cy="4723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rPr>
                              <w:t>Білім беру саласын дамыту, адам ресурстарын даярлау, қайта даярлау және олардың біліктілігін арттыру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5.1pt;margin-top:9.3pt;width:402.55pt;height:37.15pt;mso-wrap-style:square;v-text-anchor:top;mso-position-horizontal-relative:margin" wp14:anchorId="5FD9747D">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rPr>
                        <w:t>Білім беру саласын дамыту, адам ресурстарын даярлау, қайта даярлау және олардың біліктілігін арттыру</w:t>
                      </w:r>
                    </w:p>
                  </w:txbxContent>
                </v:textbox>
                <w10:wrap type="none"/>
              </v:rect>
            </w:pict>
          </mc:Fallback>
        </mc:AlternateContent>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mc:AlternateContent>
          <mc:Choice Requires="wps">
            <w:drawing>
              <wp:anchor behindDoc="0" distT="0" distB="11430" distL="0" distR="26670" simplePos="0" locked="0" layoutInCell="0" allowOverlap="1" relativeHeight="87" wp14:anchorId="7FD9893A">
                <wp:simplePos x="0" y="0"/>
                <wp:positionH relativeFrom="margin">
                  <wp:posOffset>838200</wp:posOffset>
                </wp:positionH>
                <wp:positionV relativeFrom="paragraph">
                  <wp:posOffset>114300</wp:posOffset>
                </wp:positionV>
                <wp:extent cx="5135880" cy="312420"/>
                <wp:effectExtent l="3175" t="3175" r="3175" b="3175"/>
                <wp:wrapNone/>
                <wp:docPr id="80" name="Надпись 42"/>
                <a:graphic xmlns:a="http://schemas.openxmlformats.org/drawingml/2006/main">
                  <a:graphicData uri="http://schemas.microsoft.com/office/word/2010/wordprocessingShape">
                    <wps:wsp>
                      <wps:cNvSpPr/>
                      <wps:spPr>
                        <a:xfrm>
                          <a:off x="0" y="0"/>
                          <a:ext cx="5135760" cy="3124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Өнеркәсіптік кәсіпорындардың экологиялық қауіпсіздігін жетілдіру</w:t>
                            </w:r>
                          </w:p>
                        </w:txbxContent>
                      </wps:txbx>
                      <wps:bodyPr anchor="t">
                        <a:prstTxWarp prst="textNoShape"/>
                        <a:noAutofit/>
                      </wps:bodyPr>
                    </wps:wsp>
                  </a:graphicData>
                </a:graphic>
              </wp:anchor>
            </w:drawing>
          </mc:Choice>
          <mc:Fallback>
            <w:pict>
              <v:rect id="shape_0" ID="Надпись 42" path="m0,0l-2147483645,0l-2147483645,-2147483646l0,-2147483646xe" fillcolor="white" stroked="t" o:allowincell="f" style="position:absolute;margin-left:66pt;margin-top:9pt;width:404.35pt;height:24.55pt;mso-wrap-style:square;v-text-anchor:top;mso-position-horizontal-relative:margin" wp14:anchorId="7FD9893A">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Өнеркәсіптік кәсіпорындардың экологиялық қауіпсіздігін жетілдіру</w:t>
                      </w:r>
                    </w:p>
                  </w:txbxContent>
                </v:textbox>
                <w10:wrap type="none"/>
              </v:rect>
            </w:pict>
          </mc:Fallback>
        </mc:AlternateConten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center"/>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center"/>
        <w:rPr>
          <w:rFonts w:ascii="Times New Roman" w:hAnsi="Times New Roman" w:cs="Times New Roman"/>
          <w:b/>
          <w:color w:val="000000"/>
          <w:spacing w:val="-2"/>
          <w:sz w:val="20"/>
          <w:szCs w:val="20"/>
          <w:lang w:val="kk-KZ"/>
        </w:rPr>
      </w:pPr>
      <w:bookmarkStart w:id="11" w:name="_Hlk217173361"/>
      <w:r>
        <w:rPr>
          <w:rFonts w:cs="Times New Roman" w:ascii="Times New Roman" w:hAnsi="Times New Roman"/>
          <w:b/>
          <w:position w:val="2"/>
          <w:sz w:val="20"/>
          <w:szCs w:val="20"/>
          <w:lang w:val="kk-KZ"/>
        </w:rPr>
        <w:t xml:space="preserve">1-сурет. </w:t>
      </w:r>
      <w:r>
        <w:rPr>
          <w:rFonts w:eastAsia="Times New Roman" w:cs="Times New Roman" w:ascii="Times New Roman" w:hAnsi="Times New Roman"/>
          <w:b/>
          <w:sz w:val="20"/>
          <w:szCs w:val="20"/>
          <w:lang w:val="kk-KZ" w:eastAsia="ru-RU"/>
        </w:rPr>
        <w:t xml:space="preserve"> </w:t>
      </w:r>
      <w:bookmarkEnd w:id="11"/>
      <w:r>
        <w:rPr>
          <w:rFonts w:cs="Times New Roman" w:ascii="Times New Roman" w:hAnsi="Times New Roman"/>
          <w:b/>
          <w:color w:val="000000"/>
          <w:spacing w:val="-2"/>
          <w:position w:val="2"/>
          <w:sz w:val="20"/>
          <w:szCs w:val="20"/>
          <w:lang w:val="kk-KZ"/>
        </w:rPr>
        <w:t>Қазақстанның бизнес-ұйымдары тарапынан әлеуметтік жауапкершілікке инвестициялар бағыттары</w:t>
      </w:r>
    </w:p>
    <w:p>
      <w:pPr>
        <w:pStyle w:val="Normal"/>
        <w:spacing w:lineRule="auto" w:line="240" w:before="0" w:after="0"/>
        <w:ind w:firstLine="567"/>
        <w:jc w:val="both"/>
        <w:rPr>
          <w:rFonts w:ascii="Times New Roman" w:hAnsi="Times New Roman" w:cs="Times New Roman"/>
          <w:i/>
          <w:i/>
          <w:iCs/>
          <w:color w:val="000000"/>
          <w:spacing w:val="-2"/>
          <w:lang w:val="kk-KZ"/>
        </w:rPr>
      </w:pPr>
      <w:r>
        <w:rPr>
          <w:rFonts w:cs="Times New Roman" w:ascii="Times New Roman" w:hAnsi="Times New Roman"/>
          <w:i/>
          <w:iCs/>
          <w:color w:val="000000"/>
          <w:spacing w:val="-2"/>
          <w:position w:val="2"/>
          <w:lang w:val="kk-KZ"/>
        </w:rPr>
        <w:t>Ескерту - авторлар құрастырған</w:t>
      </w:r>
    </w:p>
    <w:p>
      <w:pPr>
        <w:pStyle w:val="Normal"/>
        <w:spacing w:lineRule="auto" w:line="240" w:before="0" w:after="0"/>
        <w:ind w:firstLine="567"/>
        <w:jc w:val="both"/>
        <w:rPr>
          <w:rFonts w:ascii="Times New Roman" w:hAnsi="Times New Roman" w:cs="Times New Roman"/>
          <w:i/>
          <w:i/>
          <w:iCs/>
          <w:color w:val="000000"/>
          <w:spacing w:val="-2"/>
          <w:lang w:val="kk-KZ"/>
        </w:rPr>
      </w:pPr>
      <w:r>
        <w:rPr>
          <w:rFonts w:cs="Times New Roman" w:ascii="Times New Roman" w:hAnsi="Times New Roman"/>
          <w:i/>
          <w:iCs/>
          <w:color w:val="000000"/>
          <w:spacing w:val="-2"/>
          <w:lang w:val="kk-KZ"/>
        </w:rPr>
      </w:r>
    </w:p>
    <w:p>
      <w:pPr>
        <w:pStyle w:val="Normal"/>
        <w:spacing w:lineRule="auto" w:line="240" w:before="0" w:after="0"/>
        <w:ind w:firstLine="567"/>
        <w:jc w:val="both"/>
        <w:rPr>
          <w:rFonts w:ascii="Times New Roman" w:hAnsi="Times New Roman" w:cs="Times New Roman"/>
          <w:color w:val="EE0000"/>
          <w:spacing w:val="-2"/>
          <w:sz w:val="24"/>
          <w:szCs w:val="24"/>
          <w:lang w:val="kk-KZ"/>
        </w:rPr>
      </w:pPr>
      <w:r>
        <w:rPr>
          <w:rFonts w:cs="Times New Roman" w:ascii="Times New Roman" w:hAnsi="Times New Roman"/>
          <w:color w:val="000000"/>
          <w:spacing w:val="-2"/>
          <w:position w:val="2"/>
          <w:sz w:val="24"/>
          <w:szCs w:val="24"/>
          <w:lang w:val="kk-KZ"/>
        </w:rPr>
        <w:t>Шағын және орта бизнес субъектілерінің әлеуметтік жауапкершілігі өндірістік-шаруашылық қызметті жүргізудің құқықтық негіздерін сақтау қағидаттарында іске асырылады, мысалы: еңбек заңнамасын сақтай отырып, жаңа жұмыс орындарын құру; салық міндеттемелерін кешенді және жан-жақты орындау; ең төменгі мөлшерден кем емес мөлшерде жалақы төлеу; ақшалай қаражатты әлеуметтік сақтандыру қорына, міндетті медициналық сақтандыру қорына аудару. Шағын және орта бизнес-кәсіпкерлік субъектілерінің әлеуметтік жауапкершілік мүмкіндіктері олардың бір кәсіпорынға шаққандағы табысы мен пайдасымен шектеледі.</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position w:val="2"/>
          <w:sz w:val="24"/>
          <w:szCs w:val="24"/>
          <w:lang w:val="kk-KZ"/>
        </w:rPr>
        <w:t>Әлеуметтік жауапкершілікті іске асыру үшін жетекші ірі өңірлік өнеркәсіптік кәсіпорындар облыс әкімдіктерімен әлеуметтік жобаларға инвестициялар бөлу туралы меморандумдар жасайды. Өнеркәсіптік кәсіпорындардың әлеуметтік жауапкершілік саясатына қатысты меморандумдар динамикалық сипатқа ие, әр күнтізбелік жылға қаралады және жасалады. Бұл ретте іс жүзінде 3 - суретте көрсетілген ұйымдастырушылық-экономикалық тетік қолданылады.</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mc:AlternateContent>
          <mc:Choice Requires="wps">
            <w:drawing>
              <wp:anchor behindDoc="0" distT="0" distB="23495" distL="0" distR="10795" simplePos="0" locked="0" layoutInCell="1" allowOverlap="1" relativeHeight="91" wp14:anchorId="5960B02D">
                <wp:simplePos x="0" y="0"/>
                <wp:positionH relativeFrom="column">
                  <wp:posOffset>405765</wp:posOffset>
                </wp:positionH>
                <wp:positionV relativeFrom="paragraph">
                  <wp:posOffset>44450</wp:posOffset>
                </wp:positionV>
                <wp:extent cx="2066290" cy="414655"/>
                <wp:effectExtent l="3175" t="3810" r="3175" b="2540"/>
                <wp:wrapNone/>
                <wp:docPr id="81" name="Надпись 48"/>
                <a:graphic xmlns:a="http://schemas.openxmlformats.org/drawingml/2006/main">
                  <a:graphicData uri="http://schemas.microsoft.com/office/word/2010/wordprocessingShape">
                    <wps:wsp>
                      <wps:cNvSpPr/>
                      <wps:spPr>
                        <a:xfrm>
                          <a:off x="0" y="0"/>
                          <a:ext cx="2066400" cy="4147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Экономиканың мемлекеттік секторы</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31.95pt;margin-top:3.5pt;width:162.65pt;height:32.6pt;mso-wrap-style:square;v-text-anchor:top" wp14:anchorId="5960B02D">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Экономиканың мемлекеттік секторы</w:t>
                      </w:r>
                    </w:p>
                  </w:txbxContent>
                </v:textbox>
                <w10:wrap type="none"/>
              </v:rect>
            </w:pict>
          </mc:Fallback>
        </mc:AlternateContent>
        <mc:AlternateContent>
          <mc:Choice Requires="wps">
            <w:drawing>
              <wp:anchor behindDoc="0" distT="0" distB="23495" distL="0" distR="15240" simplePos="0" locked="0" layoutInCell="1" allowOverlap="1" relativeHeight="93" wp14:anchorId="5C0AFA5E">
                <wp:simplePos x="0" y="0"/>
                <wp:positionH relativeFrom="column">
                  <wp:posOffset>3630930</wp:posOffset>
                </wp:positionH>
                <wp:positionV relativeFrom="paragraph">
                  <wp:posOffset>26670</wp:posOffset>
                </wp:positionV>
                <wp:extent cx="2346960" cy="414655"/>
                <wp:effectExtent l="3175" t="3810" r="3175" b="2540"/>
                <wp:wrapNone/>
                <wp:docPr id="82" name="Надпись 48"/>
                <a:graphic xmlns:a="http://schemas.openxmlformats.org/drawingml/2006/main">
                  <a:graphicData uri="http://schemas.microsoft.com/office/word/2010/wordprocessingShape">
                    <wps:wsp>
                      <wps:cNvSpPr/>
                      <wps:spPr>
                        <a:xfrm>
                          <a:off x="0" y="0"/>
                          <a:ext cx="2346840" cy="4147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Экономиканың жеке секторы</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285.9pt;margin-top:2.1pt;width:184.75pt;height:32.6pt;mso-wrap-style:square;v-text-anchor:top" wp14:anchorId="5C0AFA5E">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Экономиканың жеке секторы</w:t>
                      </w:r>
                    </w:p>
                  </w:txbxContent>
                </v:textbox>
                <w10:wrap type="none"/>
              </v:rect>
            </w:pict>
          </mc:Fallback>
        </mc:AlternateConten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mc:AlternateContent>
          <mc:Choice Requires="wps">
            <w:drawing>
              <wp:anchor behindDoc="0" distT="0" distB="0" distL="0" distR="0" simplePos="0" locked="0" layoutInCell="1" allowOverlap="1" relativeHeight="121" wp14:anchorId="44AC3504">
                <wp:simplePos x="0" y="0"/>
                <wp:positionH relativeFrom="column">
                  <wp:posOffset>3196590</wp:posOffset>
                </wp:positionH>
                <wp:positionV relativeFrom="paragraph">
                  <wp:posOffset>79375</wp:posOffset>
                </wp:positionV>
                <wp:extent cx="426720" cy="635"/>
                <wp:effectExtent l="635" t="3810" r="0" b="3175"/>
                <wp:wrapNone/>
                <wp:docPr id="83" name="Прямая соединительная линия 64"/>
                <a:graphic xmlns:a="http://schemas.openxmlformats.org/drawingml/2006/main">
                  <a:graphicData uri="http://schemas.microsoft.com/office/word/2010/wordprocessingShape">
                    <wps:wsp>
                      <wps:cNvSpPr/>
                      <wps:spPr>
                        <a:xfrm>
                          <a:off x="0" y="0"/>
                          <a:ext cx="426600" cy="72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51.7pt,6.25pt" to="285.25pt,6.25pt" ID="Прямая соединительная линия 64" stroked="t" o:allowincell="f" style="position:absolute" wp14:anchorId="44AC3504">
                <v:stroke color="#5b9bd5" weight="6480" joinstyle="miter" endcap="flat"/>
                <v:fill o:detectmouseclick="t" on="false"/>
                <w10:wrap type="none"/>
              </v:line>
            </w:pict>
          </mc:Fallback>
        </mc:AlternateContent>
        <mc:AlternateContent>
          <mc:Choice Requires="wps">
            <w:drawing>
              <wp:anchor behindDoc="0" distT="0" distB="33655" distL="0" distR="30480" simplePos="0" locked="0" layoutInCell="1" allowOverlap="1" relativeHeight="122" wp14:anchorId="38A50AB9">
                <wp:simplePos x="0" y="0"/>
                <wp:positionH relativeFrom="column">
                  <wp:posOffset>3188970</wp:posOffset>
                </wp:positionH>
                <wp:positionV relativeFrom="paragraph">
                  <wp:posOffset>95250</wp:posOffset>
                </wp:positionV>
                <wp:extent cx="7620" cy="1757045"/>
                <wp:effectExtent l="3810" t="0" r="3175" b="635"/>
                <wp:wrapNone/>
                <wp:docPr id="84" name="Прямая соединительная линия 65"/>
                <a:graphic xmlns:a="http://schemas.openxmlformats.org/drawingml/2006/main">
                  <a:graphicData uri="http://schemas.microsoft.com/office/word/2010/wordprocessingShape">
                    <wps:wsp>
                      <wps:cNvSpPr/>
                      <wps:spPr>
                        <a:xfrm flipH="1">
                          <a:off x="0" y="0"/>
                          <a:ext cx="7560" cy="175716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51.1pt,7.5pt" to="251.65pt,145.8pt" ID="Прямая соединительная линия 65" stroked="t" o:allowincell="f" style="position:absolute;flip:x" wp14:anchorId="38A50AB9">
                <v:stroke color="#5b9bd5" weight="6480" joinstyle="miter" endcap="flat"/>
                <v:fill o:detectmouseclick="t" on="false"/>
                <w10:wrap type="none"/>
              </v:line>
            </w:pict>
          </mc:Fallback>
        </mc:AlternateConten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mc:AlternateContent>
          <mc:Choice Requires="wps">
            <w:drawing>
              <wp:anchor behindDoc="0" distT="0" distB="56515" distL="76200" distR="57150" simplePos="0" locked="0" layoutInCell="1" allowOverlap="1" relativeHeight="114" wp14:anchorId="0A667306">
                <wp:simplePos x="0" y="0"/>
                <wp:positionH relativeFrom="column">
                  <wp:posOffset>1413510</wp:posOffset>
                </wp:positionH>
                <wp:positionV relativeFrom="paragraph">
                  <wp:posOffset>106045</wp:posOffset>
                </wp:positionV>
                <wp:extent cx="635" cy="210185"/>
                <wp:effectExtent l="38100" t="1270" r="37465" b="0"/>
                <wp:wrapNone/>
                <wp:docPr id="85" name="Прямая со стрелкой 52"/>
                <a:graphic xmlns:a="http://schemas.openxmlformats.org/drawingml/2006/main">
                  <a:graphicData uri="http://schemas.microsoft.com/office/word/2010/wordprocessingShape">
                    <wps:wsp>
                      <wps:cNvSpPr/>
                      <wps:spPr>
                        <a:xfrm>
                          <a:off x="0" y="0"/>
                          <a:ext cx="720" cy="21024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Прямая со стрелкой 52" path="m0,0l-2147483648,-2147483647e" stroked="t" o:allowincell="f" style="position:absolute;margin-left:111.3pt;margin-top:8.35pt;width:0pt;height:16.5pt;mso-wrap-style:none;v-text-anchor:middle" wp14:anchorId="0A667306" type="_x0000_t32">
                <v:fill o:detectmouseclick="t" on="false"/>
                <v:stroke color="#5b9bd5" weight="6480" endarrow="block" endarrowwidth="medium" endarrowlength="medium" joinstyle="miter" endcap="flat"/>
                <w10:wrap type="none"/>
              </v:shape>
            </w:pict>
          </mc:Fallback>
        </mc:AlternateContent>
        <mc:AlternateContent>
          <mc:Choice Requires="wps">
            <w:drawing>
              <wp:anchor behindDoc="0" distT="0" distB="53340" distL="76200" distR="68580" simplePos="0" locked="0" layoutInCell="1" allowOverlap="1" relativeHeight="115" wp14:anchorId="08D3625E">
                <wp:simplePos x="0" y="0"/>
                <wp:positionH relativeFrom="column">
                  <wp:posOffset>4827270</wp:posOffset>
                </wp:positionH>
                <wp:positionV relativeFrom="paragraph">
                  <wp:posOffset>102870</wp:posOffset>
                </wp:positionV>
                <wp:extent cx="7620" cy="175260"/>
                <wp:effectExtent l="33655" t="635" r="34925" b="635"/>
                <wp:wrapNone/>
                <wp:docPr id="86" name="Прямая со стрелкой 53"/>
                <a:graphic xmlns:a="http://schemas.openxmlformats.org/drawingml/2006/main">
                  <a:graphicData uri="http://schemas.microsoft.com/office/word/2010/wordprocessingShape">
                    <wps:wsp>
                      <wps:cNvSpPr/>
                      <wps:spPr>
                        <a:xfrm>
                          <a:off x="0" y="0"/>
                          <a:ext cx="7560" cy="17532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53" path="m0,0l-2147483648,-2147483647e" stroked="t" o:allowincell="f" style="position:absolute;margin-left:380.1pt;margin-top:8.1pt;width:0.55pt;height:13.75pt;mso-wrap-style:none;v-text-anchor:middle" wp14:anchorId="08D3625E" type="_x0000_t32">
                <v:fill o:detectmouseclick="t" on="false"/>
                <v:stroke color="#5b9bd5" weight="6480" endarrow="block" endarrowwidth="medium" endarrowlength="medium" joinstyle="miter" endcap="flat"/>
                <w10:wrap type="none"/>
              </v:shape>
            </w:pict>
          </mc:Fallback>
        </mc:AlternateConten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mc:AlternateContent>
          <mc:Choice Requires="wps">
            <w:drawing>
              <wp:anchor behindDoc="0" distT="0" distB="23495" distL="0" distR="10795" simplePos="0" locked="0" layoutInCell="1" allowOverlap="1" relativeHeight="96" wp14:anchorId="52FA92B7">
                <wp:simplePos x="0" y="0"/>
                <wp:positionH relativeFrom="column">
                  <wp:posOffset>422910</wp:posOffset>
                </wp:positionH>
                <wp:positionV relativeFrom="paragraph">
                  <wp:posOffset>135255</wp:posOffset>
                </wp:positionV>
                <wp:extent cx="2066290" cy="414655"/>
                <wp:effectExtent l="3175" t="3810" r="3175" b="2540"/>
                <wp:wrapNone/>
                <wp:docPr id="87" name="Надпись 48"/>
                <a:graphic xmlns:a="http://schemas.openxmlformats.org/drawingml/2006/main">
                  <a:graphicData uri="http://schemas.microsoft.com/office/word/2010/wordprocessingShape">
                    <wps:wsp>
                      <wps:cNvSpPr/>
                      <wps:spPr>
                        <a:xfrm>
                          <a:off x="0" y="0"/>
                          <a:ext cx="2066400" cy="4147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Облыстардың әкімдіктері, өңірлік басқармалар</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33.3pt;margin-top:10.65pt;width:162.65pt;height:32.6pt;mso-wrap-style:square;v-text-anchor:top" wp14:anchorId="52FA92B7">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Облыстардың әкімдіктері, өңірлік басқармалар</w:t>
                      </w:r>
                    </w:p>
                  </w:txbxContent>
                </v:textbox>
                <w10:wrap type="none"/>
              </v:rect>
            </w:pict>
          </mc:Fallback>
        </mc:AlternateContent>
        <mc:AlternateContent>
          <mc:Choice Requires="wps">
            <w:drawing>
              <wp:anchor behindDoc="0" distT="0" distB="17145" distL="0" distR="19050" simplePos="0" locked="0" layoutInCell="0" allowOverlap="1" relativeHeight="98" wp14:anchorId="0D776677">
                <wp:simplePos x="0" y="0"/>
                <wp:positionH relativeFrom="margin">
                  <wp:posOffset>3623310</wp:posOffset>
                </wp:positionH>
                <wp:positionV relativeFrom="paragraph">
                  <wp:posOffset>87630</wp:posOffset>
                </wp:positionV>
                <wp:extent cx="2247900" cy="592455"/>
                <wp:effectExtent l="3175" t="3810" r="3175" b="2540"/>
                <wp:wrapNone/>
                <wp:docPr id="88" name="Надпись 48"/>
                <a:graphic xmlns:a="http://schemas.openxmlformats.org/drawingml/2006/main">
                  <a:graphicData uri="http://schemas.microsoft.com/office/word/2010/wordprocessingShape">
                    <wps:wsp>
                      <wps:cNvSpPr/>
                      <wps:spPr>
                        <a:xfrm>
                          <a:off x="0" y="0"/>
                          <a:ext cx="2247840" cy="592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Жетекші өңірлік өнеркәсіптік кәсіпорындар-жер қойнауын пайдаланушылар</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285.3pt;margin-top:6.9pt;width:176.95pt;height:46.6pt;mso-wrap-style:square;v-text-anchor:top;mso-position-horizontal-relative:margin" wp14:anchorId="0D776677">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Жетекші өңірлік өнеркәсіптік кәсіпорындар-жер қойнауын пайдаланушылар</w:t>
                      </w:r>
                    </w:p>
                  </w:txbxContent>
                </v:textbox>
                <w10:wrap type="none"/>
              </v:rect>
            </w:pict>
          </mc:Fallback>
        </mc:AlternateConten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55245" distL="76200" distR="57150" simplePos="0" locked="0" layoutInCell="1" allowOverlap="1" relativeHeight="116" wp14:anchorId="5F482B8A">
                <wp:simplePos x="0" y="0"/>
                <wp:positionH relativeFrom="column">
                  <wp:posOffset>4834890</wp:posOffset>
                </wp:positionH>
                <wp:positionV relativeFrom="paragraph">
                  <wp:posOffset>154305</wp:posOffset>
                </wp:positionV>
                <wp:extent cx="635" cy="116205"/>
                <wp:effectExtent l="38100" t="1270" r="37465" b="0"/>
                <wp:wrapNone/>
                <wp:docPr id="89" name="Прямая со стрелкой 54"/>
                <a:graphic xmlns:a="http://schemas.openxmlformats.org/drawingml/2006/main">
                  <a:graphicData uri="http://schemas.microsoft.com/office/word/2010/wordprocessingShape">
                    <wps:wsp>
                      <wps:cNvSpPr/>
                      <wps:spPr>
                        <a:xfrm>
                          <a:off x="0" y="0"/>
                          <a:ext cx="720" cy="11628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54" path="m0,0l-2147483648,-2147483647e" stroked="t" o:allowincell="f" style="position:absolute;margin-left:380.7pt;margin-top:12.15pt;width:0pt;height:9.1pt;mso-wrap-style:none;v-text-anchor:middle" wp14:anchorId="5F482B8A" type="_x0000_t32">
                <v:fill o:detectmouseclick="t" on="false"/>
                <v:stroke color="#5b9bd5" weight="6480" endarrow="block" endarrowwidth="medium" endarrowlength="medium" joinstyle="miter" endcap="flat"/>
                <w10:wrap type="none"/>
              </v:shape>
            </w:pict>
          </mc:Fallback>
        </mc:AlternateContent>
        <mc:AlternateContent>
          <mc:Choice Requires="wps">
            <w:drawing>
              <wp:anchor behindDoc="0" distT="0" distB="33655" distL="0" distR="38100" simplePos="0" locked="0" layoutInCell="1" allowOverlap="1" relativeHeight="117" wp14:anchorId="06742227">
                <wp:simplePos x="0" y="0"/>
                <wp:positionH relativeFrom="column">
                  <wp:posOffset>429895</wp:posOffset>
                </wp:positionH>
                <wp:positionV relativeFrom="paragraph">
                  <wp:posOffset>22225</wp:posOffset>
                </wp:positionV>
                <wp:extent cx="635" cy="956945"/>
                <wp:effectExtent l="3175" t="635" r="3175" b="0"/>
                <wp:wrapNone/>
                <wp:docPr id="90" name="Прямая соединительная линия 55"/>
                <a:graphic xmlns:a="http://schemas.openxmlformats.org/drawingml/2006/main">
                  <a:graphicData uri="http://schemas.microsoft.com/office/word/2010/wordprocessingShape">
                    <wps:wsp>
                      <wps:cNvSpPr/>
                      <wps:spPr>
                        <a:xfrm>
                          <a:off x="0" y="0"/>
                          <a:ext cx="720" cy="95688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3.85pt,1.75pt" to="33.85pt,77.05pt" ID="Прямая соединительная линия 55" stroked="t" o:allowincell="f" style="position:absolute" wp14:anchorId="06742227">
                <v:stroke color="#5b9bd5" weight="6480" joinstyle="miter" endcap="flat"/>
                <v:fill o:detectmouseclick="t" on="false"/>
                <w10:wrap type="none"/>
              </v:lin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3495" distL="0" distR="10795" simplePos="0" locked="0" layoutInCell="1" allowOverlap="1" relativeHeight="100" wp14:anchorId="56EC3A68">
                <wp:simplePos x="0" y="0"/>
                <wp:positionH relativeFrom="column">
                  <wp:posOffset>571500</wp:posOffset>
                </wp:positionH>
                <wp:positionV relativeFrom="paragraph">
                  <wp:posOffset>45085</wp:posOffset>
                </wp:positionV>
                <wp:extent cx="2066290" cy="414655"/>
                <wp:effectExtent l="3175" t="3810" r="3175" b="2540"/>
                <wp:wrapNone/>
                <wp:docPr id="91" name="Надпись 48"/>
                <a:graphic xmlns:a="http://schemas.openxmlformats.org/drawingml/2006/main">
                  <a:graphicData uri="http://schemas.microsoft.com/office/word/2010/wordprocessingShape">
                    <wps:wsp>
                      <wps:cNvSpPr/>
                      <wps:spPr>
                        <a:xfrm>
                          <a:off x="0" y="0"/>
                          <a:ext cx="2066400" cy="4147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саланы дамыту басымдықтарын әзірлеу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45pt;margin-top:3.55pt;width:162.65pt;height:32.6pt;mso-wrap-style:square;v-text-anchor:top" wp14:anchorId="56EC3A68">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саланы дамыту басымдықтарын әзірлеу</w:t>
                      </w:r>
                    </w:p>
                  </w:txbxContent>
                </v:textbox>
                <w10:wrap type="none"/>
              </v:rect>
            </w:pict>
          </mc:Fallback>
        </mc:AlternateContent>
        <mc:AlternateContent>
          <mc:Choice Requires="wps">
            <w:drawing>
              <wp:anchor behindDoc="0" distT="0" distB="11430" distL="0" distR="22860" simplePos="0" locked="0" layoutInCell="1" allowOverlap="1" relativeHeight="104" wp14:anchorId="2178FA97">
                <wp:simplePos x="0" y="0"/>
                <wp:positionH relativeFrom="column">
                  <wp:posOffset>3638550</wp:posOffset>
                </wp:positionH>
                <wp:positionV relativeFrom="paragraph">
                  <wp:posOffset>80010</wp:posOffset>
                </wp:positionV>
                <wp:extent cx="2225040" cy="464820"/>
                <wp:effectExtent l="3175" t="3175" r="3175" b="3175"/>
                <wp:wrapNone/>
                <wp:docPr id="92" name="Надпись 48"/>
                <a:graphic xmlns:a="http://schemas.openxmlformats.org/drawingml/2006/main">
                  <a:graphicData uri="http://schemas.microsoft.com/office/word/2010/wordprocessingShape">
                    <wps:wsp>
                      <wps:cNvSpPr/>
                      <wps:spPr>
                        <a:xfrm>
                          <a:off x="0" y="0"/>
                          <a:ext cx="2225160" cy="464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Өнеркәсіптік кәсіпорындардың пайдасын қалыптастыру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286.5pt;margin-top:6.3pt;width:175.15pt;height:36.55pt;mso-wrap-style:square;v-text-anchor:top" wp14:anchorId="2178FA97">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Өнеркәсіптік кәсіпорындардың пайдасын қалыптастыру</w:t>
                      </w:r>
                    </w:p>
                  </w:txbxContent>
                </v:textbox>
                <w10:wrap type="none"/>
              </v:rect>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76200" distB="87630" distL="0" distR="34290" simplePos="0" locked="0" layoutInCell="1" allowOverlap="1" relativeHeight="118" wp14:anchorId="1CDC18CB">
                <wp:simplePos x="0" y="0"/>
                <wp:positionH relativeFrom="column">
                  <wp:posOffset>430530</wp:posOffset>
                </wp:positionH>
                <wp:positionV relativeFrom="paragraph">
                  <wp:posOffset>26670</wp:posOffset>
                </wp:positionV>
                <wp:extent cx="137160" cy="7620"/>
                <wp:effectExtent l="635" t="34290" r="635" b="34290"/>
                <wp:wrapNone/>
                <wp:docPr id="93" name="Прямая со стрелкой 56"/>
                <a:graphic xmlns:a="http://schemas.openxmlformats.org/drawingml/2006/main">
                  <a:graphicData uri="http://schemas.microsoft.com/office/word/2010/wordprocessingShape">
                    <wps:wsp>
                      <wps:cNvSpPr/>
                      <wps:spPr>
                        <a:xfrm>
                          <a:off x="0" y="0"/>
                          <a:ext cx="137160" cy="756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56" path="m0,0l-2147483648,-2147483647e" stroked="t" o:allowincell="f" style="position:absolute;margin-left:33.9pt;margin-top:2.1pt;width:10.75pt;height:0.55pt;mso-wrap-style:none;v-text-anchor:middle" wp14:anchorId="1CDC18CB" type="_x0000_t32">
                <v:fill o:detectmouseclick="t" on="false"/>
                <v:stroke color="#5b9bd5" weight="6480" endarrow="block" endarrowwidth="medium" endarrowlength="medium" joinstyle="miter" endcap="flat"/>
                <w10:wrap type="none"/>
              </v:shap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2860" distL="0" distR="26035" simplePos="0" locked="0" layoutInCell="1" allowOverlap="1" relativeHeight="102" wp14:anchorId="712ADCFE">
                <wp:simplePos x="0" y="0"/>
                <wp:positionH relativeFrom="column">
                  <wp:posOffset>544830</wp:posOffset>
                </wp:positionH>
                <wp:positionV relativeFrom="paragraph">
                  <wp:posOffset>34290</wp:posOffset>
                </wp:positionV>
                <wp:extent cx="2088515" cy="624840"/>
                <wp:effectExtent l="3810" t="3175" r="2540" b="3175"/>
                <wp:wrapNone/>
                <wp:docPr id="94" name="Надпись 48"/>
                <a:graphic xmlns:a="http://schemas.openxmlformats.org/drawingml/2006/main">
                  <a:graphicData uri="http://schemas.microsoft.com/office/word/2010/wordprocessingShape">
                    <wps:wsp>
                      <wps:cNvSpPr/>
                      <wps:spPr>
                        <a:xfrm>
                          <a:off x="0" y="0"/>
                          <a:ext cx="2088360" cy="6249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Жер қойнауын пайдалану, табиғи ресурстарды пайдалану саласындағы саясатты әзірлеу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42.9pt;margin-top:2.7pt;width:164.4pt;height:49.15pt;mso-wrap-style:square;v-text-anchor:top" wp14:anchorId="712ADCFE">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Жер қойнауын пайдалану, табиғи ресурстарды пайдалану саласындағы саясатты әзірлеу</w:t>
                      </w:r>
                    </w:p>
                  </w:txbxContent>
                </v:textbox>
                <w10:wrap type="none"/>
              </v:rect>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2860" distL="0" distR="15240" simplePos="0" locked="0" layoutInCell="1" allowOverlap="1" relativeHeight="106" wp14:anchorId="2A68EFA3">
                <wp:simplePos x="0" y="0"/>
                <wp:positionH relativeFrom="column">
                  <wp:posOffset>3653790</wp:posOffset>
                </wp:positionH>
                <wp:positionV relativeFrom="paragraph">
                  <wp:posOffset>3810</wp:posOffset>
                </wp:positionV>
                <wp:extent cx="2423160" cy="586740"/>
                <wp:effectExtent l="3175" t="3175" r="3175" b="3175"/>
                <wp:wrapNone/>
                <wp:docPr id="95" name="Надпись 48"/>
                <a:graphic xmlns:a="http://schemas.openxmlformats.org/drawingml/2006/main">
                  <a:graphicData uri="http://schemas.microsoft.com/office/word/2010/wordprocessingShape">
                    <wps:wsp>
                      <wps:cNvSpPr/>
                      <wps:spPr>
                        <a:xfrm>
                          <a:off x="0" y="0"/>
                          <a:ext cx="2423160" cy="586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саланы дамыту бойынша мемлекеттік-жекешелік әріптестік саласындағы саясатты келісу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287.7pt;margin-top:0.3pt;width:190.75pt;height:46.15pt;mso-wrap-style:square;v-text-anchor:top" wp14:anchorId="2A68EFA3">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саланы дамыту бойынша мемлекеттік-жекешелік әріптестік саласындағы саясатты келісу</w:t>
                      </w:r>
                    </w:p>
                  </w:txbxContent>
                </v:textbox>
                <w10:wrap type="none"/>
              </v:rect>
            </w:pict>
          </mc:Fallback>
        </mc:AlternateContent>
        <mc:AlternateContent>
          <mc:Choice Requires="wps">
            <w:drawing>
              <wp:anchor behindDoc="0" distT="76200" distB="95250" distL="0" distR="26670" simplePos="0" locked="0" layoutInCell="1" allowOverlap="1" relativeHeight="119" wp14:anchorId="1DB5CB95">
                <wp:simplePos x="0" y="0"/>
                <wp:positionH relativeFrom="column">
                  <wp:posOffset>430530</wp:posOffset>
                </wp:positionH>
                <wp:positionV relativeFrom="paragraph">
                  <wp:posOffset>99695</wp:posOffset>
                </wp:positionV>
                <wp:extent cx="144780" cy="635"/>
                <wp:effectExtent l="635" t="38100" r="635" b="37465"/>
                <wp:wrapNone/>
                <wp:docPr id="96" name="Прямая со стрелкой 58"/>
                <a:graphic xmlns:a="http://schemas.openxmlformats.org/drawingml/2006/main">
                  <a:graphicData uri="http://schemas.microsoft.com/office/word/2010/wordprocessingShape">
                    <wps:wsp>
                      <wps:cNvSpPr/>
                      <wps:spPr>
                        <a:xfrm>
                          <a:off x="0" y="0"/>
                          <a:ext cx="144720" cy="72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58" path="m0,0l-2147483648,-2147483647e" stroked="t" o:allowincell="f" style="position:absolute;margin-left:33.9pt;margin-top:7.85pt;width:11.35pt;height:0pt;mso-wrap-style:none;v-text-anchor:middle" wp14:anchorId="1DB5CB95" type="_x0000_t32">
                <v:fill o:detectmouseclick="t" on="false"/>
                <v:stroke color="#5b9bd5" weight="6480" endarrow="block" endarrowwidth="medium" endarrowlength="medium" joinstyle="miter" endcap="flat"/>
                <w10:wrap type="none"/>
              </v:shape>
            </w:pict>
          </mc:Fallback>
        </mc:AlternateContent>
        <mc:AlternateContent>
          <mc:Choice Requires="wps">
            <w:drawing>
              <wp:anchor behindDoc="0" distT="76200" distB="92075" distL="0" distR="26670" simplePos="0" locked="0" layoutInCell="1" allowOverlap="1" relativeHeight="123" wp14:anchorId="348BE127">
                <wp:simplePos x="0" y="0"/>
                <wp:positionH relativeFrom="column">
                  <wp:posOffset>3196590</wp:posOffset>
                </wp:positionH>
                <wp:positionV relativeFrom="paragraph">
                  <wp:posOffset>99695</wp:posOffset>
                </wp:positionV>
                <wp:extent cx="487680" cy="3175"/>
                <wp:effectExtent l="635" t="35560" r="635" b="37465"/>
                <wp:wrapNone/>
                <wp:docPr id="97" name="Прямая со стрелкой 66"/>
                <a:graphic xmlns:a="http://schemas.openxmlformats.org/drawingml/2006/main">
                  <a:graphicData uri="http://schemas.microsoft.com/office/word/2010/wordprocessingShape">
                    <wps:wsp>
                      <wps:cNvSpPr/>
                      <wps:spPr>
                        <a:xfrm>
                          <a:off x="0" y="0"/>
                          <a:ext cx="487800" cy="324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66" path="m0,0l-2147483648,-2147483647e" stroked="t" o:allowincell="f" style="position:absolute;margin-left:251.7pt;margin-top:7.85pt;width:38.35pt;height:0.2pt;mso-wrap-style:none;v-text-anchor:middle" wp14:anchorId="348BE127" type="_x0000_t32">
                <v:fill o:detectmouseclick="t" on="false"/>
                <v:stroke color="#5b9bd5" weight="6480" endarrow="block" endarrowwidth="medium" endarrowlength="medium" joinstyle="miter" endcap="flat"/>
                <w10:wrap type="none"/>
              </v:shap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76200" distB="95250" distL="0" distR="27305" simplePos="0" locked="0" layoutInCell="1" allowOverlap="1" relativeHeight="120" wp14:anchorId="127F44DA">
                <wp:simplePos x="0" y="0"/>
                <wp:positionH relativeFrom="column">
                  <wp:posOffset>2633345</wp:posOffset>
                </wp:positionH>
                <wp:positionV relativeFrom="paragraph">
                  <wp:posOffset>125730</wp:posOffset>
                </wp:positionV>
                <wp:extent cx="1020445" cy="635"/>
                <wp:effectExtent l="1270" t="37465" r="0" b="38100"/>
                <wp:wrapNone/>
                <wp:docPr id="98" name="Прямая со стрелкой 59"/>
                <a:graphic xmlns:a="http://schemas.openxmlformats.org/drawingml/2006/main">
                  <a:graphicData uri="http://schemas.microsoft.com/office/word/2010/wordprocessingShape">
                    <wps:wsp>
                      <wps:cNvSpPr/>
                      <wps:spPr>
                        <a:xfrm>
                          <a:off x="0" y="0"/>
                          <a:ext cx="1020600" cy="72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59" path="m0,0l-2147483648,-2147483647e" stroked="t" o:allowincell="f" style="position:absolute;margin-left:207.35pt;margin-top:9.9pt;width:80.3pt;height:0pt;mso-wrap-style:none;v-text-anchor:middle" wp14:anchorId="127F44DA" type="_x0000_t32">
                <v:fill o:detectmouseclick="t" on="false"/>
                <v:stroke color="#5b9bd5" weight="6480" endarrow="block" endarrowwidth="medium" endarrowlength="medium" joinstyle="miter" endcap="flat"/>
                <w10:wrap type="none"/>
              </v:shap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30480" distL="0" distR="15240" simplePos="0" locked="0" layoutInCell="1" allowOverlap="1" relativeHeight="127" wp14:anchorId="6F5F8F03">
                <wp:simplePos x="0" y="0"/>
                <wp:positionH relativeFrom="column">
                  <wp:posOffset>1893570</wp:posOffset>
                </wp:positionH>
                <wp:positionV relativeFrom="paragraph">
                  <wp:posOffset>171450</wp:posOffset>
                </wp:positionV>
                <wp:extent cx="1775460" cy="7620"/>
                <wp:effectExtent l="0" t="3810" r="0" b="3175"/>
                <wp:wrapNone/>
                <wp:docPr id="99" name="Прямая соединительная линия 71"/>
                <a:graphic xmlns:a="http://schemas.openxmlformats.org/drawingml/2006/main">
                  <a:graphicData uri="http://schemas.microsoft.com/office/word/2010/wordprocessingShape">
                    <wps:wsp>
                      <wps:cNvSpPr/>
                      <wps:spPr>
                        <a:xfrm flipH="1">
                          <a:off x="0" y="0"/>
                          <a:ext cx="1775520" cy="756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49.1pt,13.5pt" to="288.85pt,14.05pt" ID="Прямая соединительная линия 71" stroked="t" o:allowincell="f" style="position:absolute;flip:x" wp14:anchorId="6F5F8F03">
                <v:stroke color="#5b9bd5" weight="6480" joinstyle="miter" endcap="flat"/>
                <v:fill o:detectmouseclick="t" on="false"/>
                <w10:wrap type="none"/>
              </v:lin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53340" distL="76200" distR="68580" simplePos="0" locked="0" layoutInCell="1" allowOverlap="1" relativeHeight="124" wp14:anchorId="2FDDA649">
                <wp:simplePos x="0" y="0"/>
                <wp:positionH relativeFrom="column">
                  <wp:posOffset>4834890</wp:posOffset>
                </wp:positionH>
                <wp:positionV relativeFrom="paragraph">
                  <wp:posOffset>87630</wp:posOffset>
                </wp:positionV>
                <wp:extent cx="7620" cy="137160"/>
                <wp:effectExtent l="34290" t="635" r="34290" b="635"/>
                <wp:wrapNone/>
                <wp:docPr id="100" name="Прямая со стрелкой 67"/>
                <a:graphic xmlns:a="http://schemas.openxmlformats.org/drawingml/2006/main">
                  <a:graphicData uri="http://schemas.microsoft.com/office/word/2010/wordprocessingShape">
                    <wps:wsp>
                      <wps:cNvSpPr/>
                      <wps:spPr>
                        <a:xfrm>
                          <a:off x="0" y="0"/>
                          <a:ext cx="7560" cy="13716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67" path="m0,0l-2147483648,-2147483647e" stroked="t" o:allowincell="f" style="position:absolute;margin-left:380.7pt;margin-top:6.9pt;width:0.55pt;height:10.75pt;mso-wrap-style:none;v-text-anchor:middle" wp14:anchorId="2FDDA649" type="_x0000_t32">
                <v:fill o:detectmouseclick="t" on="false"/>
                <v:stroke color="#5b9bd5" weight="6480" endarrow="block" endarrowwidth="medium" endarrowlength="medium" joinstyle="miter" endcap="flat"/>
                <w10:wrap type="none"/>
              </v:shape>
            </w:pict>
          </mc:Fallback>
        </mc:AlternateContent>
        <mc:AlternateContent>
          <mc:Choice Requires="wps">
            <w:drawing>
              <wp:anchor behindDoc="0" distT="0" distB="49530" distL="76200" distR="68580" simplePos="0" locked="0" layoutInCell="1" allowOverlap="1" relativeHeight="128" wp14:anchorId="1E2B570C">
                <wp:simplePos x="0" y="0"/>
                <wp:positionH relativeFrom="column">
                  <wp:posOffset>1901190</wp:posOffset>
                </wp:positionH>
                <wp:positionV relativeFrom="paragraph">
                  <wp:posOffset>19050</wp:posOffset>
                </wp:positionV>
                <wp:extent cx="7620" cy="198120"/>
                <wp:effectExtent l="33020" t="635" r="35560" b="635"/>
                <wp:wrapNone/>
                <wp:docPr id="101" name="Прямая со стрелкой 74"/>
                <a:graphic xmlns:a="http://schemas.openxmlformats.org/drawingml/2006/main">
                  <a:graphicData uri="http://schemas.microsoft.com/office/word/2010/wordprocessingShape">
                    <wps:wsp>
                      <wps:cNvSpPr/>
                      <wps:spPr>
                        <a:xfrm>
                          <a:off x="0" y="0"/>
                          <a:ext cx="7560" cy="19800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74" path="m0,0l-2147483648,-2147483647e" stroked="t" o:allowincell="f" style="position:absolute;margin-left:149.7pt;margin-top:1.5pt;width:0.55pt;height:15.55pt;mso-wrap-style:none;v-text-anchor:middle" wp14:anchorId="1E2B570C" type="_x0000_t32">
                <v:fill o:detectmouseclick="t" on="false"/>
                <v:stroke color="#5b9bd5" weight="6480" endarrow="block" endarrowwidth="medium" endarrowlength="medium" joinstyle="miter" endcap="flat"/>
                <w10:wrap type="none"/>
              </v:shap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2860" distL="0" distR="19050" simplePos="0" locked="0" layoutInCell="1" allowOverlap="1" relativeHeight="108" wp14:anchorId="09FD7961">
                <wp:simplePos x="0" y="0"/>
                <wp:positionH relativeFrom="column">
                  <wp:posOffset>400050</wp:posOffset>
                </wp:positionH>
                <wp:positionV relativeFrom="paragraph">
                  <wp:posOffset>41910</wp:posOffset>
                </wp:positionV>
                <wp:extent cx="2324100" cy="624840"/>
                <wp:effectExtent l="3175" t="3175" r="3175" b="3175"/>
                <wp:wrapNone/>
                <wp:docPr id="102" name="Надпись 48"/>
                <a:graphic xmlns:a="http://schemas.openxmlformats.org/drawingml/2006/main">
                  <a:graphicData uri="http://schemas.microsoft.com/office/word/2010/wordprocessingShape">
                    <wps:wsp>
                      <wps:cNvSpPr/>
                      <wps:spPr>
                        <a:xfrm>
                          <a:off x="0" y="0"/>
                          <a:ext cx="2324160" cy="6249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саланы қаржыландыру бойынша квоталарды келісу, меморандумдар жасасу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31.5pt;margin-top:3.3pt;width:182.95pt;height:49.15pt;mso-wrap-style:square;v-text-anchor:top" wp14:anchorId="09FD7961">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саланы қаржыландыру бойынша квоталарды келісу, меморандумдар жасасу</w:t>
                      </w:r>
                    </w:p>
                  </w:txbxContent>
                </v:textbox>
                <w10:wrap type="none"/>
              </v:rect>
            </w:pict>
          </mc:Fallback>
        </mc:AlternateContent>
        <mc:AlternateContent>
          <mc:Choice Requires="wps">
            <w:drawing>
              <wp:anchor behindDoc="0" distT="0" distB="22860" distL="0" distR="19050" simplePos="0" locked="0" layoutInCell="1" allowOverlap="1" relativeHeight="110" wp14:anchorId="3F11D961">
                <wp:simplePos x="0" y="0"/>
                <wp:positionH relativeFrom="column">
                  <wp:posOffset>3672840</wp:posOffset>
                </wp:positionH>
                <wp:positionV relativeFrom="paragraph">
                  <wp:posOffset>37465</wp:posOffset>
                </wp:positionV>
                <wp:extent cx="2324100" cy="624840"/>
                <wp:effectExtent l="3175" t="3175" r="3175" b="3175"/>
                <wp:wrapNone/>
                <wp:docPr id="103" name="Надпись 48"/>
                <a:graphic xmlns:a="http://schemas.openxmlformats.org/drawingml/2006/main">
                  <a:graphicData uri="http://schemas.microsoft.com/office/word/2010/wordprocessingShape">
                    <wps:wsp>
                      <wps:cNvSpPr/>
                      <wps:spPr>
                        <a:xfrm>
                          <a:off x="0" y="0"/>
                          <a:ext cx="2324160" cy="6249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инфрақұрылым объектілеріне басым бағыттар бойынша инвестициялар салу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289.2pt;margin-top:2.95pt;width:182.95pt;height:49.15pt;mso-wrap-style:square;v-text-anchor:top" wp14:anchorId="3F11D961">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Әлеуметтік инфрақұрылым объектілеріне басым бағыттар бойынша инвестициялар салу</w:t>
                      </w:r>
                    </w:p>
                  </w:txbxContent>
                </v:textbox>
                <w10:wrap type="none"/>
              </v:rect>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76200" distB="87630" distL="0" distR="19050" simplePos="0" locked="0" layoutInCell="1" allowOverlap="1" relativeHeight="125" wp14:anchorId="1CCDB5DF">
                <wp:simplePos x="0" y="0"/>
                <wp:positionH relativeFrom="column">
                  <wp:posOffset>2708275</wp:posOffset>
                </wp:positionH>
                <wp:positionV relativeFrom="paragraph">
                  <wp:posOffset>139700</wp:posOffset>
                </wp:positionV>
                <wp:extent cx="952500" cy="7620"/>
                <wp:effectExtent l="635" t="38100" r="635" b="30480"/>
                <wp:wrapNone/>
                <wp:docPr id="104" name="Прямая со стрелкой 68"/>
                <a:graphic xmlns:a="http://schemas.openxmlformats.org/drawingml/2006/main">
                  <a:graphicData uri="http://schemas.microsoft.com/office/word/2010/wordprocessingShape">
                    <wps:wsp>
                      <wps:cNvSpPr/>
                      <wps:spPr>
                        <a:xfrm flipV="1">
                          <a:off x="0" y="0"/>
                          <a:ext cx="952560" cy="756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68" path="m0,0l-2147483648,-2147483647e" stroked="t" o:allowincell="f" style="position:absolute;margin-left:213.25pt;margin-top:11pt;width:74.95pt;height:0.55pt;flip:y;mso-wrap-style:none;v-text-anchor:middle" wp14:anchorId="1CCDB5DF" type="_x0000_t32">
                <v:fill o:detectmouseclick="t" on="false"/>
                <v:stroke color="#5b9bd5" weight="6480" endarrow="block" endarrowwidth="medium" endarrowlength="medium" joinstyle="miter" endcap="flat"/>
                <w10:wrap type="none"/>
              </v:shap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57150" distL="38100" distR="68580" simplePos="0" locked="0" layoutInCell="1" allowOverlap="1" relativeHeight="126" wp14:anchorId="5EAB9FB6">
                <wp:simplePos x="0" y="0"/>
                <wp:positionH relativeFrom="column">
                  <wp:posOffset>3981450</wp:posOffset>
                </wp:positionH>
                <wp:positionV relativeFrom="paragraph">
                  <wp:posOffset>140970</wp:posOffset>
                </wp:positionV>
                <wp:extent cx="7620" cy="304800"/>
                <wp:effectExtent l="31750" t="635" r="36830" b="635"/>
                <wp:wrapNone/>
                <wp:docPr id="105" name="Прямая со стрелкой 70"/>
                <a:graphic xmlns:a="http://schemas.openxmlformats.org/drawingml/2006/main">
                  <a:graphicData uri="http://schemas.microsoft.com/office/word/2010/wordprocessingShape">
                    <wps:wsp>
                      <wps:cNvSpPr/>
                      <wps:spPr>
                        <a:xfrm>
                          <a:off x="0" y="0"/>
                          <a:ext cx="7560" cy="304920"/>
                        </a:xfrm>
                        <a:prstGeom prst="straightConnector1">
                          <a:avLst/>
                        </a:prstGeom>
                        <a:noFill/>
                        <a:ln>
                          <a:solidFill>
                            <a:srgbClr val="5b9bd5"/>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Прямая со стрелкой 70" path="m0,0l-2147483648,-2147483647e" stroked="t" o:allowincell="f" style="position:absolute;margin-left:313.5pt;margin-top:11.1pt;width:0.55pt;height:23.95pt;mso-wrap-style:none;v-text-anchor:middle" wp14:anchorId="5EAB9FB6" type="_x0000_t32">
                <v:fill o:detectmouseclick="t" on="false"/>
                <v:stroke color="#5b9bd5" weight="6480" endarrow="block" endarrowwidth="medium" endarrowlength="medium" joinstyle="miter" endcap="flat"/>
                <w10:wrap type="none"/>
              </v:shape>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mc:AlternateContent>
          <mc:Choice Requires="wps">
            <w:drawing>
              <wp:anchor behindDoc="0" distT="0" distB="23495" distL="0" distR="15240" simplePos="0" locked="0" layoutInCell="0" allowOverlap="1" relativeHeight="112" wp14:anchorId="1C2D6CE1">
                <wp:simplePos x="0" y="0"/>
                <wp:positionH relativeFrom="margin">
                  <wp:posOffset>1878330</wp:posOffset>
                </wp:positionH>
                <wp:positionV relativeFrom="paragraph">
                  <wp:posOffset>95250</wp:posOffset>
                </wp:positionV>
                <wp:extent cx="2499360" cy="414655"/>
                <wp:effectExtent l="3175" t="3810" r="3175" b="2540"/>
                <wp:wrapNone/>
                <wp:docPr id="106" name="Надпись 48"/>
                <a:graphic xmlns:a="http://schemas.openxmlformats.org/drawingml/2006/main">
                  <a:graphicData uri="http://schemas.microsoft.com/office/word/2010/wordprocessingShape">
                    <wps:wsp>
                      <wps:cNvSpPr/>
                      <wps:spPr>
                        <a:xfrm>
                          <a:off x="0" y="0"/>
                          <a:ext cx="2499480" cy="4147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Өңірлік экономикалық жүйелердің әлеуметтік саласын дамыту</w:t>
                            </w:r>
                          </w:p>
                        </w:txbxContent>
                      </wps:txbx>
                      <wps:bodyPr anchor="t">
                        <a:prstTxWarp prst="textNoShape"/>
                        <a:noAutofit/>
                      </wps:bodyPr>
                    </wps:wsp>
                  </a:graphicData>
                </a:graphic>
              </wp:anchor>
            </w:drawing>
          </mc:Choice>
          <mc:Fallback>
            <w:pict>
              <v:rect id="shape_0" ID="Надпись 48" path="m0,0l-2147483645,0l-2147483645,-2147483646l0,-2147483646xe" fillcolor="white" stroked="t" o:allowincell="f" style="position:absolute;margin-left:147.9pt;margin-top:7.5pt;width:196.75pt;height:32.6pt;mso-wrap-style:square;v-text-anchor:top;mso-position-horizontal-relative:margin" wp14:anchorId="1C2D6CE1">
                <v:fill o:detectmouseclick="t" type="solid" color2="black"/>
                <v:stroke color="black" weight="6480" joinstyle="round" endcap="flat"/>
                <v:textbox>
                  <w:txbxContent>
                    <w:p>
                      <w:pPr>
                        <w:pStyle w:val="FrameContents"/>
                        <w:spacing w:lineRule="auto" w:line="240" w:before="0" w:after="0"/>
                        <w:rPr>
                          <w:rFonts w:ascii="Times New Roman" w:hAnsi="Times New Roman" w:cs="Times New Roman"/>
                        </w:rPr>
                      </w:pPr>
                      <w:r>
                        <w:rPr>
                          <w:rFonts w:cs="Times New Roman" w:ascii="Times New Roman" w:hAnsi="Times New Roman"/>
                          <w:position w:val="2"/>
                        </w:rPr>
                        <w:t>Өңірлік экономикалық жүйелердің әлеуметтік саласын дамыту</w:t>
                      </w:r>
                    </w:p>
                  </w:txbxContent>
                </v:textbox>
                <w10:wrap type="none"/>
              </v:rect>
            </w:pict>
          </mc:Fallback>
        </mc:AlternateContent>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tabs>
          <w:tab w:val="clear" w:pos="708"/>
          <w:tab w:val="left" w:pos="1572" w:leader="none"/>
        </w:tabs>
        <w:spacing w:lineRule="auto" w:line="240" w:before="0" w:after="0"/>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tabs>
          <w:tab w:val="clear" w:pos="708"/>
          <w:tab w:val="left" w:pos="1572" w:leader="none"/>
        </w:tabs>
        <w:spacing w:lineRule="auto" w:line="240" w:before="0" w:after="0"/>
        <w:jc w:val="center"/>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tabs>
          <w:tab w:val="clear" w:pos="708"/>
          <w:tab w:val="left" w:pos="1572" w:leader="none"/>
        </w:tabs>
        <w:spacing w:lineRule="auto" w:line="240" w:before="0" w:after="0"/>
        <w:jc w:val="center"/>
        <w:rPr>
          <w:rFonts w:ascii="Times New Roman" w:hAnsi="Times New Roman" w:cs="Times New Roman"/>
          <w:b/>
          <w:sz w:val="20"/>
          <w:szCs w:val="20"/>
          <w:lang w:val="kk-KZ"/>
        </w:rPr>
      </w:pPr>
      <w:r>
        <w:rPr>
          <w:rFonts w:cs="Times New Roman" w:ascii="Times New Roman" w:hAnsi="Times New Roman"/>
          <w:b/>
          <w:sz w:val="20"/>
          <w:szCs w:val="20"/>
          <w:lang w:val="kk-KZ"/>
        </w:rPr>
        <w:t xml:space="preserve">3-сурет. </w:t>
      </w:r>
      <w:r>
        <w:rPr>
          <w:rFonts w:eastAsia="Times New Roman" w:cs="Times New Roman" w:ascii="Times New Roman" w:hAnsi="Times New Roman"/>
          <w:b/>
          <w:sz w:val="20"/>
          <w:szCs w:val="20"/>
          <w:lang w:val="kk-KZ" w:eastAsia="ru-RU"/>
        </w:rPr>
        <w:t xml:space="preserve"> </w:t>
      </w:r>
      <w:r>
        <w:rPr>
          <w:rFonts w:cs="Times New Roman" w:ascii="Times New Roman" w:hAnsi="Times New Roman"/>
          <w:b/>
          <w:sz w:val="20"/>
          <w:szCs w:val="20"/>
          <w:lang w:val="kk-KZ"/>
        </w:rPr>
        <w:t xml:space="preserve">Өңірлік экономикалық жүйелер тәжірибесінде қолданылатын жер қойнауын </w:t>
      </w:r>
    </w:p>
    <w:p>
      <w:pPr>
        <w:pStyle w:val="Normal"/>
        <w:tabs>
          <w:tab w:val="clear" w:pos="708"/>
          <w:tab w:val="left" w:pos="1572" w:leader="none"/>
        </w:tabs>
        <w:spacing w:lineRule="auto" w:line="240" w:before="0" w:after="0"/>
        <w:jc w:val="center"/>
        <w:rPr>
          <w:rFonts w:ascii="Times New Roman" w:hAnsi="Times New Roman" w:cs="Times New Roman"/>
          <w:b/>
          <w:sz w:val="20"/>
          <w:szCs w:val="20"/>
          <w:lang w:val="kk-KZ"/>
        </w:rPr>
      </w:pPr>
      <w:r>
        <w:rPr>
          <w:rFonts w:cs="Times New Roman" w:ascii="Times New Roman" w:hAnsi="Times New Roman"/>
          <w:b/>
          <w:sz w:val="20"/>
          <w:szCs w:val="20"/>
          <w:lang w:val="kk-KZ"/>
        </w:rPr>
        <w:t xml:space="preserve">пайдаланушы өнеркәсіп кәсіпорындарының әлеуметтік жауапкершілігінің </w:t>
      </w:r>
    </w:p>
    <w:p>
      <w:pPr>
        <w:pStyle w:val="Normal"/>
        <w:tabs>
          <w:tab w:val="clear" w:pos="708"/>
          <w:tab w:val="left" w:pos="1572" w:leader="none"/>
        </w:tabs>
        <w:spacing w:lineRule="auto" w:line="240" w:before="0" w:after="0"/>
        <w:jc w:val="center"/>
        <w:rPr>
          <w:rFonts w:ascii="Times New Roman" w:hAnsi="Times New Roman" w:cs="Times New Roman"/>
          <w:b/>
          <w:sz w:val="20"/>
          <w:szCs w:val="20"/>
          <w:lang w:val="kk-KZ"/>
        </w:rPr>
      </w:pPr>
      <w:r>
        <w:rPr>
          <w:rFonts w:cs="Times New Roman" w:ascii="Times New Roman" w:hAnsi="Times New Roman"/>
          <w:b/>
          <w:sz w:val="20"/>
          <w:szCs w:val="20"/>
          <w:lang w:val="kk-KZ"/>
        </w:rPr>
        <w:t>ұйымдастырушылық-экономикалық тетігі</w:t>
      </w:r>
    </w:p>
    <w:p>
      <w:pPr>
        <w:pStyle w:val="Normal"/>
        <w:tabs>
          <w:tab w:val="clear" w:pos="708"/>
          <w:tab w:val="left" w:pos="1572" w:leader="none"/>
        </w:tabs>
        <w:spacing w:lineRule="auto" w:line="240" w:before="0" w:after="0"/>
        <w:ind w:firstLine="567"/>
        <w:rPr>
          <w:rFonts w:ascii="Times New Roman" w:hAnsi="Times New Roman" w:cs="Times New Roman"/>
          <w:i/>
          <w:i/>
          <w:iCs/>
          <w:color w:val="231F20"/>
          <w:lang w:val="kk-KZ"/>
        </w:rPr>
      </w:pPr>
      <w:r>
        <w:rPr>
          <w:rFonts w:cs="Times New Roman" w:ascii="Times New Roman" w:hAnsi="Times New Roman"/>
          <w:i/>
          <w:iCs/>
          <w:color w:val="231F20"/>
          <w:lang w:val="kk-KZ"/>
        </w:rPr>
        <w:t>Ескерту - авторлар құрастырған</w:t>
      </w:r>
    </w:p>
    <w:p>
      <w:pPr>
        <w:pStyle w:val="Normal"/>
        <w:tabs>
          <w:tab w:val="clear" w:pos="708"/>
          <w:tab w:val="left" w:pos="1572" w:leader="none"/>
        </w:tabs>
        <w:spacing w:lineRule="auto" w:line="240" w:before="0" w:after="0"/>
        <w:ind w:firstLine="567"/>
        <w:rPr>
          <w:rFonts w:ascii="Times New Roman" w:hAnsi="Times New Roman" w:cs="Times New Roman"/>
          <w:i/>
          <w:i/>
          <w:iCs/>
          <w:color w:val="231F20"/>
          <w:lang w:val="kk-KZ"/>
        </w:rPr>
      </w:pPr>
      <w:r>
        <w:rPr>
          <w:rFonts w:cs="Times New Roman" w:ascii="Times New Roman" w:hAnsi="Times New Roman"/>
          <w:i/>
          <w:iCs/>
          <w:color w:val="231F20"/>
          <w:lang w:val="kk-KZ"/>
        </w:rPr>
      </w:r>
    </w:p>
    <w:p>
      <w:pPr>
        <w:pStyle w:val="BodyText"/>
        <w:ind w:firstLine="453" w:left="142" w:right="38"/>
        <w:jc w:val="both"/>
        <w:rPr>
          <w:color w:val="231F20"/>
          <w:sz w:val="24"/>
          <w:szCs w:val="24"/>
          <w:lang w:val="kk-KZ"/>
        </w:rPr>
      </w:pPr>
      <w:r>
        <w:rPr>
          <w:color w:val="231F20"/>
          <w:sz w:val="24"/>
          <w:szCs w:val="24"/>
          <w:lang w:val="kk-KZ"/>
        </w:rPr>
        <w:t>2022-2024 жылдардағы әлеуметтік жобаларды іске асыруға ірі өнеркәсіптік кәсіпорындар тарапынан инвестициялардың серпіні 4-суретте келтірілген.</w:t>
      </w:r>
    </w:p>
    <w:p>
      <w:pPr>
        <w:pStyle w:val="BodyText"/>
        <w:ind w:firstLine="453" w:left="142" w:right="38"/>
        <w:jc w:val="both"/>
        <w:rPr>
          <w:color w:val="231F20"/>
          <w:sz w:val="24"/>
          <w:szCs w:val="24"/>
          <w:lang w:val="kk-KZ"/>
        </w:rPr>
      </w:pPr>
      <w:r>
        <w:rPr>
          <w:color w:val="231F20"/>
          <w:sz w:val="24"/>
          <w:szCs w:val="24"/>
          <w:lang w:val="kk-KZ"/>
        </w:rPr>
        <w:t>Ел өңірлерінің әлеуметтік саласын дамытуға инвестициялардың серпіні уақытша кезеңдер бөлінісінде өзгермелі сипатқа ие. Әлеуметтік саланы қолдау үшін ең жоғары инвестициялық шығындар 2024 жылға, ал ең төменгі инвестициялық шығындар 2023 жылға келді.</w:t>
      </w:r>
    </w:p>
    <w:p>
      <w:pPr>
        <w:pStyle w:val="BodyText"/>
        <w:ind w:firstLine="453" w:left="142" w:right="38"/>
        <w:jc w:val="both"/>
        <w:rPr>
          <w:color w:val="231F20"/>
          <w:sz w:val="24"/>
          <w:szCs w:val="24"/>
          <w:lang w:val="kk-KZ"/>
        </w:rPr>
      </w:pPr>
      <w:r>
        <w:rPr>
          <w:color w:val="231F20"/>
          <w:sz w:val="24"/>
          <w:szCs w:val="24"/>
          <w:lang w:val="kk-KZ"/>
        </w:rPr>
        <w:t>Қазақстан Республикасының жекелеген өңірлеріндегі ірі өнеркәсіптік кәсіпорындардың әлеуметтік жауапкершілігінің негізгі бағыттары 5-кестеде келтірілген.</w:t>
      </w:r>
    </w:p>
    <w:p>
      <w:pPr>
        <w:pStyle w:val="BodyText"/>
        <w:ind w:firstLine="453" w:left="142" w:right="38"/>
        <w:jc w:val="both"/>
        <w:rPr>
          <w:color w:val="231F20"/>
          <w:sz w:val="24"/>
          <w:szCs w:val="24"/>
          <w:lang w:val="kk-KZ"/>
        </w:rPr>
      </w:pPr>
      <w:r>
        <w:rPr>
          <w:color w:val="231F20"/>
          <w:sz w:val="24"/>
          <w:szCs w:val="24"/>
          <w:lang w:val="kk-KZ"/>
        </w:rPr>
      </w:r>
    </w:p>
    <w:p>
      <w:pPr>
        <w:pStyle w:val="BodyText"/>
        <w:ind w:firstLine="567" w:right="38"/>
        <w:jc w:val="center"/>
        <w:rPr>
          <w:color w:val="231F20"/>
          <w:sz w:val="24"/>
          <w:szCs w:val="24"/>
          <w:lang w:val="ru-RU"/>
        </w:rPr>
      </w:pPr>
      <w:r>
        <w:rPr/>
        <w:drawing>
          <wp:inline distT="0" distB="0" distL="0" distR="0">
            <wp:extent cx="5486400" cy="2339340"/>
            <wp:effectExtent l="0" t="0" r="0" b="0"/>
            <wp:docPr id="107" name="Диаграмма 38"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8"/>
              </a:graphicData>
            </a:graphic>
          </wp:inline>
        </w:drawing>
      </w:r>
    </w:p>
    <w:p>
      <w:pPr>
        <w:pStyle w:val="BodyText"/>
        <w:ind w:firstLine="453" w:left="142" w:right="38"/>
        <w:jc w:val="both"/>
        <w:rPr>
          <w:color w:val="231F20"/>
          <w:sz w:val="24"/>
          <w:szCs w:val="24"/>
          <w:lang w:val="ru-RU"/>
        </w:rPr>
      </w:pPr>
      <w:r>
        <w:rPr>
          <w:color w:val="231F20"/>
          <w:sz w:val="24"/>
          <w:szCs w:val="24"/>
          <w:lang w:val="ru-RU"/>
        </w:rPr>
      </w:r>
    </w:p>
    <w:p>
      <w:pPr>
        <w:pStyle w:val="BodyText"/>
        <w:ind w:firstLine="567" w:right="38"/>
        <w:jc w:val="center"/>
        <w:rPr>
          <w:b/>
          <w:color w:val="231F20"/>
          <w:lang w:val="ru-RU"/>
        </w:rPr>
      </w:pPr>
      <w:r>
        <w:rPr>
          <w:b/>
          <w:lang w:val="kk-KZ"/>
        </w:rPr>
        <w:t xml:space="preserve">4-сурет. </w:t>
      </w:r>
      <w:r>
        <w:rPr>
          <w:b/>
          <w:lang w:val="kk-KZ" w:eastAsia="ru-RU"/>
        </w:rPr>
        <w:t xml:space="preserve"> </w:t>
      </w:r>
      <w:r>
        <w:rPr>
          <w:b/>
          <w:color w:val="231F20"/>
          <w:lang w:val="ru-RU"/>
        </w:rPr>
        <w:t xml:space="preserve"> </w:t>
      </w:r>
      <w:r>
        <w:rPr>
          <w:b/>
          <w:lang w:val="ru-RU"/>
        </w:rPr>
        <w:t xml:space="preserve">2020 - 2024 </w:t>
      </w:r>
      <w:r>
        <w:rPr>
          <w:b/>
          <w:color w:val="231F20"/>
          <w:lang w:val="ru-RU"/>
        </w:rPr>
        <w:t>жылдарға арналған әлеуметтік жобаларды іске асыруға ірі өнеркәсіптік кәсіпорындар тарапынан инвестициялар серпіні, млрд. теңге</w:t>
      </w:r>
    </w:p>
    <w:p>
      <w:pPr>
        <w:pStyle w:val="BodyText"/>
        <w:ind w:firstLine="567" w:right="38"/>
        <w:jc w:val="center"/>
        <w:rPr>
          <w:color w:val="231F20"/>
          <w:sz w:val="24"/>
          <w:szCs w:val="24"/>
          <w:lang w:val="ru-RU"/>
        </w:rPr>
      </w:pPr>
      <w:r>
        <w:rPr>
          <w:b/>
          <w:color w:val="231F20"/>
          <w:lang w:val="ru-RU"/>
        </w:rPr>
        <w:t>Ескерту - авторлар ERG Corporation Social projects дереккөзі бойынша құрастырған</w:t>
      </w:r>
    </w:p>
    <w:p>
      <w:pPr>
        <w:pStyle w:val="BodyText"/>
        <w:ind w:firstLine="567" w:right="38"/>
        <w:jc w:val="both"/>
        <w:rPr>
          <w:color w:val="231F20"/>
          <w:sz w:val="24"/>
          <w:szCs w:val="24"/>
          <w:lang w:val="ru-RU"/>
        </w:rPr>
      </w:pPr>
      <w:r>
        <w:rPr>
          <w:color w:val="231F20"/>
          <w:sz w:val="24"/>
          <w:szCs w:val="24"/>
          <w:lang w:val="ru-RU"/>
        </w:rPr>
      </w:r>
    </w:p>
    <w:p>
      <w:pPr>
        <w:pStyle w:val="BodyText"/>
        <w:ind w:firstLine="567" w:right="38"/>
        <w:jc w:val="center"/>
        <w:rPr>
          <w:b/>
          <w:bCs/>
          <w:color w:val="231F20"/>
          <w:sz w:val="22"/>
          <w:szCs w:val="22"/>
          <w:lang w:val="ru-RU"/>
        </w:rPr>
      </w:pPr>
      <w:r>
        <w:rPr>
          <w:b/>
          <w:bCs/>
          <w:color w:val="231F20"/>
          <w:sz w:val="22"/>
          <w:szCs w:val="22"/>
          <w:lang w:val="ru-RU"/>
        </w:rPr>
        <w:t>5</w:t>
      </w:r>
      <w:r>
        <w:rPr>
          <w:b/>
          <w:bCs/>
          <w:sz w:val="22"/>
          <w:szCs w:val="22"/>
          <w:lang w:val="kk-KZ"/>
        </w:rPr>
        <w:t>-кесте.</w:t>
      </w:r>
      <w:r>
        <w:rPr>
          <w:b/>
          <w:bCs/>
          <w:color w:val="231F20"/>
          <w:sz w:val="22"/>
          <w:szCs w:val="22"/>
          <w:lang w:val="ru-RU"/>
        </w:rPr>
        <w:t xml:space="preserve"> Қазақстанның жекелеген өңірлеріндегі ірі өнеркәсіптік кәсіпорындардың </w:t>
      </w:r>
    </w:p>
    <w:p>
      <w:pPr>
        <w:pStyle w:val="BodyText"/>
        <w:ind w:firstLine="567" w:right="38"/>
        <w:jc w:val="center"/>
        <w:rPr>
          <w:b/>
          <w:bCs/>
          <w:color w:val="231F20"/>
          <w:sz w:val="22"/>
          <w:szCs w:val="22"/>
          <w:lang w:val="ru-RU"/>
        </w:rPr>
      </w:pPr>
      <w:r>
        <w:rPr>
          <w:b/>
          <w:bCs/>
          <w:color w:val="231F20"/>
          <w:sz w:val="22"/>
          <w:szCs w:val="22"/>
          <w:lang w:val="ru-RU"/>
        </w:rPr>
        <w:t>2024 жылға арналған әлеуметтік жауапкершілігінің негізгі бағыттары</w:t>
      </w:r>
    </w:p>
    <w:p>
      <w:pPr>
        <w:pStyle w:val="BodyText"/>
        <w:ind w:firstLine="567" w:right="38"/>
        <w:jc w:val="center"/>
        <w:rPr>
          <w:b/>
          <w:bCs/>
          <w:color w:val="231F20"/>
          <w:sz w:val="22"/>
          <w:szCs w:val="22"/>
          <w:lang w:val="ru-RU"/>
        </w:rPr>
      </w:pPr>
      <w:r>
        <w:rPr>
          <w:b/>
          <w:bCs/>
          <w:color w:val="231F20"/>
          <w:sz w:val="22"/>
          <w:szCs w:val="22"/>
          <w:lang w:val="ru-RU"/>
        </w:rPr>
      </w:r>
    </w:p>
    <w:tbl>
      <w:tblPr>
        <w:tblStyle w:val="ae"/>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607"/>
        <w:gridCol w:w="6742"/>
      </w:tblGrid>
      <w:tr>
        <w:trPr/>
        <w:tc>
          <w:tcPr>
            <w:tcW w:w="2607" w:type="dxa"/>
            <w:tcBorders/>
          </w:tcPr>
          <w:p>
            <w:pPr>
              <w:pStyle w:val="BodyText"/>
              <w:spacing w:before="0" w:after="0"/>
              <w:ind w:right="38"/>
              <w:jc w:val="center"/>
              <w:rPr>
                <w:b/>
                <w:bCs/>
                <w:color w:val="231F20"/>
                <w:sz w:val="22"/>
                <w:szCs w:val="22"/>
                <w:lang w:val="ru-RU"/>
              </w:rPr>
            </w:pPr>
            <w:r>
              <w:rPr>
                <w:b/>
                <w:bCs/>
                <w:color w:val="231F20"/>
                <w:kern w:val="0"/>
                <w:sz w:val="22"/>
                <w:szCs w:val="22"/>
                <w:lang w:val="ru-RU" w:eastAsia="ru-RU"/>
              </w:rPr>
              <w:t>Аймақ</w:t>
            </w:r>
          </w:p>
        </w:tc>
        <w:tc>
          <w:tcPr>
            <w:tcW w:w="6742" w:type="dxa"/>
            <w:tcBorders/>
          </w:tcPr>
          <w:p>
            <w:pPr>
              <w:pStyle w:val="BodyText"/>
              <w:spacing w:before="0" w:after="0"/>
              <w:ind w:right="38"/>
              <w:jc w:val="center"/>
              <w:rPr>
                <w:b/>
                <w:bCs/>
                <w:color w:val="231F20"/>
                <w:sz w:val="22"/>
                <w:szCs w:val="22"/>
                <w:lang w:val="ru-RU"/>
              </w:rPr>
            </w:pPr>
            <w:r>
              <w:rPr>
                <w:b/>
                <w:bCs/>
                <w:color w:val="231F20"/>
                <w:kern w:val="0"/>
                <w:sz w:val="22"/>
                <w:szCs w:val="22"/>
                <w:lang w:val="ru-RU" w:eastAsia="ru-RU"/>
              </w:rPr>
              <w:t>Әлеуметтік жауапкершілік бағыты</w:t>
            </w:r>
          </w:p>
        </w:tc>
      </w:tr>
      <w:tr>
        <w:trPr/>
        <w:tc>
          <w:tcPr>
            <w:tcW w:w="2607" w:type="dxa"/>
            <w:tcBorders/>
          </w:tcPr>
          <w:p>
            <w:pPr>
              <w:pStyle w:val="BodyText"/>
              <w:spacing w:before="0" w:after="0"/>
              <w:ind w:right="38"/>
              <w:jc w:val="both"/>
              <w:rPr>
                <w:color w:val="231F20"/>
                <w:sz w:val="22"/>
                <w:szCs w:val="22"/>
                <w:lang w:val="ru-RU"/>
              </w:rPr>
            </w:pPr>
            <w:r>
              <w:rPr>
                <w:color w:val="231F20"/>
                <w:kern w:val="0"/>
                <w:sz w:val="22"/>
                <w:szCs w:val="22"/>
                <w:lang w:val="ru-RU" w:eastAsia="ru-RU"/>
              </w:rPr>
              <w:t>Ақтөбе облысы</w:t>
            </w:r>
          </w:p>
        </w:tc>
        <w:tc>
          <w:tcPr>
            <w:tcW w:w="6742" w:type="dxa"/>
            <w:tcBorders/>
          </w:tcPr>
          <w:p>
            <w:pPr>
              <w:pStyle w:val="BodyText"/>
              <w:spacing w:before="0" w:after="0"/>
              <w:ind w:right="38"/>
              <w:jc w:val="both"/>
              <w:rPr>
                <w:color w:val="231F20"/>
                <w:sz w:val="22"/>
                <w:szCs w:val="22"/>
                <w:lang w:val="ru-RU"/>
              </w:rPr>
            </w:pPr>
            <w:r>
              <w:rPr>
                <w:color w:val="231F20"/>
                <w:kern w:val="0"/>
                <w:sz w:val="22"/>
                <w:szCs w:val="22"/>
                <w:lang w:val="ru-RU" w:eastAsia="ru-RU"/>
              </w:rPr>
              <w:t>- Ақтөбе және Хромтау қалаларын абаттандыру;</w:t>
            </w:r>
          </w:p>
          <w:p>
            <w:pPr>
              <w:pStyle w:val="BodyText"/>
              <w:spacing w:before="0" w:after="0"/>
              <w:ind w:right="38"/>
              <w:jc w:val="both"/>
              <w:rPr>
                <w:color w:val="231F20"/>
                <w:sz w:val="22"/>
                <w:szCs w:val="22"/>
                <w:lang w:val="ru-RU"/>
              </w:rPr>
            </w:pPr>
            <w:r>
              <w:rPr>
                <w:color w:val="231F20"/>
                <w:kern w:val="0"/>
                <w:sz w:val="22"/>
                <w:szCs w:val="22"/>
                <w:lang w:val="ru-RU" w:eastAsia="ru-RU"/>
              </w:rPr>
              <w:t>- балабақшаларды салу және жөндеу;</w:t>
            </w:r>
          </w:p>
          <w:p>
            <w:pPr>
              <w:pStyle w:val="BodyText"/>
              <w:spacing w:before="0" w:after="0"/>
              <w:ind w:right="38"/>
              <w:jc w:val="both"/>
              <w:rPr>
                <w:color w:val="231F20"/>
                <w:sz w:val="22"/>
                <w:szCs w:val="22"/>
                <w:lang w:val="ru-RU"/>
              </w:rPr>
            </w:pPr>
            <w:r>
              <w:rPr>
                <w:color w:val="231F20"/>
                <w:kern w:val="0"/>
                <w:sz w:val="22"/>
                <w:szCs w:val="22"/>
                <w:lang w:val="ru-RU" w:eastAsia="ru-RU"/>
              </w:rPr>
              <w:t>- аумақтық кәсіптік-техникалық оқу орындарын қолдау;</w:t>
            </w:r>
          </w:p>
          <w:p>
            <w:pPr>
              <w:pStyle w:val="BodyText"/>
              <w:spacing w:before="0" w:after="0"/>
              <w:ind w:right="38"/>
              <w:jc w:val="both"/>
              <w:rPr>
                <w:color w:val="231F20"/>
                <w:sz w:val="22"/>
                <w:szCs w:val="22"/>
                <w:lang w:val="ru-RU"/>
              </w:rPr>
            </w:pPr>
            <w:r>
              <w:rPr>
                <w:color w:val="231F20"/>
                <w:kern w:val="0"/>
                <w:sz w:val="22"/>
                <w:szCs w:val="22"/>
                <w:lang w:val="ru-RU" w:eastAsia="ru-RU"/>
              </w:rPr>
              <w:t>- қоғамдық мекемелерге көмек.</w:t>
            </w:r>
          </w:p>
        </w:tc>
      </w:tr>
      <w:tr>
        <w:trPr/>
        <w:tc>
          <w:tcPr>
            <w:tcW w:w="2607" w:type="dxa"/>
            <w:tcBorders/>
          </w:tcPr>
          <w:p>
            <w:pPr>
              <w:pStyle w:val="BodyText"/>
              <w:spacing w:before="0" w:after="0"/>
              <w:ind w:right="38"/>
              <w:jc w:val="both"/>
              <w:rPr>
                <w:color w:val="231F20"/>
                <w:sz w:val="22"/>
                <w:szCs w:val="22"/>
                <w:lang w:val="ru-RU"/>
              </w:rPr>
            </w:pPr>
            <w:r>
              <w:rPr>
                <w:color w:val="231F20"/>
                <w:kern w:val="0"/>
                <w:sz w:val="22"/>
                <w:szCs w:val="22"/>
                <w:lang w:val="ru-RU" w:eastAsia="ru-RU"/>
              </w:rPr>
              <w:t>Қарағанды облысы</w:t>
            </w:r>
          </w:p>
        </w:tc>
        <w:tc>
          <w:tcPr>
            <w:tcW w:w="6742" w:type="dxa"/>
            <w:tcBorders/>
          </w:tcPr>
          <w:p>
            <w:pPr>
              <w:pStyle w:val="BodyText"/>
              <w:spacing w:before="0" w:after="0"/>
              <w:ind w:right="38"/>
              <w:jc w:val="both"/>
              <w:rPr>
                <w:color w:val="231F20"/>
                <w:sz w:val="22"/>
                <w:szCs w:val="22"/>
                <w:lang w:val="ru-RU"/>
              </w:rPr>
            </w:pPr>
            <w:r>
              <w:rPr>
                <w:color w:val="231F20"/>
                <w:kern w:val="0"/>
                <w:sz w:val="22"/>
                <w:szCs w:val="22"/>
                <w:lang w:val="ru-RU" w:eastAsia="ru-RU"/>
              </w:rPr>
              <w:t>- жолдарды жөндеу;</w:t>
            </w:r>
          </w:p>
          <w:p>
            <w:pPr>
              <w:pStyle w:val="BodyText"/>
              <w:spacing w:before="0" w:after="0"/>
              <w:ind w:right="38"/>
              <w:jc w:val="both"/>
              <w:rPr>
                <w:color w:val="231F20"/>
                <w:sz w:val="22"/>
                <w:szCs w:val="22"/>
                <w:lang w:val="ru-RU"/>
              </w:rPr>
            </w:pPr>
            <w:r>
              <w:rPr>
                <w:color w:val="231F20"/>
                <w:kern w:val="0"/>
                <w:sz w:val="22"/>
                <w:szCs w:val="22"/>
                <w:lang w:val="ru-RU" w:eastAsia="ru-RU"/>
              </w:rPr>
              <w:t>- балалар ойын алаңдарын салу;</w:t>
            </w:r>
          </w:p>
          <w:p>
            <w:pPr>
              <w:pStyle w:val="BodyText"/>
              <w:spacing w:before="0" w:after="0"/>
              <w:ind w:right="38"/>
              <w:jc w:val="both"/>
              <w:rPr>
                <w:color w:val="231F20"/>
                <w:sz w:val="22"/>
                <w:szCs w:val="22"/>
                <w:lang w:val="ru-RU"/>
              </w:rPr>
            </w:pPr>
            <w:r>
              <w:rPr>
                <w:color w:val="231F20"/>
                <w:kern w:val="0"/>
                <w:sz w:val="22"/>
                <w:szCs w:val="22"/>
                <w:lang w:val="ru-RU" w:eastAsia="ru-RU"/>
              </w:rPr>
              <w:t>- аулаларды абаттандыру;</w:t>
            </w:r>
          </w:p>
          <w:p>
            <w:pPr>
              <w:pStyle w:val="BodyText"/>
              <w:spacing w:before="0" w:after="0"/>
              <w:ind w:right="38"/>
              <w:jc w:val="both"/>
              <w:rPr>
                <w:color w:val="231F20"/>
                <w:sz w:val="22"/>
                <w:szCs w:val="22"/>
                <w:lang w:val="ru-RU"/>
              </w:rPr>
            </w:pPr>
            <w:r>
              <w:rPr>
                <w:color w:val="231F20"/>
                <w:kern w:val="0"/>
                <w:sz w:val="22"/>
                <w:szCs w:val="22"/>
                <w:lang w:val="ru-RU" w:eastAsia="ru-RU"/>
              </w:rPr>
              <w:t>- жол және коммуналдық техниканы сатып алу;</w:t>
            </w:r>
          </w:p>
          <w:p>
            <w:pPr>
              <w:pStyle w:val="BodyText"/>
              <w:spacing w:before="0" w:after="0"/>
              <w:ind w:right="38"/>
              <w:jc w:val="both"/>
              <w:rPr>
                <w:color w:val="231F20"/>
                <w:sz w:val="22"/>
                <w:szCs w:val="22"/>
                <w:lang w:val="ru-RU"/>
              </w:rPr>
            </w:pPr>
            <w:r>
              <w:rPr>
                <w:color w:val="231F20"/>
                <w:kern w:val="0"/>
                <w:sz w:val="22"/>
                <w:szCs w:val="22"/>
                <w:lang w:val="ru-RU" w:eastAsia="ru-RU"/>
              </w:rPr>
              <w:t>- мектептерді жөндеу және жабдықтармен жарақтандыру;</w:t>
            </w:r>
          </w:p>
          <w:p>
            <w:pPr>
              <w:pStyle w:val="BodyText"/>
              <w:spacing w:before="0" w:after="0"/>
              <w:ind w:right="38"/>
              <w:jc w:val="both"/>
              <w:rPr>
                <w:color w:val="231F20"/>
                <w:sz w:val="22"/>
                <w:szCs w:val="22"/>
                <w:lang w:val="ru-RU"/>
              </w:rPr>
            </w:pPr>
            <w:r>
              <w:rPr>
                <w:color w:val="231F20"/>
                <w:kern w:val="0"/>
                <w:sz w:val="22"/>
                <w:szCs w:val="22"/>
                <w:lang w:val="ru-RU" w:eastAsia="ru-RU"/>
              </w:rPr>
              <w:t>- мәдениет және спорт салаларын қолдау;</w:t>
            </w:r>
          </w:p>
          <w:p>
            <w:pPr>
              <w:pStyle w:val="BodyText"/>
              <w:spacing w:before="0" w:after="0"/>
              <w:ind w:right="38"/>
              <w:jc w:val="both"/>
              <w:rPr>
                <w:color w:val="231F20"/>
                <w:sz w:val="22"/>
                <w:szCs w:val="22"/>
                <w:lang w:val="ru-RU"/>
              </w:rPr>
            </w:pPr>
            <w:r>
              <w:rPr>
                <w:color w:val="231F20"/>
                <w:kern w:val="0"/>
                <w:sz w:val="22"/>
                <w:szCs w:val="22"/>
                <w:lang w:val="ru-RU" w:eastAsia="ru-RU"/>
              </w:rPr>
              <w:t>- халықтың әлеуметтік осал топтарына көмек көрсету.</w:t>
            </w:r>
          </w:p>
        </w:tc>
      </w:tr>
      <w:tr>
        <w:trPr/>
        <w:tc>
          <w:tcPr>
            <w:tcW w:w="2607" w:type="dxa"/>
            <w:tcBorders/>
          </w:tcPr>
          <w:p>
            <w:pPr>
              <w:pStyle w:val="BodyText"/>
              <w:spacing w:before="0" w:after="0"/>
              <w:ind w:right="38"/>
              <w:jc w:val="both"/>
              <w:rPr>
                <w:color w:val="231F20"/>
                <w:sz w:val="22"/>
                <w:szCs w:val="22"/>
                <w:lang w:val="ru-RU"/>
              </w:rPr>
            </w:pPr>
            <w:r>
              <w:rPr>
                <w:color w:val="231F20"/>
                <w:kern w:val="0"/>
                <w:sz w:val="22"/>
                <w:szCs w:val="22"/>
                <w:lang w:val="ru-RU" w:eastAsia="ru-RU"/>
              </w:rPr>
              <w:t>Қостанай облысы</w:t>
            </w:r>
          </w:p>
        </w:tc>
        <w:tc>
          <w:tcPr>
            <w:tcW w:w="6742" w:type="dxa"/>
            <w:tcBorders/>
          </w:tcPr>
          <w:p>
            <w:pPr>
              <w:pStyle w:val="BodyText"/>
              <w:spacing w:before="0" w:after="0"/>
              <w:ind w:right="38"/>
              <w:jc w:val="both"/>
              <w:rPr>
                <w:color w:val="231F20"/>
                <w:sz w:val="22"/>
                <w:szCs w:val="22"/>
                <w:lang w:val="ru-RU"/>
              </w:rPr>
            </w:pPr>
            <w:r>
              <w:rPr>
                <w:color w:val="231F20"/>
                <w:kern w:val="0"/>
                <w:sz w:val="22"/>
                <w:szCs w:val="22"/>
                <w:lang w:val="ru-RU" w:eastAsia="ru-RU"/>
              </w:rPr>
              <w:t>- Қостанай, Рудный қалаларын абаттандыру;</w:t>
            </w:r>
          </w:p>
          <w:p>
            <w:pPr>
              <w:pStyle w:val="BodyText"/>
              <w:spacing w:before="0" w:after="0"/>
              <w:ind w:right="38"/>
              <w:jc w:val="both"/>
              <w:rPr>
                <w:color w:val="231F20"/>
                <w:sz w:val="22"/>
                <w:szCs w:val="22"/>
                <w:lang w:val="ru-RU"/>
              </w:rPr>
            </w:pPr>
            <w:r>
              <w:rPr>
                <w:color w:val="231F20"/>
                <w:kern w:val="0"/>
                <w:sz w:val="22"/>
                <w:szCs w:val="22"/>
                <w:lang w:val="ru-RU" w:eastAsia="ru-RU"/>
              </w:rPr>
              <w:t>- мәдениет және спорт инфрақұрылымы объектілерін салу;</w:t>
            </w:r>
          </w:p>
          <w:p>
            <w:pPr>
              <w:pStyle w:val="BodyText"/>
              <w:spacing w:before="0" w:after="0"/>
              <w:ind w:right="38"/>
              <w:jc w:val="both"/>
              <w:rPr>
                <w:color w:val="231F20"/>
                <w:sz w:val="22"/>
                <w:szCs w:val="22"/>
                <w:lang w:val="ru-RU"/>
              </w:rPr>
            </w:pPr>
            <w:r>
              <w:rPr>
                <w:color w:val="231F20"/>
                <w:kern w:val="0"/>
                <w:sz w:val="22"/>
                <w:szCs w:val="22"/>
                <w:lang w:val="ru-RU" w:eastAsia="ru-RU"/>
              </w:rPr>
              <w:t>- инженерлік-коммуникациялық желілерді жөндеу;</w:t>
            </w:r>
          </w:p>
          <w:p>
            <w:pPr>
              <w:pStyle w:val="BodyText"/>
              <w:spacing w:before="0" w:after="0"/>
              <w:ind w:right="38"/>
              <w:jc w:val="both"/>
              <w:rPr>
                <w:color w:val="231F20"/>
                <w:sz w:val="22"/>
                <w:szCs w:val="22"/>
                <w:lang w:val="ru-RU"/>
              </w:rPr>
            </w:pPr>
            <w:r>
              <w:rPr>
                <w:color w:val="231F20"/>
                <w:kern w:val="0"/>
                <w:sz w:val="22"/>
                <w:szCs w:val="22"/>
                <w:lang w:val="ru-RU" w:eastAsia="ru-RU"/>
              </w:rPr>
              <w:t>- медициналық мекемелерді қолдау.</w:t>
            </w:r>
          </w:p>
        </w:tc>
      </w:tr>
      <w:tr>
        <w:trPr/>
        <w:tc>
          <w:tcPr>
            <w:tcW w:w="2607" w:type="dxa"/>
            <w:tcBorders/>
          </w:tcPr>
          <w:p>
            <w:pPr>
              <w:pStyle w:val="BodyText"/>
              <w:spacing w:before="0" w:after="0"/>
              <w:ind w:right="38"/>
              <w:jc w:val="both"/>
              <w:rPr>
                <w:color w:val="231F20"/>
                <w:sz w:val="22"/>
                <w:szCs w:val="22"/>
                <w:lang w:val="ru-RU"/>
              </w:rPr>
            </w:pPr>
            <w:r>
              <w:rPr>
                <w:color w:val="231F20"/>
                <w:kern w:val="0"/>
                <w:sz w:val="22"/>
                <w:szCs w:val="22"/>
                <w:lang w:val="ru-RU" w:eastAsia="ru-RU"/>
              </w:rPr>
              <w:t>Павлодар облысы</w:t>
            </w:r>
          </w:p>
        </w:tc>
        <w:tc>
          <w:tcPr>
            <w:tcW w:w="6742" w:type="dxa"/>
            <w:tcBorders/>
          </w:tcPr>
          <w:p>
            <w:pPr>
              <w:pStyle w:val="BodyText"/>
              <w:spacing w:before="0" w:after="0"/>
              <w:ind w:right="38"/>
              <w:jc w:val="both"/>
              <w:rPr>
                <w:color w:val="231F20"/>
                <w:sz w:val="22"/>
                <w:szCs w:val="22"/>
                <w:lang w:val="ru-RU"/>
              </w:rPr>
            </w:pPr>
            <w:r>
              <w:rPr>
                <w:color w:val="231F20"/>
                <w:kern w:val="0"/>
                <w:sz w:val="22"/>
                <w:szCs w:val="22"/>
                <w:lang w:val="ru-RU" w:eastAsia="ru-RU"/>
              </w:rPr>
              <w:t>- Павлодар, Екібастұз, Ақсу қалаларын абаттандыру;</w:t>
            </w:r>
          </w:p>
          <w:p>
            <w:pPr>
              <w:pStyle w:val="BodyText"/>
              <w:spacing w:before="0" w:after="0"/>
              <w:ind w:right="38"/>
              <w:jc w:val="both"/>
              <w:rPr>
                <w:color w:val="231F20"/>
                <w:sz w:val="22"/>
                <w:szCs w:val="22"/>
                <w:lang w:val="ru-RU"/>
              </w:rPr>
            </w:pPr>
            <w:r>
              <w:rPr>
                <w:color w:val="231F20"/>
                <w:kern w:val="0"/>
                <w:sz w:val="22"/>
                <w:szCs w:val="22"/>
                <w:lang w:val="ru-RU" w:eastAsia="ru-RU"/>
              </w:rPr>
              <w:t>- тұрғын үй құрылысы;</w:t>
            </w:r>
          </w:p>
          <w:p>
            <w:pPr>
              <w:pStyle w:val="BodyText"/>
              <w:spacing w:before="0" w:after="0"/>
              <w:ind w:right="38"/>
              <w:jc w:val="both"/>
              <w:rPr>
                <w:color w:val="231F20"/>
                <w:sz w:val="22"/>
                <w:szCs w:val="22"/>
                <w:lang w:val="ru-RU"/>
              </w:rPr>
            </w:pPr>
            <w:r>
              <w:rPr>
                <w:color w:val="231F20"/>
                <w:kern w:val="0"/>
                <w:sz w:val="22"/>
                <w:szCs w:val="22"/>
                <w:lang w:val="ru-RU" w:eastAsia="ru-RU"/>
              </w:rPr>
              <w:t>- білім беру ұйымдары үшін жатақханалар салу;</w:t>
            </w:r>
          </w:p>
          <w:p>
            <w:pPr>
              <w:pStyle w:val="BodyText"/>
              <w:spacing w:before="0" w:after="0"/>
              <w:ind w:right="38"/>
              <w:jc w:val="both"/>
              <w:rPr>
                <w:color w:val="231F20"/>
                <w:sz w:val="22"/>
                <w:szCs w:val="22"/>
                <w:lang w:val="ru-RU"/>
              </w:rPr>
            </w:pPr>
            <w:r>
              <w:rPr>
                <w:color w:val="231F20"/>
                <w:kern w:val="0"/>
                <w:sz w:val="22"/>
                <w:szCs w:val="22"/>
                <w:lang w:val="ru-RU" w:eastAsia="ru-RU"/>
              </w:rPr>
              <w:t>- мәдениет және спорт саласының инфрақұрылымдық объектілерін салу;</w:t>
            </w:r>
          </w:p>
          <w:p>
            <w:pPr>
              <w:pStyle w:val="BodyText"/>
              <w:spacing w:before="0" w:after="0"/>
              <w:ind w:right="38"/>
              <w:jc w:val="both"/>
              <w:rPr>
                <w:color w:val="231F20"/>
                <w:sz w:val="22"/>
                <w:szCs w:val="22"/>
                <w:lang w:val="ru-RU"/>
              </w:rPr>
            </w:pPr>
            <w:r>
              <w:rPr>
                <w:color w:val="231F20"/>
                <w:kern w:val="0"/>
                <w:sz w:val="22"/>
                <w:szCs w:val="22"/>
                <w:lang w:val="ru-RU" w:eastAsia="ru-RU"/>
              </w:rPr>
              <w:t>- балалар алаңдарын салу;</w:t>
            </w:r>
          </w:p>
          <w:p>
            <w:pPr>
              <w:pStyle w:val="BodyText"/>
              <w:spacing w:before="0" w:after="0"/>
              <w:ind w:right="38"/>
              <w:jc w:val="both"/>
              <w:rPr>
                <w:color w:val="231F20"/>
                <w:sz w:val="22"/>
                <w:szCs w:val="22"/>
                <w:lang w:val="ru-RU"/>
              </w:rPr>
            </w:pPr>
            <w:r>
              <w:rPr>
                <w:color w:val="231F20"/>
                <w:kern w:val="0"/>
                <w:sz w:val="22"/>
                <w:szCs w:val="22"/>
                <w:lang w:val="ru-RU" w:eastAsia="ru-RU"/>
              </w:rPr>
              <w:t>- білім беру ұйымдарын қолдау;</w:t>
            </w:r>
          </w:p>
          <w:p>
            <w:pPr>
              <w:pStyle w:val="BodyText"/>
              <w:spacing w:before="0" w:after="0"/>
              <w:ind w:right="38"/>
              <w:jc w:val="both"/>
              <w:rPr>
                <w:color w:val="231F20"/>
                <w:sz w:val="22"/>
                <w:szCs w:val="22"/>
                <w:lang w:val="ru-RU"/>
              </w:rPr>
            </w:pPr>
            <w:r>
              <w:rPr>
                <w:color w:val="231F20"/>
                <w:kern w:val="0"/>
                <w:sz w:val="22"/>
                <w:szCs w:val="22"/>
                <w:lang w:val="ru-RU" w:eastAsia="ru-RU"/>
              </w:rPr>
              <w:t>- зейнеткерлерге көмек.</w:t>
            </w:r>
          </w:p>
        </w:tc>
      </w:tr>
      <w:tr>
        <w:trPr/>
        <w:tc>
          <w:tcPr>
            <w:tcW w:w="9349" w:type="dxa"/>
            <w:gridSpan w:val="2"/>
            <w:tcBorders/>
          </w:tcPr>
          <w:p>
            <w:pPr>
              <w:pStyle w:val="BodyText"/>
              <w:spacing w:before="0" w:after="0"/>
              <w:ind w:right="38"/>
              <w:jc w:val="both"/>
              <w:rPr>
                <w:i/>
                <w:i/>
                <w:iCs/>
                <w:color w:val="231F20"/>
                <w:sz w:val="22"/>
                <w:szCs w:val="22"/>
                <w:lang w:val="ru-RU"/>
              </w:rPr>
            </w:pPr>
            <w:r>
              <w:rPr>
                <w:i/>
                <w:iCs/>
                <w:color w:val="231F20"/>
                <w:kern w:val="0"/>
                <w:sz w:val="22"/>
                <w:szCs w:val="22"/>
                <w:lang w:val="ru-RU" w:eastAsia="ru-RU"/>
              </w:rPr>
              <w:t xml:space="preserve">Ескерту - авторлар ERG Corporation Social projects дереккөзі бойынша құрастырған </w:t>
            </w:r>
          </w:p>
        </w:tc>
      </w:tr>
    </w:tbl>
    <w:p>
      <w:pPr>
        <w:pStyle w:val="BodyText"/>
        <w:ind w:firstLine="453" w:left="142" w:right="38"/>
        <w:jc w:val="both"/>
        <w:rPr>
          <w:i/>
          <w:i/>
          <w:iCs/>
          <w:color w:val="231F20"/>
          <w:sz w:val="24"/>
          <w:szCs w:val="24"/>
          <w:lang w:val="ru-RU"/>
        </w:rPr>
      </w:pPr>
      <w:r>
        <w:rPr>
          <w:i/>
          <w:iCs/>
          <w:color w:val="231F20"/>
          <w:sz w:val="24"/>
          <w:szCs w:val="24"/>
          <w:lang w:val="ru-RU"/>
        </w:rPr>
      </w:r>
    </w:p>
    <w:p>
      <w:pPr>
        <w:pStyle w:val="BodyText"/>
        <w:ind w:firstLine="567" w:right="-1"/>
        <w:jc w:val="both"/>
        <w:rPr>
          <w:color w:val="231F20"/>
          <w:sz w:val="24"/>
          <w:szCs w:val="24"/>
          <w:lang w:val="ru-RU"/>
        </w:rPr>
      </w:pPr>
      <w:r>
        <w:rPr>
          <w:color w:val="231F20"/>
          <w:sz w:val="24"/>
          <w:szCs w:val="24"/>
          <w:lang w:val="ru-RU"/>
        </w:rPr>
        <w:t>Қазақстан Республикасында кәсіпорындардың, фирмалардың және басқа да бизнес-кәсіпкерлік субъектілерінің әлеуметтік жауапкершілігі қолданыстағы заңнама шеңберінде қамтамасыз етіледі және кепілдендіріледі. Бұл бағыттағы маңызды құрал «Міндетті әлеуметтік сақтандыру туралы» Заң болып табылады. Заң кәсіпорындарда, бизнес-құрылымдарда еңбекақы төлеу жүйесіне параллель әлеуметтік пакетті мәжбүрлеуді реттейді. Қолданыстағы заңнама шеңберінде кәсіпорындар мемлекеттік әлеуметтік сақтандыру қорына ай сайынғы аударымдарды және кәсіпорынның әрбір қызметкеріне әлеуметтік салық төлеуді жүзеге асырады.</w:t>
      </w:r>
    </w:p>
    <w:p>
      <w:pPr>
        <w:pStyle w:val="BodyText"/>
        <w:ind w:firstLine="453" w:left="141" w:right="38"/>
        <w:jc w:val="both"/>
        <w:rPr>
          <w:color w:val="231F20"/>
          <w:lang w:val="ru-RU"/>
        </w:rPr>
      </w:pPr>
      <w:r>
        <w:rPr>
          <w:color w:val="231F20"/>
          <w:lang w:val="ru-RU"/>
        </w:rPr>
      </w:r>
    </w:p>
    <w:p>
      <w:pPr>
        <w:pStyle w:val="BodyText"/>
        <w:ind w:firstLine="567" w:right="38"/>
        <w:jc w:val="center"/>
        <w:rPr>
          <w:color w:val="231F20"/>
          <w:spacing w:val="-10"/>
          <w:lang w:val="ru-RU"/>
        </w:rPr>
      </w:pPr>
      <w:r>
        <w:rPr/>
        <w:drawing>
          <wp:inline distT="0" distB="0" distL="0" distR="0">
            <wp:extent cx="4829810" cy="1927860"/>
            <wp:effectExtent l="0" t="0" r="0" b="0"/>
            <wp:docPr id="108" name="Диаграмма 76"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9"/>
              </a:graphicData>
            </a:graphic>
          </wp:inline>
        </w:drawing>
      </w:r>
    </w:p>
    <w:p>
      <w:pPr>
        <w:pStyle w:val="BodyText"/>
        <w:ind w:firstLine="453" w:left="141" w:right="38"/>
        <w:jc w:val="both"/>
        <w:rPr>
          <w:color w:val="231F20"/>
          <w:spacing w:val="-10"/>
          <w:lang w:val="ru-RU"/>
        </w:rPr>
      </w:pPr>
      <w:r>
        <w:rPr>
          <w:color w:val="231F20"/>
          <w:spacing w:val="-10"/>
          <w:lang w:val="ru-RU"/>
        </w:rPr>
      </w:r>
    </w:p>
    <w:p>
      <w:pPr>
        <w:pStyle w:val="BodyText"/>
        <w:ind w:firstLine="567" w:right="38"/>
        <w:rPr>
          <w:b/>
          <w:color w:val="231F20"/>
          <w:spacing w:val="-10"/>
          <w:lang w:val="ru-RU"/>
        </w:rPr>
      </w:pPr>
      <w:r>
        <w:rPr>
          <w:b/>
          <w:lang w:val="kk-KZ"/>
        </w:rPr>
        <w:t xml:space="preserve">5-сурет. </w:t>
      </w:r>
      <w:r>
        <w:rPr>
          <w:b/>
          <w:lang w:val="kk-KZ" w:eastAsia="ru-RU"/>
        </w:rPr>
        <w:t xml:space="preserve"> </w:t>
      </w:r>
      <w:r>
        <w:rPr>
          <w:b/>
          <w:color w:val="231F20"/>
          <w:spacing w:val="-10"/>
          <w:lang w:val="ru-RU"/>
        </w:rPr>
        <w:t>Қазақстан Республикасындағы нақты орташа жалақының динамикасы, теңге</w:t>
      </w:r>
    </w:p>
    <w:p>
      <w:pPr>
        <w:pStyle w:val="BodyText"/>
        <w:ind w:firstLine="567" w:right="38"/>
        <w:jc w:val="both"/>
        <w:rPr>
          <w:i/>
          <w:i/>
          <w:iCs/>
          <w:color w:val="231F20"/>
          <w:spacing w:val="-10"/>
          <w:sz w:val="22"/>
          <w:szCs w:val="22"/>
          <w:lang w:val="ru-RU"/>
        </w:rPr>
      </w:pPr>
      <w:r>
        <w:rPr>
          <w:i/>
          <w:iCs/>
          <w:color w:val="000000"/>
          <w:spacing w:val="-2"/>
          <w:position w:val="2"/>
          <w:sz w:val="22"/>
          <w:szCs w:val="22"/>
          <w:lang w:val="kk-KZ"/>
        </w:rPr>
        <w:t>Ескерту - авторлар Bureau of National Statistics дереккөзі бойынша құрастырған</w:t>
      </w:r>
    </w:p>
    <w:p>
      <w:pPr>
        <w:pStyle w:val="BodyText"/>
        <w:ind w:firstLine="567" w:right="38"/>
        <w:jc w:val="both"/>
        <w:rPr>
          <w:color w:val="231F20"/>
          <w:spacing w:val="-10"/>
          <w:sz w:val="24"/>
          <w:szCs w:val="24"/>
          <w:lang w:val="ru-RU"/>
        </w:rPr>
      </w:pPr>
      <w:r>
        <w:rPr>
          <w:color w:val="231F20"/>
          <w:spacing w:val="-10"/>
          <w:sz w:val="24"/>
          <w:szCs w:val="24"/>
          <w:lang w:val="ru-RU"/>
        </w:rPr>
      </w:r>
    </w:p>
    <w:p>
      <w:pPr>
        <w:pStyle w:val="BodyText"/>
        <w:ind w:firstLine="567" w:right="38"/>
        <w:jc w:val="both"/>
        <w:rPr>
          <w:color w:val="231F20"/>
          <w:spacing w:val="-10"/>
          <w:sz w:val="24"/>
          <w:szCs w:val="24"/>
          <w:lang w:val="ru-RU"/>
        </w:rPr>
      </w:pPr>
      <w:r>
        <w:rPr>
          <w:color w:val="231F20"/>
          <w:spacing w:val="-10"/>
          <w:sz w:val="24"/>
          <w:szCs w:val="24"/>
          <w:lang w:val="ru-RU"/>
        </w:rPr>
        <w:t>Қазақстан Республикасында соңғы жылдары суретке сәйкес орташа жалақының номиналды өсу тенденциялары болды.</w:t>
      </w:r>
    </w:p>
    <w:p>
      <w:pPr>
        <w:pStyle w:val="BodyText"/>
        <w:ind w:firstLine="567" w:right="38"/>
        <w:jc w:val="both"/>
        <w:rPr>
          <w:color w:val="231F20"/>
          <w:spacing w:val="-10"/>
          <w:sz w:val="24"/>
          <w:szCs w:val="24"/>
          <w:lang w:val="kk-KZ"/>
        </w:rPr>
      </w:pPr>
      <w:r>
        <w:rPr>
          <w:b/>
          <w:bCs/>
          <w:color w:val="231F20"/>
          <w:spacing w:val="-10"/>
          <w:sz w:val="24"/>
          <w:szCs w:val="24"/>
          <w:lang w:val="kk-KZ"/>
        </w:rPr>
        <w:t xml:space="preserve">Қорытынды. </w:t>
      </w:r>
      <w:r>
        <w:rPr>
          <w:color w:val="231F20"/>
          <w:spacing w:val="-10"/>
          <w:sz w:val="24"/>
          <w:szCs w:val="24"/>
          <w:lang w:val="kk-KZ"/>
        </w:rPr>
        <w:t>Қазақстан Республикасының экономикалық жүйесіндегі бизнес-ұйымдардың әлеуметтік жауапкершілігін құру және дамыту үрдістерін зерттеу шағын, орта, ірі кәсіпорындардың, фирмалардың, компаниялардың қоғамды, әлеуметтік саланы дамытуға қатысуы қалыптасу сатысында тұрғанын көрсетеді. Әлеуметтік жауапкершіліктің құралдары мен тетіктерін қолдану ірі бизнес-кәсіпкерлік субъектілеріне тән, ал белгілі бір маңызды рөл мемлекетке тиесілі. Әлеуметтік жауапкершілік халықаралық стандарттарға толық сәйкес келмейді. Әлеуметтік жауапкершілікке бағытталған халықаралық менеджмент стандарттарын бизнес-қауымдастық аз пайдаланады.</w:t>
      </w:r>
    </w:p>
    <w:p>
      <w:pPr>
        <w:pStyle w:val="BodyText"/>
        <w:ind w:firstLine="567" w:right="38"/>
        <w:jc w:val="both"/>
        <w:rPr>
          <w:color w:val="231F20"/>
          <w:spacing w:val="-10"/>
          <w:sz w:val="24"/>
          <w:szCs w:val="24"/>
          <w:lang w:val="kk-KZ"/>
        </w:rPr>
      </w:pPr>
      <w:r>
        <w:rPr>
          <w:color w:val="231F20"/>
          <w:spacing w:val="-10"/>
          <w:sz w:val="24"/>
          <w:szCs w:val="24"/>
          <w:lang w:val="kk-KZ"/>
        </w:rPr>
        <w:t>Қазақстан Республикасында бизнестің әлеуметтік жауапкершілігінің қалыптасқан тетіктері мен құралдары әлеуметтік саланың серпінді дамуы, елдің адами әлеуетінің сапалы дамуы үшін кешенді жағдайлар жасамайды, бұл өз кезегінде экономикалық өсудің қарқындылығына ықпал етпейді.</w:t>
      </w:r>
    </w:p>
    <w:p>
      <w:pPr>
        <w:pStyle w:val="BodyText"/>
        <w:ind w:firstLine="567" w:right="38"/>
        <w:jc w:val="both"/>
        <w:rPr>
          <w:color w:val="231F20"/>
          <w:spacing w:val="-10"/>
          <w:sz w:val="24"/>
          <w:szCs w:val="24"/>
          <w:lang w:val="kk-KZ"/>
        </w:rPr>
      </w:pPr>
      <w:r>
        <w:rPr>
          <w:color w:val="231F20"/>
          <w:spacing w:val="-10"/>
          <w:sz w:val="24"/>
          <w:szCs w:val="24"/>
          <w:lang w:val="kk-KZ"/>
        </w:rPr>
        <w:t>Кешенде бизнес-ұйымдардың әлеуметтік жауапкершілігінің анықталған тенденциялары экономиканың, өнеркәсіптің, шағын және орта бизнестің нақты секторының қарқынды дамуының факторы емес, салдары болып табылады деген қорытынды жасауға болады. Бизнестің әлеуметтік жауапкершілік институты қалыптасады, бірақ экономиканы дамытудың локомотиві емес. Нәтижесінде Қазақстан Республикасының қолданыстағы экономикалық жүйесі таяудағы кемінде екі стратегиялық кезеңде индустриялық даму деңгейінде қалатын болады және оның постиндустриалды кезеңге өтуінің берік іргетасы ұзақ мерзімді кезеңде ғана қалыптаса алады.</w:t>
      </w:r>
    </w:p>
    <w:p>
      <w:pPr>
        <w:pStyle w:val="BodyText"/>
        <w:ind w:firstLine="567" w:right="38"/>
        <w:jc w:val="both"/>
        <w:rPr>
          <w:color w:val="231F20"/>
          <w:spacing w:val="-10"/>
          <w:sz w:val="24"/>
          <w:szCs w:val="24"/>
          <w:lang w:val="kk-KZ"/>
        </w:rPr>
      </w:pPr>
      <w:r>
        <w:rPr>
          <w:color w:val="231F20"/>
          <w:spacing w:val="-10"/>
          <w:sz w:val="24"/>
          <w:szCs w:val="24"/>
          <w:lang w:val="kk-KZ"/>
        </w:rPr>
        <w:t>Жоғарыда аталған проблемалар қолданыстағы заңнаманы және нормативтік-құқықтық актілерді қоса алғанда, әлеуметтік жауапкершілік саласындағы тиімсіз мемлекеттік саясатпен тікелей негізделеді. Ел экономикасында бизнес-кәсіпкерлік субъектілеріне қатысты салық, әлеуметтік, еңбек және экологиялық нормативтерді орындау бойынша салыстырмалы түрде төмен талаптар қолданылады.</w:t>
      </w:r>
    </w:p>
    <w:p>
      <w:pPr>
        <w:pStyle w:val="BodyText"/>
        <w:ind w:firstLine="567" w:right="38"/>
        <w:jc w:val="both"/>
        <w:rPr>
          <w:color w:val="231F20"/>
          <w:spacing w:val="-10"/>
          <w:sz w:val="24"/>
          <w:szCs w:val="24"/>
          <w:lang w:val="kk-KZ"/>
        </w:rPr>
      </w:pPr>
      <w:r>
        <w:rPr>
          <w:color w:val="231F20"/>
          <w:spacing w:val="-10"/>
          <w:sz w:val="24"/>
          <w:szCs w:val="24"/>
          <w:lang w:val="kk-KZ"/>
        </w:rPr>
        <w:t>Жүргізілетін зерттеудің перспективалары микро, мезо және макро деңгейлердегі әлеуметтік саланың дамуына тікелей әсерін ескере отырып, ірі корпорациялардың да, шағын және орта бизнес кәсіпорындарының да әлеуметтік жауапкершілігінің ұйымдастырушылық-экономикалық тетіктерін жетілдіруге бағытталуы тиіс. Болашақ зерттеулерде экономикадағы әлеуметтік саланың үлес салмағын анықтау, бизнес-ұйымдардың әлеуметтік жауапкершілік тетіктерін іске асыру арқылы экономиканың дамудың постиндустриалды кезеңіне өту өлшемдерін айқындау жоспарлануда.</w:t>
      </w:r>
    </w:p>
    <w:p>
      <w:pPr>
        <w:pStyle w:val="BodyText"/>
        <w:ind w:firstLine="567" w:right="38"/>
        <w:jc w:val="both"/>
        <w:rPr>
          <w:color w:val="231F20"/>
          <w:spacing w:val="-10"/>
          <w:sz w:val="24"/>
          <w:szCs w:val="24"/>
          <w:lang w:val="kk-KZ"/>
        </w:rPr>
      </w:pPr>
      <w:r>
        <w:rPr>
          <w:color w:val="231F20"/>
          <w:spacing w:val="-10"/>
          <w:sz w:val="24"/>
          <w:szCs w:val="24"/>
          <w:lang w:val="kk-KZ"/>
        </w:rPr>
      </w:r>
    </w:p>
    <w:p>
      <w:pPr>
        <w:pStyle w:val="Normal"/>
        <w:spacing w:lineRule="auto" w:line="240" w:before="0" w:after="0"/>
        <w:ind w:firstLine="567"/>
        <w:jc w:val="center"/>
        <w:rPr>
          <w:rFonts w:ascii="Times New Roman" w:hAnsi="Times New Roman" w:cs="Times New Roman"/>
          <w:b/>
          <w:bCs/>
          <w:sz w:val="24"/>
          <w:szCs w:val="24"/>
          <w:lang w:val="en-US"/>
        </w:rPr>
      </w:pPr>
      <w:bookmarkStart w:id="12" w:name="_Hlk214830115"/>
      <w:bookmarkEnd w:id="12"/>
      <w:r>
        <w:rPr>
          <w:rFonts w:cs="Times New Roman" w:ascii="Times New Roman" w:hAnsi="Times New Roman"/>
          <w:b/>
          <w:bCs/>
          <w:sz w:val="24"/>
          <w:szCs w:val="24"/>
          <w:lang w:val="kk-KZ"/>
        </w:rPr>
        <w:t>Әдебиеттер</w:t>
      </w:r>
    </w:p>
    <w:p>
      <w:pPr>
        <w:pStyle w:val="Normal"/>
        <w:spacing w:lineRule="auto" w:line="240" w:before="0" w:after="0"/>
        <w:ind w:firstLine="567"/>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ListParagraph"/>
        <w:numPr>
          <w:ilvl w:val="0"/>
          <w:numId w:val="18"/>
        </w:numPr>
        <w:tabs>
          <w:tab w:val="clear" w:pos="708"/>
          <w:tab w:val="left" w:pos="426" w:leader="none"/>
        </w:tabs>
        <w:ind w:hanging="0" w:left="0"/>
        <w:jc w:val="both"/>
        <w:rPr>
          <w:lang w:val="kk-KZ"/>
        </w:rPr>
      </w:pPr>
      <w:r>
        <w:rPr>
          <w:lang w:val="kk-KZ"/>
        </w:rPr>
        <w:t xml:space="preserve">Мауленкулова Г.Е., Бигельдиева З.А., Исахметова А.Н. Тұрақты даму шеңберіндегі бизнестің әлеуметтік жауапкершілігін зерттеу // Статистика, есеп және аудит. - 2025. </w:t>
      </w:r>
      <w:r>
        <w:rPr>
          <w:lang w:val="en-US"/>
        </w:rPr>
        <w:t>-</w:t>
      </w:r>
      <w:r>
        <w:rPr>
          <w:lang w:val="kk-KZ"/>
        </w:rPr>
        <w:t xml:space="preserve">№ 1(96). Б.- 244-254. DOI 10.51579/1563-2415.2025.-1.18.  </w:t>
      </w:r>
    </w:p>
    <w:p>
      <w:pPr>
        <w:pStyle w:val="ListParagraph"/>
        <w:numPr>
          <w:ilvl w:val="0"/>
          <w:numId w:val="18"/>
        </w:numPr>
        <w:tabs>
          <w:tab w:val="clear" w:pos="708"/>
          <w:tab w:val="left" w:pos="426" w:leader="none"/>
        </w:tabs>
        <w:ind w:hanging="0" w:left="0"/>
        <w:jc w:val="both"/>
        <w:rPr>
          <w:lang w:val="kk-KZ"/>
        </w:rPr>
      </w:pPr>
      <w:r>
        <w:rPr>
          <w:lang w:val="kk-KZ"/>
        </w:rPr>
        <w:t xml:space="preserve">Liagutov K.J., Zelezinskii A.L., Arhipova O.V.  The impact of corporate social responsibility on business competitiveness // Economic Vector. -2023. -№ 4(35). -P. 5-8. DOI 10.36807/2411-7269-2023-4-35-5-8.  </w:t>
      </w:r>
    </w:p>
    <w:p>
      <w:pPr>
        <w:pStyle w:val="ListParagraph"/>
        <w:numPr>
          <w:ilvl w:val="0"/>
          <w:numId w:val="18"/>
        </w:numPr>
        <w:tabs>
          <w:tab w:val="clear" w:pos="708"/>
          <w:tab w:val="left" w:pos="426" w:leader="none"/>
        </w:tabs>
        <w:ind w:hanging="0" w:left="0"/>
        <w:jc w:val="both"/>
        <w:rPr>
          <w:lang w:val="kk-KZ"/>
        </w:rPr>
      </w:pPr>
      <w:r>
        <w:rPr>
          <w:lang w:val="kk-KZ"/>
        </w:rPr>
        <w:t xml:space="preserve">Туреханова А.О., Устенова О.Ж. Маркетинговая оценка влияния корпоративной социальной ответсвенности на развитие малого бизнеса// Central Asian Economic Review. -2022. -Т.(4). - С.70-81. </w:t>
      </w:r>
      <w:r>
        <w:rPr>
          <w:lang w:val="en-US"/>
        </w:rPr>
        <w:t>DOI</w:t>
      </w:r>
      <w:r>
        <w:rPr/>
        <w:t xml:space="preserve"> </w:t>
      </w:r>
      <w:r>
        <w:rPr>
          <w:lang w:val="kk-KZ"/>
        </w:rPr>
        <w:t>10.52821/2789-4401-2022-4-70-81</w:t>
      </w:r>
      <w:r>
        <w:rPr/>
        <w:t>.</w:t>
      </w:r>
    </w:p>
    <w:p>
      <w:pPr>
        <w:pStyle w:val="ListParagraph"/>
        <w:numPr>
          <w:ilvl w:val="0"/>
          <w:numId w:val="18"/>
        </w:numPr>
        <w:tabs>
          <w:tab w:val="clear" w:pos="708"/>
          <w:tab w:val="left" w:pos="426" w:leader="none"/>
        </w:tabs>
        <w:ind w:hanging="0" w:left="0"/>
        <w:jc w:val="both"/>
        <w:rPr>
          <w:lang w:val="kk-KZ"/>
        </w:rPr>
      </w:pPr>
      <w:r>
        <w:rPr>
          <w:lang w:val="kk-KZ"/>
        </w:rPr>
        <w:t>Сайдулаева З. С. Место и роль субъектов малого и среднего предпринимательства в развитии социальной ответственности бизнеса // Central Asian Scientific Journal. - 2023. -T.1(16). - С. 68-78.</w:t>
      </w:r>
    </w:p>
    <w:p>
      <w:pPr>
        <w:pStyle w:val="ListParagraph"/>
        <w:numPr>
          <w:ilvl w:val="0"/>
          <w:numId w:val="18"/>
        </w:numPr>
        <w:tabs>
          <w:tab w:val="clear" w:pos="708"/>
          <w:tab w:val="left" w:pos="426" w:leader="none"/>
        </w:tabs>
        <w:ind w:hanging="0" w:left="0"/>
        <w:jc w:val="both"/>
        <w:rPr>
          <w:lang w:val="kk-KZ"/>
        </w:rPr>
      </w:pPr>
      <w:r>
        <w:rPr>
          <w:lang w:val="kk-KZ"/>
        </w:rPr>
        <w:t xml:space="preserve">Bulkhairova Z., Bermukhamedova G., Dzhanegizova A., Primbetova S. Corporate Social Responsibility in Kazakhstan: Current State and Ways of Development // Eurasian Journal of Economic and Business Studies. -2023. - 67(1). -Р. 27–38. </w:t>
      </w:r>
      <w:hyperlink r:id="rId340">
        <w:r>
          <w:rPr>
            <w:rStyle w:val="Style3"/>
            <w:lang w:val="kk-KZ"/>
          </w:rPr>
          <w:t>DOI 10.47703/ejebs.v1i67.245</w:t>
        </w:r>
      </w:hyperlink>
      <w:r>
        <w:rPr>
          <w:lang w:val="kk-KZ"/>
        </w:rPr>
        <w:t>.</w:t>
      </w:r>
    </w:p>
    <w:p>
      <w:pPr>
        <w:pStyle w:val="ListParagraph"/>
        <w:numPr>
          <w:ilvl w:val="0"/>
          <w:numId w:val="18"/>
        </w:numPr>
        <w:tabs>
          <w:tab w:val="clear" w:pos="708"/>
          <w:tab w:val="left" w:pos="426" w:leader="none"/>
        </w:tabs>
        <w:ind w:hanging="0" w:left="0"/>
        <w:jc w:val="both"/>
        <w:rPr>
          <w:lang w:val="kk-KZ"/>
        </w:rPr>
      </w:pPr>
      <w:r>
        <w:rPr>
          <w:lang w:val="kk-KZ"/>
        </w:rPr>
        <w:t>Carrera L. Corporate social responsibility. A strategy for social and territorial sustainability // International Journal of Corporate Social Responsibility. - 2022. - Vol. 7(1). - P. 1-11. DOI 10.1186/ s40991-022-00074-0.</w:t>
      </w:r>
    </w:p>
    <w:p>
      <w:pPr>
        <w:pStyle w:val="ListParagraph"/>
        <w:numPr>
          <w:ilvl w:val="0"/>
          <w:numId w:val="18"/>
        </w:numPr>
        <w:tabs>
          <w:tab w:val="clear" w:pos="708"/>
          <w:tab w:val="left" w:pos="426" w:leader="none"/>
        </w:tabs>
        <w:ind w:hanging="0" w:left="0"/>
        <w:jc w:val="both"/>
        <w:rPr>
          <w:lang w:val="kk-KZ"/>
        </w:rPr>
      </w:pPr>
      <w:r>
        <w:rPr>
          <w:lang w:val="kk-KZ"/>
        </w:rPr>
        <w:t>Пустынникова Е.В., Тимохина А.В.Корпоративная социальная ответственность бизнеса // Экономика и бизнес: теория и практика. - 2023. - №11-3 (105).-C.12-16. DOI 10.24412/2411-0450-2023-11-3-12-16.</w:t>
      </w:r>
    </w:p>
    <w:p>
      <w:pPr>
        <w:pStyle w:val="ListParagraph"/>
        <w:numPr>
          <w:ilvl w:val="0"/>
          <w:numId w:val="18"/>
        </w:numPr>
        <w:tabs>
          <w:tab w:val="clear" w:pos="708"/>
          <w:tab w:val="left" w:pos="426" w:leader="none"/>
        </w:tabs>
        <w:ind w:hanging="0" w:left="0"/>
        <w:jc w:val="both"/>
        <w:rPr>
          <w:lang w:val="kk-KZ"/>
        </w:rPr>
      </w:pPr>
      <w:r>
        <w:rPr>
          <w:lang w:val="kk-KZ"/>
        </w:rPr>
        <w:t xml:space="preserve">Newman C., Rand J., Tarp F., </w:t>
      </w:r>
      <w:hyperlink r:id="rId341">
        <w:r>
          <w:rPr>
            <w:rStyle w:val="Style3"/>
            <w:lang w:val="kk-KZ"/>
          </w:rPr>
          <w:t>Trifkovic</w:t>
        </w:r>
      </w:hyperlink>
      <w:r>
        <w:rPr>
          <w:lang w:val="kk-KZ"/>
        </w:rPr>
        <w:t xml:space="preserve"> N. Corporate social responsibility in a competitive business environment // The Journal of Development Studies. -2020. - Vol. 56(8). -Р. 1455-1472. </w:t>
      </w:r>
      <w:hyperlink r:id="rId342">
        <w:r>
          <w:rPr>
            <w:rStyle w:val="Style3"/>
            <w:lang w:val="kk-KZ"/>
          </w:rPr>
          <w:t xml:space="preserve"> DOI 10.1080/00220388.2019.1694144</w:t>
        </w:r>
      </w:hyperlink>
      <w:r>
        <w:rPr>
          <w:lang w:val="kk-KZ"/>
        </w:rPr>
        <w:t xml:space="preserve">.  </w:t>
      </w:r>
    </w:p>
    <w:p>
      <w:pPr>
        <w:pStyle w:val="ListParagraph"/>
        <w:numPr>
          <w:ilvl w:val="0"/>
          <w:numId w:val="18"/>
        </w:numPr>
        <w:tabs>
          <w:tab w:val="clear" w:pos="708"/>
          <w:tab w:val="left" w:pos="426" w:leader="none"/>
        </w:tabs>
        <w:ind w:hanging="0" w:left="0"/>
        <w:jc w:val="both"/>
        <w:rPr>
          <w:lang w:val="kk-KZ"/>
        </w:rPr>
      </w:pPr>
      <w:r>
        <w:rPr>
          <w:lang w:val="kk-KZ"/>
        </w:rPr>
        <w:t>Yerniyazova A., Smailova Zh. Corporate social responsibility of business in the republic of Kazakhstan // Reports of the National Academy of sciences of the Republic of Kazakhstan. - 2019. -Vol. 4 (326). - Р. 76–82. DOI 10.32014/2019.2518-1483.119.</w:t>
      </w:r>
    </w:p>
    <w:p>
      <w:pPr>
        <w:pStyle w:val="ListParagraph"/>
        <w:numPr>
          <w:ilvl w:val="0"/>
          <w:numId w:val="18"/>
        </w:numPr>
        <w:tabs>
          <w:tab w:val="clear" w:pos="708"/>
          <w:tab w:val="left" w:pos="426" w:leader="none"/>
        </w:tabs>
        <w:ind w:hanging="0" w:left="0"/>
        <w:jc w:val="both"/>
        <w:rPr>
          <w:lang w:val="kk-KZ"/>
        </w:rPr>
      </w:pPr>
      <w:r>
        <w:rPr>
          <w:lang w:val="kk-KZ"/>
        </w:rPr>
        <w:t>Baltabayeva A.K., Altaibayeva Z.K., Shelomentseva V.P., Mutallyapova S.E., Alimkhanova R.K. Promotion of the Principles of Corporate Social Responsibility and their Implementation by Large Businesses in Kazakhstan // Australasian Accounting, Business and Finance Journal. -2024. - №18(1). -Р. 172-186. DOI 10.14453/aabfj.v18i1.11.</w:t>
      </w:r>
    </w:p>
    <w:p>
      <w:pPr>
        <w:pStyle w:val="ListParagraph"/>
        <w:numPr>
          <w:ilvl w:val="0"/>
          <w:numId w:val="18"/>
        </w:numPr>
        <w:tabs>
          <w:tab w:val="clear" w:pos="708"/>
          <w:tab w:val="left" w:pos="426" w:leader="none"/>
        </w:tabs>
        <w:ind w:hanging="0" w:left="0"/>
        <w:jc w:val="both"/>
        <w:rPr>
          <w:lang w:val="kk-KZ"/>
        </w:rPr>
      </w:pPr>
      <w:r>
        <w:rPr>
          <w:lang w:val="kk-KZ"/>
        </w:rPr>
        <w:t xml:space="preserve">Тауекелова Т.Б., Абдикерова Г.О. Қазақстандық бизнестің әлеуметтік жауапкершілігін қалыптастыру ерекшеліктері // ҚазҰУ Хабаршысы. Психология және әлеуметтану сериясы. -2021. -№78(3). –Б.157–166. </w:t>
      </w:r>
      <w:hyperlink r:id="rId343">
        <w:r>
          <w:rPr>
            <w:rStyle w:val="Style3"/>
            <w:lang w:val="kk-KZ"/>
          </w:rPr>
          <w:t>DOI 10.26577/JPsS.2021.v78.i3.14</w:t>
        </w:r>
      </w:hyperlink>
      <w:r>
        <w:rPr>
          <w:lang w:val="kk-KZ"/>
        </w:rPr>
        <w:t>.</w:t>
      </w:r>
    </w:p>
    <w:p>
      <w:pPr>
        <w:pStyle w:val="ListParagraph"/>
        <w:numPr>
          <w:ilvl w:val="0"/>
          <w:numId w:val="18"/>
        </w:numPr>
        <w:tabs>
          <w:tab w:val="clear" w:pos="708"/>
          <w:tab w:val="left" w:pos="426" w:leader="none"/>
        </w:tabs>
        <w:ind w:hanging="0" w:left="0"/>
        <w:jc w:val="both"/>
        <w:rPr>
          <w:lang w:val="kk-KZ"/>
        </w:rPr>
      </w:pPr>
      <w:r>
        <w:rPr>
          <w:lang w:val="kk-KZ"/>
        </w:rPr>
        <w:t xml:space="preserve">Социальная ответственность бизнеса. Бизнес бастама. -2018. URL: </w:t>
      </w:r>
      <w:hyperlink r:id="rId344">
        <w:r>
          <w:rPr>
            <w:rStyle w:val="Style3"/>
            <w:lang w:val="kk-KZ"/>
          </w:rPr>
          <w:t>https://startinfo.kz/buisness/sozialno-v/</w:t>
        </w:r>
      </w:hyperlink>
      <w:r>
        <w:rPr>
          <w:lang w:val="kk-KZ"/>
        </w:rPr>
        <w:t>. -Қаралған күні: 30.05.2025.</w:t>
      </w:r>
    </w:p>
    <w:p>
      <w:pPr>
        <w:pStyle w:val="ListParagraph"/>
        <w:tabs>
          <w:tab w:val="clear" w:pos="708"/>
          <w:tab w:val="left" w:pos="993" w:leader="none"/>
        </w:tabs>
        <w:ind w:left="567"/>
        <w:jc w:val="both"/>
        <w:rPr>
          <w:lang w:val="kk-KZ"/>
        </w:rPr>
      </w:pPr>
      <w:r>
        <w:rPr>
          <w:lang w:val="kk-KZ"/>
        </w:rPr>
      </w:r>
    </w:p>
    <w:p>
      <w:pPr>
        <w:pStyle w:val="Normal"/>
        <w:spacing w:lineRule="auto" w:line="240" w:before="0" w:after="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References</w:t>
      </w:r>
    </w:p>
    <w:p>
      <w:pPr>
        <w:pStyle w:val="Normal"/>
        <w:spacing w:lineRule="auto" w:line="240" w:before="0" w:after="0"/>
        <w:ind w:firstLine="567"/>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ListParagraph"/>
        <w:numPr>
          <w:ilvl w:val="0"/>
          <w:numId w:val="19"/>
        </w:numPr>
        <w:tabs>
          <w:tab w:val="clear" w:pos="708"/>
          <w:tab w:val="left" w:pos="284" w:leader="none"/>
        </w:tabs>
        <w:ind w:hanging="0" w:left="0"/>
        <w:jc w:val="both"/>
        <w:rPr>
          <w:lang w:val="en-US"/>
        </w:rPr>
      </w:pPr>
      <w:r>
        <w:rPr>
          <w:lang w:val="en-US"/>
        </w:rPr>
        <w:t>Maulenkulova G.E., Bigel'dieva Z.A., Isakhmetova A.N. Turakty damu shenber</w:t>
      </w:r>
      <w:r>
        <w:rPr/>
        <w:t>і</w:t>
      </w:r>
      <w:r>
        <w:rPr>
          <w:lang w:val="en-US"/>
        </w:rPr>
        <w:t>ndeg</w:t>
      </w:r>
      <w:r>
        <w:rPr/>
        <w:t>і</w:t>
      </w:r>
      <w:r>
        <w:rPr>
          <w:lang w:val="en-US"/>
        </w:rPr>
        <w:t xml:space="preserve"> biznest</w:t>
      </w:r>
      <w:r>
        <w:rPr/>
        <w:t>і</w:t>
      </w:r>
      <w:r>
        <w:rPr>
          <w:lang w:val="en-US"/>
        </w:rPr>
        <w:t>n aleumett</w:t>
      </w:r>
      <w:r>
        <w:rPr/>
        <w:t>і</w:t>
      </w:r>
      <w:r>
        <w:rPr>
          <w:lang w:val="en-US"/>
        </w:rPr>
        <w:t>k zhauapkersh</w:t>
      </w:r>
      <w:r>
        <w:rPr/>
        <w:t>і</w:t>
      </w:r>
      <w:r>
        <w:rPr>
          <w:lang w:val="en-US"/>
        </w:rPr>
        <w:t>l</w:t>
      </w:r>
      <w:r>
        <w:rPr/>
        <w:t>і</w:t>
      </w:r>
      <w:r>
        <w:rPr>
          <w:lang w:val="en-US"/>
        </w:rPr>
        <w:t>g</w:t>
      </w:r>
      <w:r>
        <w:rPr/>
        <w:t>і</w:t>
      </w:r>
      <w:r>
        <w:rPr>
          <w:lang w:val="en-US"/>
        </w:rPr>
        <w:t>n zertteu // Statistika, esep zhane audit. - 2025. -</w:t>
      </w:r>
      <w:r>
        <w:rPr>
          <w:lang w:val="kk-KZ"/>
        </w:rPr>
        <w:t xml:space="preserve">№ 1(96). </w:t>
      </w:r>
      <w:r>
        <w:rPr>
          <w:lang w:val="en-US"/>
        </w:rPr>
        <w:t>B</w:t>
      </w:r>
      <w:r>
        <w:rPr>
          <w:lang w:val="kk-KZ"/>
        </w:rPr>
        <w:t>.- 244-254. DOI 10.</w:t>
      </w:r>
      <w:r>
        <w:rPr>
          <w:lang w:val="en-US"/>
        </w:rPr>
        <w:t xml:space="preserve">51579/1563-2415.2025.-1.18.  [in Kazakh]   </w:t>
      </w:r>
    </w:p>
    <w:p>
      <w:pPr>
        <w:pStyle w:val="ListParagraph"/>
        <w:numPr>
          <w:ilvl w:val="0"/>
          <w:numId w:val="19"/>
        </w:numPr>
        <w:tabs>
          <w:tab w:val="clear" w:pos="708"/>
          <w:tab w:val="left" w:pos="284" w:leader="none"/>
        </w:tabs>
        <w:ind w:hanging="0" w:left="0"/>
        <w:jc w:val="both"/>
        <w:rPr>
          <w:lang w:val="en-US"/>
        </w:rPr>
      </w:pPr>
      <w:r>
        <w:rPr>
          <w:lang w:val="en-US"/>
        </w:rPr>
        <w:t xml:space="preserve">Liagutov K.J., Zelezinskii A.L., Arhipova O.V.  The impact of corporate social responsibility on business competitiveness // Economic Vector. -2023. -№4(35). -P. 5-8. DOI 10.36807/2411-7269-2023-4-35-5-8.  </w:t>
      </w:r>
    </w:p>
    <w:p>
      <w:pPr>
        <w:pStyle w:val="ListParagraph"/>
        <w:numPr>
          <w:ilvl w:val="0"/>
          <w:numId w:val="19"/>
        </w:numPr>
        <w:tabs>
          <w:tab w:val="clear" w:pos="708"/>
          <w:tab w:val="left" w:pos="284" w:leader="none"/>
        </w:tabs>
        <w:ind w:hanging="0" w:left="0"/>
        <w:jc w:val="both"/>
        <w:rPr>
          <w:lang w:val="en-US"/>
        </w:rPr>
      </w:pPr>
      <w:r>
        <w:rPr>
          <w:lang w:val="en-US"/>
        </w:rPr>
        <w:t>Turehanova A.O., Ustenova O.Zh. Marketingovaja ocenka vlijanija korporativnoj social'noj otvetsvennosti na razvitie malogo biznesa// Central Asian Economic Review. -2022. -T.(4). -S.70-81. DOI 10.52821/2789-4401-2022-4-70-81. [in Russian]</w:t>
      </w:r>
    </w:p>
    <w:p>
      <w:pPr>
        <w:pStyle w:val="ListParagraph"/>
        <w:numPr>
          <w:ilvl w:val="0"/>
          <w:numId w:val="19"/>
        </w:numPr>
        <w:tabs>
          <w:tab w:val="clear" w:pos="708"/>
          <w:tab w:val="left" w:pos="284" w:leader="none"/>
        </w:tabs>
        <w:ind w:hanging="0" w:left="0"/>
        <w:jc w:val="both"/>
        <w:rPr>
          <w:lang w:val="en-US"/>
        </w:rPr>
      </w:pPr>
      <w:r>
        <w:rPr>
          <w:lang w:val="en-US"/>
        </w:rPr>
        <w:t>Saidulaeva Z. S. Mesto i rol' sub"ektov malogo i srednego predprinimatel'stva v razvitii sotsial'noi otvetstvennosti biznesa // Central Asian Scientific Journal. -2023. -T.1(16). -S. 68-78. [in Russian]</w:t>
      </w:r>
    </w:p>
    <w:p>
      <w:pPr>
        <w:pStyle w:val="ListParagraph"/>
        <w:numPr>
          <w:ilvl w:val="0"/>
          <w:numId w:val="19"/>
        </w:numPr>
        <w:tabs>
          <w:tab w:val="clear" w:pos="708"/>
          <w:tab w:val="left" w:pos="284" w:leader="none"/>
        </w:tabs>
        <w:ind w:hanging="0" w:left="0"/>
        <w:jc w:val="both"/>
        <w:rPr>
          <w:lang w:val="en-US"/>
        </w:rPr>
      </w:pPr>
      <w:r>
        <w:rPr>
          <w:lang w:val="en-US"/>
        </w:rPr>
        <w:t xml:space="preserve">Bulkhairova Z., Bermukhamedova G., Dzhanegizova A., Primbetova S. Corporate Social Responsibility in Kazakhstan: Current State and Ways of Development // Eurasian Journal of Economic and Business Studies. -2023. - 67(1). -Р. 27–38. </w:t>
      </w:r>
      <w:hyperlink r:id="rId345">
        <w:r>
          <w:rPr>
            <w:rStyle w:val="Style3"/>
            <w:lang w:val="en-US"/>
          </w:rPr>
          <w:t>DOI 10.47703/ejebs.v1i67.245</w:t>
        </w:r>
      </w:hyperlink>
      <w:r>
        <w:rPr>
          <w:lang w:val="en-US"/>
        </w:rPr>
        <w:t>.</w:t>
      </w:r>
    </w:p>
    <w:p>
      <w:pPr>
        <w:pStyle w:val="ListParagraph"/>
        <w:numPr>
          <w:ilvl w:val="0"/>
          <w:numId w:val="19"/>
        </w:numPr>
        <w:tabs>
          <w:tab w:val="clear" w:pos="708"/>
          <w:tab w:val="left" w:pos="284" w:leader="none"/>
        </w:tabs>
        <w:ind w:hanging="0" w:left="0"/>
        <w:jc w:val="both"/>
        <w:rPr>
          <w:lang w:val="en-US"/>
        </w:rPr>
      </w:pPr>
      <w:r>
        <w:rPr>
          <w:lang w:val="en-US"/>
        </w:rPr>
        <w:t>Carrera L. Corporate social responsibility. A strategy for social and territorial sustainability // International Journal of Corporate Social Responsibility. - 2022. - Vol. 7(1). - P. 1-11. DOI 10.1186/ s40991-022-00074-0.</w:t>
      </w:r>
    </w:p>
    <w:p>
      <w:pPr>
        <w:pStyle w:val="ListParagraph"/>
        <w:numPr>
          <w:ilvl w:val="0"/>
          <w:numId w:val="19"/>
        </w:numPr>
        <w:tabs>
          <w:tab w:val="clear" w:pos="708"/>
          <w:tab w:val="left" w:pos="284" w:leader="none"/>
        </w:tabs>
        <w:ind w:hanging="0" w:left="0"/>
        <w:jc w:val="both"/>
        <w:rPr>
          <w:lang w:val="en-US"/>
        </w:rPr>
      </w:pPr>
      <w:r>
        <w:rPr>
          <w:lang w:val="en-US"/>
        </w:rPr>
        <w:t>Pustynnikova E.V. Korporativnaya sotsial'naya otvetstvennost' biznesa // Ekonomika i biznes: teoriya i praktika. -2023. -№11-3 (105). DOI 10.24412/2411-0450-2023-11-3-12-16. [in Russian]</w:t>
      </w:r>
    </w:p>
    <w:p>
      <w:pPr>
        <w:pStyle w:val="ListParagraph"/>
        <w:numPr>
          <w:ilvl w:val="0"/>
          <w:numId w:val="19"/>
        </w:numPr>
        <w:tabs>
          <w:tab w:val="clear" w:pos="708"/>
          <w:tab w:val="left" w:pos="284" w:leader="none"/>
        </w:tabs>
        <w:ind w:hanging="0" w:left="0"/>
        <w:jc w:val="both"/>
        <w:rPr>
          <w:lang w:val="en-US"/>
        </w:rPr>
      </w:pPr>
      <w:r>
        <w:rPr>
          <w:lang w:val="en-US"/>
        </w:rPr>
        <w:t xml:space="preserve">Newman C., Rand J., Tarp F., </w:t>
      </w:r>
      <w:hyperlink r:id="rId346">
        <w:r>
          <w:rPr>
            <w:rStyle w:val="Style3"/>
            <w:lang w:val="en-US"/>
          </w:rPr>
          <w:t>Trifkovic</w:t>
        </w:r>
      </w:hyperlink>
      <w:r>
        <w:rPr>
          <w:lang w:val="en-US"/>
        </w:rPr>
        <w:t xml:space="preserve"> N. Corporate social responsibility in a competitive business environment // The Journal of Development Studies. -2020. - Vol. 56(8). -Р. 1455-1472. </w:t>
      </w:r>
      <w:hyperlink r:id="rId347">
        <w:r>
          <w:rPr>
            <w:rStyle w:val="Style3"/>
            <w:lang w:val="en-US"/>
          </w:rPr>
          <w:t xml:space="preserve"> DOI 10.1080/00220388.2019.1694144</w:t>
        </w:r>
      </w:hyperlink>
      <w:r>
        <w:rPr>
          <w:lang w:val="en-US"/>
        </w:rPr>
        <w:t xml:space="preserve">.  </w:t>
      </w:r>
    </w:p>
    <w:p>
      <w:pPr>
        <w:pStyle w:val="ListParagraph"/>
        <w:numPr>
          <w:ilvl w:val="0"/>
          <w:numId w:val="19"/>
        </w:numPr>
        <w:tabs>
          <w:tab w:val="clear" w:pos="708"/>
          <w:tab w:val="left" w:pos="284" w:leader="none"/>
        </w:tabs>
        <w:ind w:hanging="0" w:left="0"/>
        <w:jc w:val="both"/>
        <w:rPr>
          <w:lang w:val="en-US"/>
        </w:rPr>
      </w:pPr>
      <w:r>
        <w:rPr>
          <w:lang w:val="en-US"/>
        </w:rPr>
        <w:t>Yerniyazova A., Smailova Zh. Corporate social responsibility of business in the republic of Kazakhstan // Reports of the National Academy of sciences of the Republic of Kazakhstan. - 2019. -Vol. 4 (326). - Р. 76-82. DOI 10.32014/2019.2518-1483.119.</w:t>
      </w:r>
    </w:p>
    <w:p>
      <w:pPr>
        <w:pStyle w:val="ListParagraph"/>
        <w:numPr>
          <w:ilvl w:val="0"/>
          <w:numId w:val="19"/>
        </w:numPr>
        <w:tabs>
          <w:tab w:val="clear" w:pos="708"/>
          <w:tab w:val="left" w:pos="284" w:leader="none"/>
        </w:tabs>
        <w:ind w:hanging="0" w:left="0"/>
        <w:jc w:val="both"/>
        <w:rPr>
          <w:lang w:val="en-US"/>
        </w:rPr>
      </w:pPr>
      <w:r>
        <w:rPr>
          <w:lang w:val="en-US"/>
        </w:rPr>
        <w:t>Baltabayeva A.K., Altaibayeva Z.K., Shelomentseva V.P., Mutallyapova S.E., Alimkhanova R.K. Promotion of the Principles of Corporate Social Responsibility and their Implementation by Large Businesses in Kazakhstan // Australasian Accounting, Business and Finance Journal. -2024. - №18(1). -Р. 172-186. DOI 10.14453/aabfj.v18i1.11.</w:t>
      </w:r>
    </w:p>
    <w:p>
      <w:pPr>
        <w:pStyle w:val="ListParagraph"/>
        <w:numPr>
          <w:ilvl w:val="0"/>
          <w:numId w:val="19"/>
        </w:numPr>
        <w:tabs>
          <w:tab w:val="clear" w:pos="708"/>
          <w:tab w:val="left" w:pos="284" w:leader="none"/>
        </w:tabs>
        <w:ind w:hanging="0" w:left="0"/>
        <w:jc w:val="both"/>
        <w:rPr>
          <w:lang w:val="en-US"/>
        </w:rPr>
      </w:pPr>
      <w:r>
        <w:rPr>
          <w:lang w:val="en-US"/>
        </w:rPr>
        <w:t xml:space="preserve">Tauekelova T.B., Abdikerova G.O. Kazakstandik biznestіn aleumettіk zhauapkershіlіgіn kalyptastyru erekshelіkterі // ҚazUU Khabarshysy. Psikhologiya zhane aleumettanu seriyasy. -2021. - №78(3). -B. 157-166. </w:t>
      </w:r>
      <w:hyperlink r:id="rId348">
        <w:r>
          <w:rPr>
            <w:rStyle w:val="Style3"/>
            <w:lang w:val="en-US"/>
          </w:rPr>
          <w:t>DOI 10.26577/JPsS.2021.v78.i3.14</w:t>
        </w:r>
      </w:hyperlink>
      <w:r>
        <w:rPr>
          <w:lang w:val="en-US"/>
        </w:rPr>
        <w:t xml:space="preserve">. [in Kazakh] </w:t>
      </w:r>
    </w:p>
    <w:p>
      <w:pPr>
        <w:pStyle w:val="ListParagraph"/>
        <w:numPr>
          <w:ilvl w:val="0"/>
          <w:numId w:val="19"/>
        </w:numPr>
        <w:tabs>
          <w:tab w:val="clear" w:pos="708"/>
          <w:tab w:val="left" w:pos="284" w:leader="none"/>
        </w:tabs>
        <w:ind w:hanging="0" w:left="0"/>
        <w:jc w:val="both"/>
        <w:rPr>
          <w:lang w:val="en-US"/>
        </w:rPr>
      </w:pPr>
      <w:r>
        <w:rPr>
          <w:lang w:val="en-US"/>
        </w:rPr>
        <w:t xml:space="preserve">Social'naya otvetstvennost' biznesa. Biznes bastama. -2018. URL: </w:t>
      </w:r>
      <w:hyperlink r:id="rId349">
        <w:r>
          <w:rPr>
            <w:rStyle w:val="Style3"/>
            <w:lang w:val="en-US"/>
          </w:rPr>
          <w:t>https://startinfo.kz/buisness/sozialno-v/</w:t>
        </w:r>
      </w:hyperlink>
      <w:r>
        <w:rPr>
          <w:lang w:val="en-US"/>
        </w:rPr>
        <w:t>. Date of access: 30.05.2025. [in Russian]</w:t>
      </w:r>
    </w:p>
    <w:p>
      <w:pPr>
        <w:pStyle w:val="Normal"/>
        <w:spacing w:lineRule="auto" w:line="240" w:before="0" w:after="0"/>
        <w:ind w:firstLine="567" w:right="-15"/>
        <w:jc w:val="both"/>
        <w:rPr>
          <w:rFonts w:ascii="Times New Roman" w:hAnsi="Times New Roman" w:cs="Times New Roman"/>
          <w:color w:val="000000"/>
          <w:spacing w:val="-2"/>
          <w:sz w:val="24"/>
          <w:szCs w:val="24"/>
          <w:lang w:val="kk-KZ"/>
        </w:rPr>
      </w:pPr>
      <w:r>
        <w:rPr>
          <w:rFonts w:cs="Times New Roman" w:ascii="Times New Roman" w:hAnsi="Times New Roman"/>
          <w:color w:val="000000"/>
          <w:spacing w:val="-2"/>
          <w:sz w:val="24"/>
          <w:szCs w:val="24"/>
          <w:lang w:val="kk-KZ"/>
        </w:rPr>
      </w:r>
    </w:p>
    <w:p>
      <w:pPr>
        <w:pStyle w:val="Normal"/>
        <w:spacing w:lineRule="auto" w:line="240" w:before="0" w:after="0"/>
        <w:ind w:firstLine="567"/>
        <w:jc w:val="both"/>
        <w:rPr>
          <w:rFonts w:ascii="Times New Roman" w:hAnsi="Times New Roman" w:cs="Times New Roman"/>
          <w:b/>
          <w:bCs/>
          <w:i/>
          <w:i/>
          <w:sz w:val="20"/>
          <w:szCs w:val="20"/>
          <w:lang w:val="kk-KZ"/>
        </w:rPr>
      </w:pPr>
      <w:r>
        <w:rPr>
          <w:rFonts w:cs="Times New Roman" w:ascii="Times New Roman" w:hAnsi="Times New Roman"/>
          <w:b/>
          <w:bCs/>
          <w:i/>
          <w:sz w:val="20"/>
          <w:szCs w:val="20"/>
          <w:lang w:val="kk-KZ"/>
        </w:rPr>
        <w:t>Авторлар туралы мәлімет</w:t>
      </w:r>
    </w:p>
    <w:p>
      <w:pPr>
        <w:pStyle w:val="Normal"/>
        <w:spacing w:lineRule="auto" w:line="240" w:before="0" w:after="0"/>
        <w:ind w:firstLine="567"/>
        <w:jc w:val="both"/>
        <w:rPr>
          <w:rFonts w:ascii="Times New Roman" w:hAnsi="Times New Roman" w:cs="Times New Roman"/>
          <w:b/>
          <w:bCs/>
          <w:i/>
          <w:i/>
          <w:sz w:val="20"/>
          <w:szCs w:val="20"/>
          <w:lang w:val="kk-KZ"/>
        </w:rPr>
      </w:pPr>
      <w:r>
        <w:rPr>
          <w:rFonts w:cs="Times New Roman" w:ascii="Times New Roman" w:hAnsi="Times New Roman"/>
          <w:b/>
          <w:bCs/>
          <w:i/>
          <w:sz w:val="20"/>
          <w:szCs w:val="20"/>
          <w:lang w:val="kk-KZ"/>
        </w:rPr>
      </w:r>
    </w:p>
    <w:p>
      <w:pPr>
        <w:pStyle w:val="Normal"/>
        <w:spacing w:lineRule="auto" w:line="240" w:before="0" w:after="0"/>
        <w:jc w:val="both"/>
        <w:rPr>
          <w:rFonts w:ascii="Times New Roman" w:hAnsi="Times New Roman" w:cs="Times New Roman"/>
          <w:iCs/>
          <w:sz w:val="20"/>
          <w:szCs w:val="20"/>
          <w:lang w:val="kk-KZ"/>
        </w:rPr>
      </w:pPr>
      <w:r>
        <w:rPr>
          <w:rFonts w:cs="Times New Roman" w:ascii="Times New Roman" w:hAnsi="Times New Roman"/>
          <w:iCs/>
          <w:sz w:val="20"/>
          <w:szCs w:val="20"/>
          <w:lang w:val="kk-KZ"/>
        </w:rPr>
        <w:t xml:space="preserve">Ибраимова С.Ж. - э.ғ.к., профессор, Қ.Құлажанов атындағы Қазақ технология және бизнес университеті, Астана, Қазақстан, е-mail: </w:t>
      </w:r>
      <w:hyperlink r:id="rId350">
        <w:r>
          <w:rPr>
            <w:rStyle w:val="Hyperlink"/>
            <w:rFonts w:cs="Times New Roman" w:ascii="Times New Roman" w:hAnsi="Times New Roman"/>
            <w:iCs/>
            <w:color w:val="auto"/>
            <w:sz w:val="20"/>
            <w:szCs w:val="20"/>
            <w:u w:val="none"/>
            <w:lang w:val="kk-KZ"/>
          </w:rPr>
          <w:t>saule_ibraimova_kz@mail.ru</w:t>
        </w:r>
      </w:hyperlink>
      <w:r>
        <w:rPr>
          <w:rFonts w:cs="Times New Roman" w:ascii="Times New Roman" w:hAnsi="Times New Roman"/>
          <w:iCs/>
          <w:sz w:val="20"/>
          <w:szCs w:val="20"/>
          <w:lang w:val="kk-KZ"/>
        </w:rPr>
        <w:t>;</w:t>
      </w:r>
    </w:p>
    <w:p>
      <w:pPr>
        <w:pStyle w:val="Normal"/>
        <w:spacing w:lineRule="auto" w:line="240" w:before="0" w:after="0"/>
        <w:jc w:val="both"/>
        <w:rPr>
          <w:rFonts w:ascii="Times New Roman" w:hAnsi="Times New Roman" w:cs="Times New Roman"/>
          <w:iCs/>
          <w:sz w:val="20"/>
          <w:szCs w:val="20"/>
          <w:lang w:val="kk-KZ"/>
        </w:rPr>
      </w:pPr>
      <w:r>
        <w:rPr>
          <w:rFonts w:cs="Times New Roman" w:ascii="Times New Roman" w:hAnsi="Times New Roman"/>
          <w:iCs/>
          <w:sz w:val="20"/>
          <w:szCs w:val="20"/>
          <w:lang w:val="kk-KZ"/>
        </w:rPr>
        <w:t xml:space="preserve">Касымова С.Б. - сеньор-лектор, магистр, Қ.Құлажанов атындағы Қазақ технология және бизнес университеті, Астана, Қазақстан, е-mail: </w:t>
      </w:r>
      <w:hyperlink r:id="rId351">
        <w:r>
          <w:rPr>
            <w:rStyle w:val="Hyperlink"/>
            <w:rFonts w:cs="Times New Roman" w:ascii="Times New Roman" w:hAnsi="Times New Roman"/>
            <w:iCs/>
            <w:color w:val="auto"/>
            <w:sz w:val="20"/>
            <w:szCs w:val="20"/>
            <w:u w:val="none"/>
            <w:lang w:val="kk-KZ"/>
          </w:rPr>
          <w:t>Sanim_81@list.ru</w:t>
        </w:r>
      </w:hyperlink>
      <w:r>
        <w:rPr>
          <w:rFonts w:cs="Times New Roman" w:ascii="Times New Roman" w:hAnsi="Times New Roman"/>
          <w:iCs/>
          <w:sz w:val="20"/>
          <w:szCs w:val="20"/>
          <w:lang w:val="kk-KZ"/>
        </w:rPr>
        <w:t>;</w:t>
      </w:r>
    </w:p>
    <w:p>
      <w:pPr>
        <w:pStyle w:val="Normal"/>
        <w:spacing w:lineRule="auto" w:line="240" w:before="0" w:after="0"/>
        <w:jc w:val="both"/>
        <w:rPr>
          <w:rStyle w:val="Hyperlink"/>
          <w:rFonts w:ascii="Times New Roman" w:hAnsi="Times New Roman" w:cs="Times New Roman"/>
          <w:iCs/>
          <w:color w:val="auto"/>
          <w:sz w:val="20"/>
          <w:szCs w:val="20"/>
          <w:u w:val="none"/>
          <w:lang w:val="kk-KZ"/>
        </w:rPr>
      </w:pPr>
      <w:r>
        <w:rPr>
          <w:rStyle w:val="Hyperlink"/>
          <w:rFonts w:cs="Times New Roman" w:ascii="Times New Roman" w:hAnsi="Times New Roman"/>
          <w:iCs/>
          <w:color w:val="auto"/>
          <w:sz w:val="20"/>
          <w:szCs w:val="20"/>
          <w:u w:val="none"/>
          <w:lang w:val="kk-KZ"/>
        </w:rPr>
        <w:t xml:space="preserve">Каримбаева Г.Ж. - э.ғ.к., </w:t>
      </w:r>
      <w:r>
        <w:rPr>
          <w:rFonts w:cs="Times New Roman" w:ascii="Times New Roman" w:hAnsi="Times New Roman"/>
          <w:iCs/>
          <w:sz w:val="20"/>
          <w:szCs w:val="20"/>
          <w:lang w:val="kk-KZ"/>
        </w:rPr>
        <w:t xml:space="preserve">асс.-профессор, Қ.Құлажанов атындағы Қазақ технология және бизнес университеті, Астана, Қазақстан, е-mail: </w:t>
      </w:r>
      <w:hyperlink r:id="rId352">
        <w:r>
          <w:rPr>
            <w:rStyle w:val="Hyperlink"/>
            <w:rFonts w:cs="Times New Roman" w:ascii="Times New Roman" w:hAnsi="Times New Roman"/>
            <w:iCs/>
            <w:color w:val="auto"/>
            <w:sz w:val="20"/>
            <w:szCs w:val="20"/>
            <w:u w:val="none"/>
            <w:lang w:val="kk-KZ"/>
          </w:rPr>
          <w:t>karimbaevagulzan@gmail.com</w:t>
        </w:r>
      </w:hyperlink>
      <w:r>
        <w:rPr>
          <w:rFonts w:cs="Times New Roman" w:ascii="Times New Roman" w:hAnsi="Times New Roman"/>
          <w:iCs/>
          <w:sz w:val="20"/>
          <w:szCs w:val="20"/>
          <w:lang w:val="kk-KZ"/>
        </w:rPr>
        <w:t>;</w:t>
      </w:r>
    </w:p>
    <w:p>
      <w:pPr>
        <w:pStyle w:val="Normal"/>
        <w:spacing w:lineRule="auto" w:line="240" w:before="0" w:after="0"/>
        <w:jc w:val="both"/>
        <w:rPr>
          <w:rFonts w:ascii="Times New Roman" w:hAnsi="Times New Roman" w:cs="Times New Roman"/>
          <w:iCs/>
          <w:sz w:val="20"/>
          <w:szCs w:val="20"/>
          <w:lang w:val="kk-KZ"/>
        </w:rPr>
      </w:pPr>
      <w:r>
        <w:rPr>
          <w:rFonts w:cs="Times New Roman" w:ascii="Times New Roman" w:hAnsi="Times New Roman"/>
          <w:iCs/>
          <w:sz w:val="20"/>
          <w:szCs w:val="20"/>
          <w:lang w:val="kk-KZ"/>
        </w:rPr>
        <w:t xml:space="preserve">Шарипова Д.Б. - сеньор-лектор, магистр, Қ.Құлажанов атындағы Қазақ технология және бизнес университеті, Астана, Қазақстан, е-mail: </w:t>
      </w:r>
      <w:hyperlink r:id="rId353">
        <w:r>
          <w:rPr>
            <w:rStyle w:val="Hyperlink"/>
            <w:rFonts w:cs="Times New Roman" w:ascii="Times New Roman" w:hAnsi="Times New Roman"/>
            <w:iCs/>
            <w:color w:val="auto"/>
            <w:sz w:val="20"/>
            <w:szCs w:val="20"/>
            <w:u w:val="none"/>
            <w:lang w:val="kk-KZ"/>
          </w:rPr>
          <w:t>Dinara.sharipova.73@mail.ru</w:t>
        </w:r>
      </w:hyperlink>
      <w:r>
        <w:rPr>
          <w:rFonts w:cs="Times New Roman" w:ascii="Times New Roman" w:hAnsi="Times New Roman"/>
          <w:iCs/>
          <w:sz w:val="20"/>
          <w:szCs w:val="20"/>
          <w:lang w:val="kk-KZ"/>
        </w:rPr>
        <w:t>.</w:t>
      </w:r>
    </w:p>
    <w:p>
      <w:pPr>
        <w:pStyle w:val="Normal"/>
        <w:spacing w:lineRule="auto" w:line="240" w:before="0" w:after="0"/>
        <w:jc w:val="both"/>
        <w:rPr>
          <w:rFonts w:ascii="Times New Roman" w:hAnsi="Times New Roman" w:cs="Times New Roman"/>
          <w:b/>
          <w:bCs/>
          <w:iCs/>
          <w:sz w:val="20"/>
          <w:szCs w:val="20"/>
          <w:lang w:val="kk-KZ"/>
        </w:rPr>
      </w:pPr>
      <w:r>
        <w:rPr>
          <w:rFonts w:cs="Times New Roman" w:ascii="Times New Roman" w:hAnsi="Times New Roman"/>
          <w:b/>
          <w:bCs/>
          <w:iCs/>
          <w:sz w:val="20"/>
          <w:szCs w:val="20"/>
          <w:lang w:val="kk-KZ"/>
        </w:rPr>
      </w:r>
    </w:p>
    <w:p>
      <w:pPr>
        <w:pStyle w:val="Normal"/>
        <w:spacing w:lineRule="auto" w:line="240" w:before="0" w:after="0"/>
        <w:ind w:firstLine="708"/>
        <w:jc w:val="both"/>
        <w:rPr>
          <w:rFonts w:ascii="Times New Roman" w:hAnsi="Times New Roman" w:cs="Times New Roman"/>
          <w:b/>
          <w:bCs/>
          <w:i/>
          <w:i/>
          <w:sz w:val="20"/>
          <w:szCs w:val="20"/>
        </w:rPr>
      </w:pPr>
      <w:r>
        <w:rPr>
          <w:rFonts w:cs="Times New Roman" w:ascii="Times New Roman" w:hAnsi="Times New Roman"/>
          <w:b/>
          <w:bCs/>
          <w:i/>
          <w:sz w:val="20"/>
          <w:szCs w:val="20"/>
          <w:lang w:val="en-US"/>
        </w:rPr>
        <w:t xml:space="preserve">Information about the author </w:t>
      </w:r>
    </w:p>
    <w:p>
      <w:pPr>
        <w:pStyle w:val="Normal"/>
        <w:spacing w:lineRule="auto" w:line="240" w:before="0" w:after="0"/>
        <w:ind w:firstLine="708"/>
        <w:jc w:val="both"/>
        <w:rPr>
          <w:rFonts w:ascii="Times New Roman" w:hAnsi="Times New Roman" w:cs="Times New Roman"/>
          <w:b/>
          <w:bCs/>
          <w:i/>
          <w:i/>
          <w:sz w:val="20"/>
          <w:szCs w:val="20"/>
        </w:rPr>
      </w:pPr>
      <w:r>
        <w:rPr>
          <w:rFonts w:cs="Times New Roman" w:ascii="Times New Roman" w:hAnsi="Times New Roman"/>
          <w:b/>
          <w:bCs/>
          <w:i/>
          <w:sz w:val="20"/>
          <w:szCs w:val="20"/>
        </w:rPr>
      </w:r>
    </w:p>
    <w:p>
      <w:pPr>
        <w:pStyle w:val="Normal"/>
        <w:spacing w:lineRule="auto" w:line="240" w:before="0" w:after="0"/>
        <w:jc w:val="both"/>
        <w:rPr>
          <w:rFonts w:ascii="Times New Roman" w:hAnsi="Times New Roman" w:eastAsia="Times New Roman" w:cs="Times New Roman"/>
          <w:iCs/>
          <w:sz w:val="20"/>
          <w:szCs w:val="20"/>
          <w:lang w:val="en-US" w:eastAsia="ru-RU"/>
        </w:rPr>
      </w:pPr>
      <w:r>
        <w:rPr>
          <w:rFonts w:eastAsia="Times New Roman" w:cs="Times New Roman" w:ascii="Times New Roman" w:hAnsi="Times New Roman"/>
          <w:iCs/>
          <w:sz w:val="20"/>
          <w:szCs w:val="20"/>
          <w:lang w:val="kk-KZ" w:eastAsia="ru-RU"/>
        </w:rPr>
        <w:t>Ibraimova S.Zh. –-Candidate of Economics, Professor, K.Kulazhanov</w:t>
      </w:r>
      <w:r>
        <w:rPr>
          <w:rFonts w:eastAsia="Times New Roman" w:cs="Times New Roman" w:ascii="Times New Roman" w:hAnsi="Times New Roman"/>
          <w:iCs/>
          <w:sz w:val="20"/>
          <w:szCs w:val="20"/>
          <w:lang w:val="en-US" w:eastAsia="ru-RU"/>
        </w:rPr>
        <w:t xml:space="preserve"> </w:t>
      </w:r>
      <w:r>
        <w:rPr>
          <w:rFonts w:eastAsia="Times New Roman" w:cs="Times New Roman" w:ascii="Times New Roman" w:hAnsi="Times New Roman"/>
          <w:iCs/>
          <w:sz w:val="20"/>
          <w:szCs w:val="20"/>
          <w:lang w:val="kk-KZ" w:eastAsia="ru-RU"/>
        </w:rPr>
        <w:t>Kazakh University of Technology and Business</w:t>
      </w:r>
      <w:r>
        <w:rPr>
          <w:rFonts w:eastAsia="Times New Roman" w:cs="Times New Roman" w:ascii="Times New Roman" w:hAnsi="Times New Roman"/>
          <w:iCs/>
          <w:sz w:val="20"/>
          <w:szCs w:val="20"/>
          <w:lang w:val="en-US" w:eastAsia="ru-RU"/>
        </w:rPr>
        <w:t xml:space="preserve">, </w:t>
      </w:r>
      <w:r>
        <w:rPr>
          <w:rFonts w:eastAsia="Times New Roman" w:cs="Times New Roman" w:ascii="Times New Roman" w:hAnsi="Times New Roman"/>
          <w:iCs/>
          <w:sz w:val="20"/>
          <w:szCs w:val="20"/>
          <w:lang w:val="kk-KZ" w:eastAsia="ru-RU"/>
        </w:rPr>
        <w:t xml:space="preserve">Astana, Kazakhstan, e-mail: </w:t>
      </w:r>
      <w:hyperlink r:id="rId354">
        <w:r>
          <w:rPr>
            <w:rStyle w:val="Hyperlink"/>
            <w:rFonts w:eastAsia="Times New Roman" w:cs="Times New Roman" w:ascii="Times New Roman" w:hAnsi="Times New Roman"/>
            <w:iCs/>
            <w:color w:val="auto"/>
            <w:sz w:val="20"/>
            <w:szCs w:val="20"/>
            <w:u w:val="none"/>
            <w:lang w:val="kk-KZ" w:eastAsia="ru-RU"/>
          </w:rPr>
          <w:t>saule_ibraimova_kz@mail.ru</w:t>
        </w:r>
      </w:hyperlink>
      <w:r>
        <w:rPr>
          <w:rFonts w:eastAsia="Times New Roman" w:cs="Times New Roman" w:ascii="Times New Roman" w:hAnsi="Times New Roman"/>
          <w:iCs/>
          <w:sz w:val="20"/>
          <w:szCs w:val="20"/>
          <w:lang w:val="en-US" w:eastAsia="ru-RU"/>
        </w:rPr>
        <w:t>;</w:t>
      </w:r>
    </w:p>
    <w:p>
      <w:pPr>
        <w:pStyle w:val="Normal"/>
        <w:spacing w:lineRule="auto" w:line="240" w:before="0" w:after="0"/>
        <w:jc w:val="both"/>
        <w:rPr>
          <w:rFonts w:ascii="Times New Roman" w:hAnsi="Times New Roman" w:eastAsia="Times New Roman" w:cs="Times New Roman"/>
          <w:iCs/>
          <w:sz w:val="20"/>
          <w:szCs w:val="20"/>
          <w:lang w:val="en-US" w:eastAsia="ru-RU"/>
        </w:rPr>
      </w:pPr>
      <w:r>
        <w:rPr>
          <w:rFonts w:eastAsia="Times New Roman" w:cs="Times New Roman" w:ascii="Times New Roman" w:hAnsi="Times New Roman"/>
          <w:iCs/>
          <w:sz w:val="20"/>
          <w:szCs w:val="20"/>
          <w:lang w:val="en-US" w:eastAsia="ru-RU"/>
        </w:rPr>
        <w:t>Kassymova S</w:t>
      </w:r>
      <w:r>
        <w:rPr>
          <w:rFonts w:eastAsia="Times New Roman" w:cs="Times New Roman" w:ascii="Times New Roman" w:hAnsi="Times New Roman"/>
          <w:iCs/>
          <w:sz w:val="20"/>
          <w:szCs w:val="20"/>
          <w:lang w:val="kk-KZ" w:eastAsia="ru-RU"/>
        </w:rPr>
        <w:t>.</w:t>
      </w:r>
      <w:r>
        <w:rPr>
          <w:rFonts w:eastAsia="Times New Roman" w:cs="Times New Roman" w:ascii="Times New Roman" w:hAnsi="Times New Roman"/>
          <w:iCs/>
          <w:sz w:val="20"/>
          <w:szCs w:val="20"/>
          <w:lang w:val="en-US" w:eastAsia="ru-RU"/>
        </w:rPr>
        <w:t>B</w:t>
      </w:r>
      <w:r>
        <w:rPr>
          <w:rFonts w:eastAsia="Times New Roman" w:cs="Times New Roman" w:ascii="Times New Roman" w:hAnsi="Times New Roman"/>
          <w:iCs/>
          <w:sz w:val="20"/>
          <w:szCs w:val="20"/>
          <w:lang w:val="kk-KZ" w:eastAsia="ru-RU"/>
        </w:rPr>
        <w:t xml:space="preserve">. </w:t>
      </w:r>
      <w:r>
        <w:rPr>
          <w:rFonts w:eastAsia="Times New Roman" w:cs="Times New Roman" w:ascii="Times New Roman" w:hAnsi="Times New Roman"/>
          <w:iCs/>
          <w:sz w:val="20"/>
          <w:szCs w:val="20"/>
          <w:lang w:val="en-US" w:eastAsia="ru-RU"/>
        </w:rPr>
        <w:t xml:space="preserve">- Master's degree, Senior Lecturer, </w:t>
      </w:r>
      <w:r>
        <w:rPr>
          <w:rFonts w:eastAsia="Times New Roman" w:cs="Times New Roman" w:ascii="Times New Roman" w:hAnsi="Times New Roman"/>
          <w:iCs/>
          <w:sz w:val="20"/>
          <w:szCs w:val="20"/>
          <w:lang w:val="kk-KZ" w:eastAsia="ru-RU"/>
        </w:rPr>
        <w:t>K.Kulazhanov</w:t>
      </w:r>
      <w:r>
        <w:rPr>
          <w:rFonts w:eastAsia="Times New Roman" w:cs="Times New Roman" w:ascii="Times New Roman" w:hAnsi="Times New Roman"/>
          <w:iCs/>
          <w:sz w:val="20"/>
          <w:szCs w:val="20"/>
          <w:lang w:val="en-US" w:eastAsia="ru-RU"/>
        </w:rPr>
        <w:t xml:space="preserve"> </w:t>
      </w:r>
      <w:r>
        <w:rPr>
          <w:rFonts w:eastAsia="Times New Roman" w:cs="Times New Roman" w:ascii="Times New Roman" w:hAnsi="Times New Roman"/>
          <w:iCs/>
          <w:sz w:val="20"/>
          <w:szCs w:val="20"/>
          <w:lang w:val="kk-KZ" w:eastAsia="ru-RU"/>
        </w:rPr>
        <w:t xml:space="preserve">Kazakh University of </w:t>
      </w:r>
      <w:r>
        <w:rPr>
          <w:rFonts w:eastAsia="Times New Roman" w:cs="Times New Roman" w:ascii="Times New Roman" w:hAnsi="Times New Roman"/>
          <w:iCs/>
          <w:sz w:val="20"/>
          <w:szCs w:val="20"/>
          <w:lang w:val="en-US" w:eastAsia="ru-RU"/>
        </w:rPr>
        <w:t>Technology and Business, Astana, Kazakhstan, e-mail:</w:t>
      </w:r>
      <w:hyperlink r:id="rId355">
        <w:r>
          <w:rPr>
            <w:rStyle w:val="Style3"/>
            <w:rFonts w:eastAsia="Times New Roman" w:cs="Times New Roman" w:ascii="Times New Roman" w:hAnsi="Times New Roman"/>
            <w:iCs/>
            <w:sz w:val="20"/>
            <w:szCs w:val="20"/>
            <w:lang w:val="en-US" w:eastAsia="ru-RU"/>
          </w:rPr>
          <w:t>Sanim_81@list.ru</w:t>
        </w:r>
      </w:hyperlink>
      <w:r>
        <w:rPr>
          <w:rFonts w:eastAsia="Times New Roman" w:cs="Times New Roman" w:ascii="Times New Roman" w:hAnsi="Times New Roman"/>
          <w:iCs/>
          <w:sz w:val="20"/>
          <w:szCs w:val="20"/>
          <w:lang w:val="en-US" w:eastAsia="ru-RU"/>
        </w:rPr>
        <w:t xml:space="preserve">; </w:t>
      </w:r>
    </w:p>
    <w:p>
      <w:pPr>
        <w:pStyle w:val="Normal"/>
        <w:spacing w:lineRule="auto" w:line="240" w:before="0" w:after="0"/>
        <w:jc w:val="both"/>
        <w:rPr>
          <w:rFonts w:ascii="Times New Roman" w:hAnsi="Times New Roman" w:eastAsia="Times New Roman" w:cs="Times New Roman"/>
          <w:iCs/>
          <w:sz w:val="20"/>
          <w:szCs w:val="20"/>
          <w:lang w:val="en-US" w:eastAsia="ru-RU"/>
        </w:rPr>
      </w:pPr>
      <w:r>
        <w:rPr>
          <w:rFonts w:eastAsia="Times New Roman" w:cs="Times New Roman" w:ascii="Times New Roman" w:hAnsi="Times New Roman"/>
          <w:iCs/>
          <w:sz w:val="20"/>
          <w:szCs w:val="20"/>
          <w:lang w:val="en-US" w:eastAsia="ru-RU"/>
        </w:rPr>
        <w:t xml:space="preserve">Karimbayeva G.Zh. - Candidate of Economics, Ass.-Professor, </w:t>
      </w:r>
      <w:r>
        <w:rPr>
          <w:rFonts w:eastAsia="Times New Roman" w:cs="Times New Roman" w:ascii="Times New Roman" w:hAnsi="Times New Roman"/>
          <w:iCs/>
          <w:sz w:val="20"/>
          <w:szCs w:val="20"/>
          <w:lang w:val="kk-KZ" w:eastAsia="ru-RU"/>
        </w:rPr>
        <w:t>K.Kulazhanov</w:t>
      </w:r>
      <w:r>
        <w:rPr>
          <w:rFonts w:eastAsia="Times New Roman" w:cs="Times New Roman" w:ascii="Times New Roman" w:hAnsi="Times New Roman"/>
          <w:iCs/>
          <w:sz w:val="20"/>
          <w:szCs w:val="20"/>
          <w:lang w:val="en-US" w:eastAsia="ru-RU"/>
        </w:rPr>
        <w:t xml:space="preserve"> </w:t>
      </w:r>
      <w:r>
        <w:rPr>
          <w:rFonts w:eastAsia="Times New Roman" w:cs="Times New Roman" w:ascii="Times New Roman" w:hAnsi="Times New Roman"/>
          <w:iCs/>
          <w:sz w:val="20"/>
          <w:szCs w:val="20"/>
          <w:lang w:val="kk-KZ" w:eastAsia="ru-RU"/>
        </w:rPr>
        <w:t>Kazakh University of Technology and Business</w:t>
      </w:r>
      <w:r>
        <w:rPr>
          <w:rFonts w:eastAsia="Times New Roman" w:cs="Times New Roman" w:ascii="Times New Roman" w:hAnsi="Times New Roman"/>
          <w:iCs/>
          <w:sz w:val="20"/>
          <w:szCs w:val="20"/>
          <w:lang w:val="en-US" w:eastAsia="ru-RU"/>
        </w:rPr>
        <w:t xml:space="preserve">, </w:t>
      </w:r>
      <w:r>
        <w:rPr>
          <w:rFonts w:eastAsia="Times New Roman" w:cs="Times New Roman" w:ascii="Times New Roman" w:hAnsi="Times New Roman"/>
          <w:iCs/>
          <w:sz w:val="20"/>
          <w:szCs w:val="20"/>
          <w:lang w:val="kk-KZ" w:eastAsia="ru-RU"/>
        </w:rPr>
        <w:t>Astana, Kazakhstan, e-mail:</w:t>
      </w:r>
      <w:r>
        <w:rPr>
          <w:rFonts w:eastAsia="Times New Roman" w:cs="Times New Roman" w:ascii="Times New Roman" w:hAnsi="Times New Roman"/>
          <w:iCs/>
          <w:sz w:val="20"/>
          <w:szCs w:val="20"/>
          <w:lang w:val="en-US" w:eastAsia="ru-RU"/>
        </w:rPr>
        <w:t xml:space="preserve"> </w:t>
      </w:r>
      <w:hyperlink r:id="rId356">
        <w:r>
          <w:rPr>
            <w:rStyle w:val="Style3"/>
            <w:rFonts w:eastAsia="Times New Roman" w:cs="Times New Roman" w:ascii="Times New Roman" w:hAnsi="Times New Roman"/>
            <w:iCs/>
            <w:sz w:val="20"/>
            <w:szCs w:val="20"/>
            <w:lang w:val="en-US" w:eastAsia="ru-RU"/>
          </w:rPr>
          <w:t>karimbaevagulzan@gmail.com</w:t>
        </w:r>
      </w:hyperlink>
      <w:r>
        <w:rPr>
          <w:rFonts w:eastAsia="Times New Roman" w:cs="Times New Roman" w:ascii="Times New Roman" w:hAnsi="Times New Roman"/>
          <w:iCs/>
          <w:sz w:val="20"/>
          <w:szCs w:val="20"/>
          <w:lang w:val="en-US" w:eastAsia="ru-RU"/>
        </w:rPr>
        <w:t xml:space="preserve">; </w:t>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t>Sharipova D.B. - Master's degree, Senior Lecturer,</w:t>
      </w:r>
      <w:r>
        <w:rPr>
          <w:iCs/>
          <w:lang w:val="kk-KZ" w:eastAsia="ru-RU"/>
        </w:rPr>
        <w:t xml:space="preserve"> K.Kulazhanov</w:t>
      </w:r>
      <w:r>
        <w:rPr>
          <w:iCs/>
          <w:lang w:eastAsia="ru-RU"/>
        </w:rPr>
        <w:t xml:space="preserve"> </w:t>
      </w:r>
      <w:r>
        <w:rPr>
          <w:iCs/>
          <w:lang w:val="kk-KZ" w:eastAsia="ru-RU"/>
        </w:rPr>
        <w:t>Kazakh University of Technology and Business</w:t>
      </w:r>
      <w:r>
        <w:rPr>
          <w:iCs/>
          <w:lang w:eastAsia="ru-RU"/>
        </w:rPr>
        <w:t xml:space="preserve">, </w:t>
      </w:r>
      <w:r>
        <w:rPr>
          <w:iCs/>
          <w:lang w:val="kk-KZ" w:eastAsia="ru-RU"/>
        </w:rPr>
        <w:t>Astana, Kazakhstan, e-mail:</w:t>
      </w:r>
      <w:r>
        <w:rPr>
          <w:iCs/>
          <w:kern w:val="2"/>
          <w:lang w:eastAsia="ru-RU"/>
          <w14:ligatures w14:val="standardContextual"/>
        </w:rPr>
        <w:t xml:space="preserve"> </w:t>
      </w:r>
      <w:hyperlink r:id="rId357">
        <w:r>
          <w:rPr>
            <w:rStyle w:val="Hyperlink"/>
            <w:iCs/>
            <w:color w:val="auto"/>
            <w:kern w:val="2"/>
            <w:u w:val="none"/>
            <w:lang w:eastAsia="ru-RU"/>
            <w14:ligatures w14:val="standardContextual"/>
          </w:rPr>
          <w:t>Dinara.sharipova.73@mail.ru</w:t>
        </w:r>
      </w:hyperlink>
      <w:r>
        <w:rPr>
          <w:iCs/>
          <w:kern w:val="2"/>
          <w:lang w:eastAsia="ru-RU"/>
          <w14:ligatures w14:val="standardContextual"/>
        </w:rPr>
        <w:t>.</w:t>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r>
    </w:p>
    <w:p>
      <w:pPr>
        <w:pStyle w:val="BodyText"/>
        <w:tabs>
          <w:tab w:val="clear" w:pos="708"/>
          <w:tab w:val="left" w:pos="2125" w:leader="none"/>
        </w:tabs>
        <w:ind w:right="-1"/>
        <w:jc w:val="both"/>
        <w:rPr>
          <w:iCs/>
          <w:kern w:val="2"/>
          <w:lang w:eastAsia="ru-RU"/>
          <w14:ligatures w14:val="standardContextual"/>
        </w:rPr>
      </w:pPr>
      <w:r>
        <w:rPr>
          <w:iCs/>
          <w:kern w:val="2"/>
          <w:lang w:eastAsia="ru-RU"/>
          <w14:ligatures w14:val="standardContextual"/>
        </w:rPr>
      </w:r>
    </w:p>
    <w:p>
      <w:pPr>
        <w:pStyle w:val="Normal"/>
        <w:widowControl w:val="false"/>
        <w:spacing w:lineRule="auto" w:line="240" w:before="0" w:after="0"/>
        <w:contextualSpacing/>
        <w:rPr>
          <w:rFonts w:ascii="Times New Roman" w:hAnsi="Times New Roman" w:cs="Times New Roman"/>
          <w:bCs/>
          <w:lang w:val="en-US"/>
        </w:rPr>
      </w:pPr>
      <w:r>
        <w:rPr>
          <w:rFonts w:cs="Times New Roman" w:ascii="Times New Roman" w:hAnsi="Times New Roman"/>
          <w:bCs/>
          <w:lang w:val="en-US"/>
        </w:rPr>
        <w:t>IRSTI</w:t>
      </w:r>
      <w:r>
        <w:rPr>
          <w:rFonts w:cs="Times New Roman" w:ascii="Times New Roman" w:hAnsi="Times New Roman"/>
          <w:bCs/>
          <w:lang w:val="kk-KZ"/>
        </w:rPr>
        <w:t xml:space="preserve"> 06.</w:t>
      </w:r>
      <w:r>
        <w:rPr>
          <w:rFonts w:cs="Times New Roman" w:ascii="Times New Roman" w:hAnsi="Times New Roman"/>
          <w:bCs/>
          <w:lang w:val="en-GB"/>
        </w:rPr>
        <w:t>52</w:t>
      </w:r>
      <w:r>
        <w:rPr>
          <w:rFonts w:cs="Times New Roman" w:ascii="Times New Roman" w:hAnsi="Times New Roman"/>
          <w:bCs/>
          <w:lang w:val="kk-KZ"/>
        </w:rPr>
        <w:t>.</w:t>
      </w:r>
      <w:r>
        <w:rPr>
          <w:rFonts w:cs="Times New Roman" w:ascii="Times New Roman" w:hAnsi="Times New Roman"/>
          <w:bCs/>
          <w:lang w:val="en-GB"/>
        </w:rPr>
        <w:t>41</w:t>
      </w:r>
    </w:p>
    <w:p>
      <w:pPr>
        <w:pStyle w:val="Normal"/>
        <w:widowControl w:val="false"/>
        <w:spacing w:lineRule="auto" w:line="240" w:before="0" w:after="0"/>
        <w:contextualSpacing/>
        <w:rPr>
          <w:rFonts w:ascii="Times New Roman" w:hAnsi="Times New Roman" w:cs="Times New Roman"/>
          <w:bCs/>
          <w:sz w:val="24"/>
          <w:szCs w:val="24"/>
          <w:lang w:val="en-US"/>
        </w:rPr>
      </w:pPr>
      <w:r>
        <w:rPr>
          <w:rFonts w:cs="Times New Roman" w:ascii="Times New Roman" w:hAnsi="Times New Roman"/>
          <w:bCs/>
          <w:sz w:val="24"/>
          <w:szCs w:val="24"/>
          <w:lang w:val="en-US"/>
        </w:rPr>
      </w:r>
    </w:p>
    <w:p>
      <w:pPr>
        <w:pStyle w:val="Normal"/>
        <w:spacing w:lineRule="auto" w:line="240" w:before="0" w:after="0"/>
        <w:contextualSpacing/>
        <w:jc w:val="center"/>
        <w:rPr>
          <w:rFonts w:ascii="Times New Roman" w:hAnsi="Times New Roman" w:cs="Times New Roman"/>
          <w:b/>
          <w:bCs/>
          <w:lang w:val="en-US"/>
        </w:rPr>
      </w:pPr>
      <w:r>
        <w:rPr>
          <w:rFonts w:cs="Times New Roman" w:ascii="Times New Roman" w:hAnsi="Times New Roman"/>
          <w:b/>
          <w:bCs/>
          <w:lang w:val="en-US"/>
        </w:rPr>
        <w:t>SPECIFICS OF THE TRANSITION TO A CIRCULAR ECONOMY IN KAZAKHSTAN</w:t>
      </w:r>
    </w:p>
    <w:p>
      <w:pPr>
        <w:pStyle w:val="Normal"/>
        <w:spacing w:lineRule="auto" w:line="240" w:before="0" w:after="0"/>
        <w:contextualSpacing/>
        <w:jc w:val="center"/>
        <w:rPr>
          <w:rFonts w:ascii="Times New Roman" w:hAnsi="Times New Roman" w:cs="Times New Roman"/>
          <w:b/>
          <w:bCs/>
          <w:lang w:val="en-US"/>
        </w:rPr>
      </w:pPr>
      <w:r>
        <w:rPr>
          <w:rFonts w:cs="Times New Roman" w:ascii="Times New Roman" w:hAnsi="Times New Roman"/>
          <w:b/>
          <w:bCs/>
          <w:lang w:val="en-US"/>
        </w:rPr>
      </w:r>
    </w:p>
    <w:p>
      <w:pPr>
        <w:pStyle w:val="Normal"/>
        <w:spacing w:lineRule="auto" w:line="240" w:before="0" w:after="0"/>
        <w:contextualSpacing/>
        <w:jc w:val="center"/>
        <w:rPr>
          <w:rFonts w:ascii="Times New Roman" w:hAnsi="Times New Roman" w:cs="Times New Roman"/>
          <w:b/>
          <w:lang w:val="en-US"/>
        </w:rPr>
      </w:pPr>
      <w:r>
        <w:rPr>
          <w:rFonts w:cs="Times New Roman" w:ascii="Times New Roman" w:hAnsi="Times New Roman"/>
          <w:b/>
          <w:vertAlign w:val="superscript"/>
          <w:lang w:val="en-US"/>
        </w:rPr>
        <w:t>1</w:t>
      </w:r>
      <w:r>
        <w:rPr>
          <w:rFonts w:cs="Times New Roman" w:ascii="Times New Roman" w:hAnsi="Times New Roman"/>
          <w:b/>
          <w:lang w:val="en-US"/>
        </w:rPr>
        <w:t>Y.N.Linok</w:t>
      </w:r>
      <w:r>
        <w:rPr/>
        <w:drawing>
          <wp:inline distT="0" distB="0" distL="0" distR="0">
            <wp:extent cx="105410" cy="105410"/>
            <wp:effectExtent l="0" t="0" r="0" b="0"/>
            <wp:docPr id="109" name="Image9" descr="">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 descr="">
                      <a:hlinkClick r:id="rId359"/>
                    </pic:cNvPr>
                    <pic:cNvPicPr>
                      <a:picLocks noChangeAspect="1" noChangeArrowheads="1"/>
                    </pic:cNvPicPr>
                  </pic:nvPicPr>
                  <pic:blipFill>
                    <a:blip r:embed="rId358"/>
                    <a:stretch>
                      <a:fillRect/>
                    </a:stretch>
                  </pic:blipFill>
                  <pic:spPr bwMode="auto">
                    <a:xfrm>
                      <a:off x="0" y="0"/>
                      <a:ext cx="105410" cy="105410"/>
                    </a:xfrm>
                    <a:prstGeom prst="rect">
                      <a:avLst/>
                    </a:prstGeom>
                    <a:noFill/>
                  </pic:spPr>
                </pic:pic>
              </a:graphicData>
            </a:graphic>
          </wp:inline>
        </w:drawing>
      </w:r>
      <w:r>
        <w:rPr>
          <w:rFonts w:cs="Times New Roman" w:ascii="Times New Roman" w:hAnsi="Times New Roman"/>
          <w:b/>
          <w:lang w:val="en-US"/>
        </w:rPr>
        <w:t xml:space="preserve">, </w:t>
      </w:r>
      <w:r>
        <w:rPr>
          <w:rFonts w:cs="Times New Roman" w:ascii="Times New Roman" w:hAnsi="Times New Roman"/>
          <w:b/>
          <w:vertAlign w:val="superscript"/>
          <w:lang w:val="en-US"/>
        </w:rPr>
        <w:t>1</w:t>
      </w:r>
      <w:r>
        <w:rPr>
          <w:rFonts w:cs="Times New Roman" w:ascii="Times New Roman" w:hAnsi="Times New Roman"/>
          <w:b/>
          <w:lang w:val="en-US"/>
        </w:rPr>
        <w:t>Y</w:t>
      </w:r>
      <w:r>
        <w:rPr>
          <w:rFonts w:cs="Times New Roman" w:ascii="Times New Roman" w:hAnsi="Times New Roman"/>
          <w:b/>
          <w:lang w:val="kk-KZ"/>
        </w:rPr>
        <w:t>.</w:t>
      </w:r>
      <w:r>
        <w:rPr>
          <w:rFonts w:cs="Times New Roman" w:ascii="Times New Roman" w:hAnsi="Times New Roman"/>
          <w:b/>
          <w:lang w:val="en-US"/>
        </w:rPr>
        <w:t>Y</w:t>
      </w:r>
      <w:r>
        <w:rPr>
          <w:rFonts w:cs="Times New Roman" w:ascii="Times New Roman" w:hAnsi="Times New Roman"/>
          <w:b/>
          <w:lang w:val="kk-KZ"/>
        </w:rPr>
        <w:t>.</w:t>
      </w:r>
      <w:r>
        <w:rPr>
          <w:rFonts w:cs="Times New Roman" w:ascii="Times New Roman" w:hAnsi="Times New Roman"/>
          <w:b/>
          <w:lang w:val="en-US"/>
        </w:rPr>
        <w:t>Mubarakov</w:t>
      </w:r>
      <w:r>
        <w:rPr/>
        <w:drawing>
          <wp:inline distT="0" distB="0" distL="0" distR="0">
            <wp:extent cx="105410" cy="105410"/>
            <wp:effectExtent l="0" t="0" r="0" b="0"/>
            <wp:docPr id="110" name="Рисунок 50" descr="">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50" descr="">
                      <a:hlinkClick r:id="rId361"/>
                    </pic:cNvPr>
                    <pic:cNvPicPr>
                      <a:picLocks noChangeAspect="1" noChangeArrowheads="1"/>
                    </pic:cNvPicPr>
                  </pic:nvPicPr>
                  <pic:blipFill>
                    <a:blip r:embed="rId360"/>
                    <a:stretch>
                      <a:fillRect/>
                    </a:stretch>
                  </pic:blipFill>
                  <pic:spPr bwMode="auto">
                    <a:xfrm>
                      <a:off x="0" y="0"/>
                      <a:ext cx="105410" cy="10541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cs="Times New Roman" w:ascii="Times New Roman" w:hAnsi="Times New Roman"/>
          <w:b/>
          <w:sz w:val="20"/>
          <w:lang w:val="kk-KZ"/>
        </w:rPr>
        <w:t>,</w:t>
      </w:r>
      <w:r>
        <w:rPr>
          <w:rFonts w:cs="Times New Roman" w:ascii="Times New Roman" w:hAnsi="Times New Roman"/>
          <w:b/>
          <w:lang w:val="kk-KZ"/>
        </w:rPr>
        <w:t xml:space="preserve"> </w:t>
      </w:r>
      <w:r>
        <w:rPr>
          <w:rFonts w:cs="Times New Roman" w:ascii="Times New Roman" w:hAnsi="Times New Roman"/>
          <w:b/>
          <w:vertAlign w:val="superscript"/>
          <w:lang w:val="kk-KZ"/>
        </w:rPr>
        <w:t>2</w:t>
      </w:r>
      <w:r>
        <w:rPr>
          <w:rFonts w:cs="Times New Roman" w:ascii="Times New Roman" w:hAnsi="Times New Roman"/>
          <w:b/>
          <w:lang w:val="en-US"/>
        </w:rPr>
        <w:t>B</w:t>
      </w:r>
      <w:r>
        <w:rPr>
          <w:rFonts w:cs="Times New Roman" w:ascii="Times New Roman" w:hAnsi="Times New Roman"/>
          <w:b/>
          <w:lang w:val="kk-KZ"/>
        </w:rPr>
        <w:t>.</w:t>
      </w:r>
      <w:r>
        <w:rPr>
          <w:rFonts w:cs="Times New Roman" w:ascii="Times New Roman" w:hAnsi="Times New Roman"/>
          <w:lang w:val="en-US"/>
        </w:rPr>
        <w:t xml:space="preserve"> </w:t>
      </w:r>
      <w:r>
        <w:rPr>
          <w:rFonts w:cs="Times New Roman" w:ascii="Times New Roman" w:hAnsi="Times New Roman"/>
          <w:b/>
          <w:lang w:val="en-US"/>
        </w:rPr>
        <w:t>Zirkler</w:t>
      </w:r>
      <w:r>
        <w:rPr/>
        <w:drawing>
          <wp:inline distT="0" distB="0" distL="0" distR="0">
            <wp:extent cx="105410" cy="105410"/>
            <wp:effectExtent l="0" t="0" r="0" b="0"/>
            <wp:docPr id="111" name="Рисунок 51" descr="">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Рисунок 51" descr="">
                      <a:hlinkClick r:id="rId363"/>
                    </pic:cNvPr>
                    <pic:cNvPicPr>
                      <a:picLocks noChangeAspect="1" noChangeArrowheads="1"/>
                    </pic:cNvPicPr>
                  </pic:nvPicPr>
                  <pic:blipFill>
                    <a:blip r:embed="rId362"/>
                    <a:stretch>
                      <a:fillRect/>
                    </a:stretch>
                  </pic:blipFill>
                  <pic:spPr bwMode="auto">
                    <a:xfrm>
                      <a:off x="0" y="0"/>
                      <a:ext cx="105410" cy="105410"/>
                    </a:xfrm>
                    <a:prstGeom prst="rect">
                      <a:avLst/>
                    </a:prstGeom>
                    <a:noFill/>
                  </pic:spPr>
                </pic:pic>
              </a:graphicData>
            </a:graphic>
          </wp:inline>
        </w:drawing>
      </w:r>
      <w:r>
        <w:rPr>
          <w:rFonts w:cs="Times New Roman" w:ascii="Times New Roman" w:hAnsi="Times New Roman"/>
          <w:b/>
          <w:lang w:val="kk-KZ"/>
        </w:rPr>
        <w:t xml:space="preserve">, </w:t>
      </w:r>
      <w:r>
        <w:rPr>
          <w:rFonts w:cs="Times New Roman" w:ascii="Times New Roman" w:hAnsi="Times New Roman"/>
          <w:b/>
          <w:vertAlign w:val="superscript"/>
          <w:lang w:val="en-US"/>
        </w:rPr>
        <w:t>1</w:t>
      </w:r>
      <w:r>
        <w:rPr>
          <w:rFonts w:cs="Times New Roman" w:ascii="Times New Roman" w:hAnsi="Times New Roman"/>
          <w:b/>
          <w:lang w:val="en-US"/>
        </w:rPr>
        <w:t>Y</w:t>
      </w:r>
      <w:r>
        <w:rPr>
          <w:rFonts w:cs="Times New Roman" w:ascii="Times New Roman" w:hAnsi="Times New Roman"/>
          <w:b/>
          <w:lang w:val="kk-KZ"/>
        </w:rPr>
        <w:t>.</w:t>
      </w:r>
      <w:r>
        <w:rPr>
          <w:rFonts w:cs="Times New Roman" w:ascii="Times New Roman" w:hAnsi="Times New Roman"/>
          <w:b/>
          <w:lang w:val="en-US"/>
        </w:rPr>
        <w:t>Y</w:t>
      </w:r>
      <w:r>
        <w:rPr>
          <w:rFonts w:cs="Times New Roman" w:ascii="Times New Roman" w:hAnsi="Times New Roman"/>
          <w:b/>
          <w:lang w:val="kk-KZ"/>
        </w:rPr>
        <w:t>.</w:t>
      </w:r>
      <w:r>
        <w:rPr>
          <w:rFonts w:cs="Times New Roman" w:ascii="Times New Roman" w:hAnsi="Times New Roman"/>
          <w:b/>
          <w:lang w:val="en-US"/>
        </w:rPr>
        <w:t>Sumareva</w:t>
      </w:r>
      <w:r>
        <w:rPr/>
        <w:drawing>
          <wp:inline distT="0" distB="0" distL="0" distR="0">
            <wp:extent cx="105410" cy="105410"/>
            <wp:effectExtent l="0" t="0" r="0" b="0"/>
            <wp:docPr id="112" name="Рисунок 52" descr="">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52" descr="">
                      <a:hlinkClick r:id="rId365"/>
                    </pic:cNvPr>
                    <pic:cNvPicPr>
                      <a:picLocks noChangeAspect="1" noChangeArrowheads="1"/>
                    </pic:cNvPicPr>
                  </pic:nvPicPr>
                  <pic:blipFill>
                    <a:blip r:embed="rId364"/>
                    <a:stretch>
                      <a:fillRect/>
                    </a:stretch>
                  </pic:blipFill>
                  <pic:spPr bwMode="auto">
                    <a:xfrm>
                      <a:off x="0" y="0"/>
                      <a:ext cx="105410" cy="105410"/>
                    </a:xfrm>
                    <a:prstGeom prst="rect">
                      <a:avLst/>
                    </a:prstGeom>
                    <a:noFill/>
                  </pic:spPr>
                </pic:pic>
              </a:graphicData>
            </a:graphic>
          </wp:inline>
        </w:drawing>
      </w:r>
      <w:r>
        <w:rPr>
          <w:rFonts w:cs="Times New Roman" w:ascii="Times New Roman" w:hAnsi="Times New Roman"/>
          <w:b/>
          <w:lang w:val="kk-KZ"/>
        </w:rPr>
        <w:t xml:space="preserve">, </w:t>
      </w:r>
      <w:r>
        <w:rPr>
          <w:rFonts w:cs="Times New Roman" w:ascii="Times New Roman" w:hAnsi="Times New Roman"/>
          <w:b/>
          <w:vertAlign w:val="superscript"/>
          <w:lang w:val="en-US"/>
        </w:rPr>
        <w:t>1</w:t>
      </w:r>
      <w:r>
        <w:rPr>
          <w:rFonts w:cs="Times New Roman" w:ascii="Times New Roman" w:hAnsi="Times New Roman"/>
          <w:b/>
          <w:lang w:val="kk-KZ"/>
        </w:rPr>
        <w:t>А.</w:t>
      </w:r>
      <w:r>
        <w:rPr>
          <w:rFonts w:cs="Times New Roman" w:ascii="Times New Roman" w:hAnsi="Times New Roman"/>
          <w:b/>
          <w:lang w:val="en-US"/>
        </w:rPr>
        <w:t>S</w:t>
      </w:r>
      <w:r>
        <w:rPr>
          <w:rFonts w:cs="Times New Roman" w:ascii="Times New Roman" w:hAnsi="Times New Roman"/>
          <w:b/>
          <w:lang w:val="kk-KZ"/>
        </w:rPr>
        <w:t>.</w:t>
      </w:r>
      <w:r>
        <w:rPr>
          <w:rFonts w:cs="Times New Roman" w:ascii="Times New Roman" w:hAnsi="Times New Roman"/>
          <w:b/>
          <w:lang w:val="en-US"/>
        </w:rPr>
        <w:t>Bukhryakova</w:t>
      </w:r>
      <w:r>
        <w:rPr/>
        <w:drawing>
          <wp:inline distT="0" distB="0" distL="0" distR="0">
            <wp:extent cx="105410" cy="105410"/>
            <wp:effectExtent l="0" t="0" r="0" b="0"/>
            <wp:docPr id="113" name="Рисунок 53" descr="">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Рисунок 53" descr="">
                      <a:hlinkClick r:id="rId367"/>
                    </pic:cNvPr>
                    <pic:cNvPicPr>
                      <a:picLocks noChangeAspect="1" noChangeArrowheads="1"/>
                    </pic:cNvPicPr>
                  </pic:nvPicPr>
                  <pic:blipFill>
                    <a:blip r:embed="rId366"/>
                    <a:stretch>
                      <a:fillRect/>
                    </a:stretch>
                  </pic:blipFill>
                  <pic:spPr bwMode="auto">
                    <a:xfrm>
                      <a:off x="0" y="0"/>
                      <a:ext cx="105410" cy="105410"/>
                    </a:xfrm>
                    <a:prstGeom prst="rect">
                      <a:avLst/>
                    </a:prstGeom>
                    <a:noFill/>
                  </pic:spPr>
                </pic:pic>
              </a:graphicData>
            </a:graphic>
          </wp:inline>
        </w:drawing>
      </w:r>
    </w:p>
    <w:p>
      <w:pPr>
        <w:pStyle w:val="Normal"/>
        <w:spacing w:lineRule="auto" w:line="240" w:before="0" w:after="0"/>
        <w:contextualSpacing/>
        <w:jc w:val="center"/>
        <w:rPr>
          <w:rFonts w:ascii="Times New Roman" w:hAnsi="Times New Roman" w:cs="Times New Roman"/>
          <w:i/>
          <w:i/>
          <w:sz w:val="20"/>
          <w:szCs w:val="20"/>
          <w:lang w:val="en-US"/>
        </w:rPr>
      </w:pPr>
      <w:bookmarkStart w:id="13" w:name="_Hlk216173008"/>
      <w:r>
        <w:rPr>
          <w:rFonts w:cs="Times New Roman" w:ascii="Times New Roman" w:hAnsi="Times New Roman"/>
          <w:i/>
          <w:sz w:val="20"/>
          <w:szCs w:val="20"/>
          <w:vertAlign w:val="superscript"/>
          <w:lang w:val="en-US"/>
        </w:rPr>
        <w:t>1</w:t>
      </w:r>
      <w:r>
        <w:rPr>
          <w:rFonts w:cs="Times New Roman" w:ascii="Times New Roman" w:hAnsi="Times New Roman"/>
          <w:i/>
          <w:sz w:val="20"/>
          <w:szCs w:val="20"/>
          <w:lang w:val="en-US"/>
        </w:rPr>
        <w:t>Kazakh-American Free University, Oskemen, Kazakhstan,</w:t>
      </w:r>
      <w:bookmarkEnd w:id="13"/>
    </w:p>
    <w:p>
      <w:pPr>
        <w:pStyle w:val="Normal"/>
        <w:spacing w:lineRule="auto" w:line="240" w:before="0" w:after="0"/>
        <w:contextualSpacing/>
        <w:jc w:val="center"/>
        <w:rPr>
          <w:rFonts w:ascii="Times New Roman" w:hAnsi="Times New Roman" w:cs="Times New Roman"/>
          <w:i/>
          <w:i/>
          <w:sz w:val="20"/>
          <w:szCs w:val="20"/>
          <w:lang w:val="en-US"/>
        </w:rPr>
      </w:pPr>
      <w:r>
        <w:rPr>
          <w:rFonts w:cs="Times New Roman" w:ascii="Times New Roman" w:hAnsi="Times New Roman"/>
          <w:i/>
          <w:sz w:val="20"/>
          <w:szCs w:val="20"/>
          <w:vertAlign w:val="superscript"/>
          <w:lang w:val="kk-KZ"/>
        </w:rPr>
        <w:t>2</w:t>
      </w:r>
      <w:r>
        <w:rPr>
          <w:rFonts w:cs="Times New Roman" w:ascii="Times New Roman" w:hAnsi="Times New Roman"/>
          <w:i/>
          <w:sz w:val="20"/>
          <w:szCs w:val="20"/>
          <w:lang w:val="en-US"/>
        </w:rPr>
        <w:t>Westsächsische Hochschule</w:t>
      </w:r>
      <w:r>
        <w:rPr>
          <w:rFonts w:cs="Times New Roman" w:ascii="Times New Roman" w:hAnsi="Times New Roman"/>
          <w:i/>
          <w:sz w:val="20"/>
          <w:szCs w:val="20"/>
          <w:lang w:val="kk-KZ"/>
        </w:rPr>
        <w:t xml:space="preserve"> </w:t>
      </w:r>
      <w:r>
        <w:rPr>
          <w:rFonts w:cs="Times New Roman" w:ascii="Times New Roman" w:hAnsi="Times New Roman"/>
          <w:i/>
          <w:sz w:val="20"/>
          <w:szCs w:val="20"/>
          <w:lang w:val="en-US"/>
        </w:rPr>
        <w:t>Zwickau – University of</w:t>
      </w:r>
      <w:r>
        <w:rPr>
          <w:rFonts w:cs="Times New Roman" w:ascii="Times New Roman" w:hAnsi="Times New Roman"/>
          <w:i/>
          <w:sz w:val="20"/>
          <w:szCs w:val="20"/>
          <w:lang w:val="kk-KZ"/>
        </w:rPr>
        <w:t xml:space="preserve"> </w:t>
      </w:r>
      <w:r>
        <w:rPr>
          <w:rFonts w:cs="Times New Roman" w:ascii="Times New Roman" w:hAnsi="Times New Roman"/>
          <w:i/>
          <w:sz w:val="20"/>
          <w:szCs w:val="20"/>
          <w:lang w:val="en-US"/>
        </w:rPr>
        <w:t>Applied Sciences, Zwickau,Germany</w:t>
      </w:r>
    </w:p>
    <w:p>
      <w:pPr>
        <w:pStyle w:val="Normal"/>
        <w:spacing w:lineRule="auto" w:line="240" w:before="0" w:after="0"/>
        <w:contextualSpacing/>
        <w:jc w:val="center"/>
        <w:rPr>
          <w:rFonts w:ascii="Times New Roman" w:hAnsi="Times New Roman" w:cs="Times New Roman"/>
          <w:i/>
          <w:i/>
          <w:sz w:val="24"/>
          <w:szCs w:val="24"/>
          <w:lang w:val="en-US"/>
        </w:rPr>
      </w:pPr>
      <w:r>
        <w:rPr>
          <w:rFonts w:cs="Times New Roman" w:ascii="Times New Roman" w:hAnsi="Times New Roman"/>
          <w:i/>
          <w:sz w:val="24"/>
          <w:szCs w:val="24"/>
          <w:lang w:val="en-US"/>
        </w:rPr>
      </w:r>
    </w:p>
    <w:p>
      <w:pPr>
        <w:pStyle w:val="Normal"/>
        <w:spacing w:lineRule="auto" w:line="240" w:before="0" w:after="0"/>
        <w:contextualSpacing/>
        <w:rPr>
          <w:rFonts w:ascii="Times New Roman" w:hAnsi="Times New Roman" w:cs="Times New Roman"/>
          <w:i/>
          <w:i/>
          <w:lang w:val="en-US"/>
        </w:rPr>
      </w:pPr>
      <w:r>
        <w:rPr>
          <w:rFonts w:eastAsia="Wingdings" w:cs="Wingdings" w:ascii="Wingdings" w:hAnsi="Wingdings"/>
          <w:b/>
          <w:bCs/>
          <w:color w:val="1F497D"/>
          <w:vertAlign w:val="superscript"/>
        </w:rPr>
        <w:sym w:font="Wingdings" w:char="f02a"/>
      </w:r>
      <w:r>
        <w:rPr>
          <w:rFonts w:cs="Times New Roman" w:ascii="Times New Roman" w:hAnsi="Times New Roman"/>
          <w:lang w:val="en-US"/>
        </w:rPr>
        <w:t>Corresponding</w:t>
      </w:r>
      <w:r>
        <w:rPr>
          <w:rFonts w:cs="Times New Roman" w:ascii="Times New Roman" w:hAnsi="Times New Roman"/>
          <w:lang w:val="kk-KZ"/>
        </w:rPr>
        <w:t>-</w:t>
      </w:r>
      <w:r>
        <w:rPr>
          <w:rFonts w:cs="Times New Roman" w:ascii="Times New Roman" w:hAnsi="Times New Roman"/>
          <w:lang w:val="en-US"/>
        </w:rPr>
        <w:t>authors</w:t>
      </w:r>
      <w:r>
        <w:rPr>
          <w:rFonts w:cs="Times New Roman" w:ascii="Times New Roman" w:hAnsi="Times New Roman"/>
          <w:lang w:val="kk-KZ"/>
        </w:rPr>
        <w:t>:</w:t>
      </w:r>
      <w:r>
        <w:rPr>
          <w:rFonts w:cs="Times New Roman" w:ascii="Times New Roman" w:hAnsi="Times New Roman"/>
          <w:i/>
          <w:lang w:val="en-US"/>
        </w:rPr>
        <w:t xml:space="preserve"> </w:t>
      </w:r>
      <w:hyperlink r:id="rId368">
        <w:r>
          <w:rPr>
            <w:rStyle w:val="Style3"/>
            <w:rFonts w:cs="Times New Roman" w:ascii="Times New Roman" w:hAnsi="Times New Roman"/>
            <w:lang w:val="en-US"/>
          </w:rPr>
          <w:t>mubarakovyeldar@gmail.com</w:t>
        </w:r>
      </w:hyperlink>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This article examines the pressing issues of transition to a circular economy in Kazakhstan. The objective of the study is to identify the specifics of this transition and determine measures to establish the key elements of a circular economy in the country.</w:t>
      </w:r>
      <w:r>
        <w:rPr>
          <w:rFonts w:cs="Times New Roman" w:ascii="Times New Roman" w:hAnsi="Times New Roman"/>
          <w:sz w:val="24"/>
          <w:szCs w:val="24"/>
          <w:lang w:val="kk-KZ"/>
        </w:rPr>
        <w:t xml:space="preserve"> </w:t>
      </w:r>
      <w:r>
        <w:rPr>
          <w:rFonts w:cs="Times New Roman" w:ascii="Times New Roman" w:hAnsi="Times New Roman"/>
          <w:sz w:val="24"/>
          <w:szCs w:val="24"/>
          <w:lang w:val="en-US"/>
        </w:rPr>
        <w:t>Article highlights the specific conditions of Kazakhstan, including the level of socio-economic development and the country's capabilities, the availability, extraction, and processing of minerals, the structure of industrial production, population density, territorial factors, and the socio-cultural characteristics of the population. It is demonstrated that these conditions are hindering the transition to a circular economy in Kazakhstan. The main reason for this is the worsening environmental problems in the country and the influence of global experience in transitioning to a circular economy. The article analyzes the main content and evolution of the relevant legislation and regulations. It is noted that it is integrated into the development of a green economy in the country and does not contain a separate law or the necessary policy documents on a circular economy. The article presents the key characteristics of this economy in Kazakhstan, which are compared with positive examples from global experience. Waste management issues in the country are also considered. The article identifies the key steps and process features of Kazakhstan's transition to a circular economy. It concludes that the country is in the initial stages of developing a circular economy, with only a few elements already in place. Overall, the pace, scale, and results of the transition to a circular economy in Kazakhstan have been comparatively slow. Therefore, proposals are made for improving the effectiveness of this transition, considering the country's specific characteristics and the potential for implementing global practices.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b/>
          <w:bCs/>
          <w:sz w:val="24"/>
          <w:szCs w:val="24"/>
          <w:lang w:val="en-US"/>
        </w:rPr>
        <w:t>Keywords:</w:t>
      </w:r>
      <w:r>
        <w:rPr>
          <w:rFonts w:cs="Times New Roman" w:ascii="Times New Roman" w:hAnsi="Times New Roman"/>
          <w:sz w:val="24"/>
          <w:szCs w:val="24"/>
          <w:lang w:val="en-US"/>
        </w:rPr>
        <w:t xml:space="preserve"> circular economy, Kazakhstan, transition features, conditions and main steps, waste management, implementation.</w:t>
      </w:r>
    </w:p>
    <w:p>
      <w:pPr>
        <w:pStyle w:val="Normal"/>
        <w:spacing w:lineRule="auto" w:line="240" w:before="0" w:after="0"/>
        <w:ind w:firstLine="567"/>
        <w:contextualSpacing/>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contextualSpacing/>
        <w:jc w:val="center"/>
        <w:rPr>
          <w:rFonts w:ascii="Times New Roman" w:hAnsi="Times New Roman" w:cs="Times New Roman"/>
          <w:b/>
          <w:bCs/>
          <w:lang w:val="kk-KZ"/>
        </w:rPr>
      </w:pPr>
      <w:r>
        <w:rPr>
          <w:rFonts w:cs="Times New Roman" w:ascii="Times New Roman" w:hAnsi="Times New Roman"/>
          <w:b/>
          <w:bCs/>
          <w:lang w:val="kk-KZ"/>
        </w:rPr>
        <w:t>ҚАЗАҚСТАНДАҒЫ АЙНАЛМАЛЫ ЭКОНОМИКАҒА КӨШУДІҢ ЕРЕКШЕЛІКТЕРІ</w:t>
      </w:r>
    </w:p>
    <w:p>
      <w:pPr>
        <w:pStyle w:val="Normal"/>
        <w:spacing w:lineRule="auto" w:line="240" w:before="0" w:after="0"/>
        <w:contextualSpacing/>
        <w:jc w:val="center"/>
        <w:rPr>
          <w:rFonts w:ascii="Times New Roman" w:hAnsi="Times New Roman" w:cs="Times New Roman"/>
          <w:b/>
          <w:bCs/>
          <w:lang w:val="kk-KZ"/>
        </w:rPr>
      </w:pPr>
      <w:r>
        <w:rPr>
          <w:rFonts w:cs="Times New Roman" w:ascii="Times New Roman" w:hAnsi="Times New Roman"/>
          <w:b/>
          <w:bCs/>
          <w:lang w:val="kk-KZ"/>
        </w:rPr>
      </w:r>
    </w:p>
    <w:p>
      <w:pPr>
        <w:pStyle w:val="Normal"/>
        <w:spacing w:lineRule="auto" w:line="240" w:before="0" w:after="0"/>
        <w:contextualSpacing/>
        <w:jc w:val="center"/>
        <w:rPr>
          <w:rFonts w:ascii="Times New Roman" w:hAnsi="Times New Roman" w:cs="Times New Roman"/>
          <w:b/>
          <w:bCs/>
          <w:lang w:val="kk-KZ"/>
        </w:rPr>
      </w:pPr>
      <w:r>
        <w:rPr>
          <w:rFonts w:cs="Times New Roman" w:ascii="Times New Roman" w:hAnsi="Times New Roman"/>
          <w:b/>
          <w:bCs/>
          <w:vertAlign w:val="superscript"/>
          <w:lang w:val="kk-KZ"/>
        </w:rPr>
        <w:t>1</w:t>
      </w:r>
      <w:r>
        <w:rPr>
          <w:rFonts w:cs="Times New Roman" w:ascii="Times New Roman" w:hAnsi="Times New Roman"/>
          <w:b/>
          <w:bCs/>
          <w:lang w:val="kk-KZ"/>
        </w:rPr>
        <w:t xml:space="preserve">Я.Н. Линок, </w:t>
      </w:r>
      <w:r>
        <w:rPr>
          <w:rFonts w:cs="Times New Roman" w:ascii="Times New Roman" w:hAnsi="Times New Roman"/>
          <w:b/>
          <w:bCs/>
          <w:vertAlign w:val="superscript"/>
          <w:lang w:val="kk-KZ"/>
        </w:rPr>
        <w:t>1</w:t>
      </w:r>
      <w:r>
        <w:rPr>
          <w:rFonts w:cs="Times New Roman" w:ascii="Times New Roman" w:hAnsi="Times New Roman"/>
          <w:b/>
          <w:bCs/>
          <w:lang w:val="kk-KZ"/>
        </w:rPr>
        <w:t>Е.Е. Мубараков</w:t>
      </w:r>
      <w:r>
        <w:rPr>
          <w:rFonts w:eastAsia="Wingdings" w:cs="Wingdings" w:ascii="Wingdings" w:hAnsi="Wingdings"/>
          <w:b/>
          <w:bCs/>
          <w:color w:val="1F497D"/>
          <w:vertAlign w:val="superscript"/>
        </w:rPr>
        <w:sym w:font="Wingdings" w:char="f02a"/>
      </w:r>
      <w:r>
        <w:rPr>
          <w:rFonts w:cs="Times New Roman" w:ascii="Times New Roman" w:hAnsi="Times New Roman"/>
          <w:b/>
          <w:bCs/>
          <w:lang w:val="kk-KZ"/>
        </w:rPr>
        <w:t xml:space="preserve">, </w:t>
      </w:r>
      <w:r>
        <w:rPr>
          <w:rFonts w:cs="Times New Roman" w:ascii="Times New Roman" w:hAnsi="Times New Roman"/>
          <w:b/>
          <w:bCs/>
          <w:vertAlign w:val="superscript"/>
          <w:lang w:val="kk-KZ"/>
        </w:rPr>
        <w:t>2</w:t>
      </w:r>
      <w:r>
        <w:rPr>
          <w:rFonts w:cs="Times New Roman" w:ascii="Times New Roman" w:hAnsi="Times New Roman"/>
          <w:b/>
          <w:bCs/>
          <w:lang w:val="kk-KZ"/>
        </w:rPr>
        <w:t xml:space="preserve">Б. Цирклер, </w:t>
      </w:r>
      <w:r>
        <w:rPr>
          <w:rFonts w:cs="Times New Roman" w:ascii="Times New Roman" w:hAnsi="Times New Roman"/>
          <w:b/>
          <w:bCs/>
          <w:vertAlign w:val="superscript"/>
          <w:lang w:val="kk-KZ"/>
        </w:rPr>
        <w:t>1</w:t>
      </w:r>
      <w:r>
        <w:rPr>
          <w:rFonts w:cs="Times New Roman" w:ascii="Times New Roman" w:hAnsi="Times New Roman"/>
          <w:b/>
          <w:bCs/>
          <w:lang w:val="kk-KZ"/>
        </w:rPr>
        <w:t>Е.Е.Сумарева, А.С.Бухрякова</w:t>
      </w:r>
    </w:p>
    <w:p>
      <w:pPr>
        <w:pStyle w:val="Normal"/>
        <w:spacing w:lineRule="auto" w:line="240" w:before="0" w:after="0"/>
        <w:contextualSpacing/>
        <w:jc w:val="center"/>
        <w:rPr>
          <w:rFonts w:ascii="Times New Roman" w:hAnsi="Times New Roman" w:cs="Times New Roman"/>
          <w:i/>
          <w:i/>
          <w:sz w:val="20"/>
          <w:szCs w:val="20"/>
        </w:rPr>
      </w:pPr>
      <w:r>
        <w:rPr>
          <w:rFonts w:cs="Times New Roman" w:ascii="Times New Roman" w:hAnsi="Times New Roman"/>
          <w:i/>
          <w:sz w:val="20"/>
          <w:szCs w:val="20"/>
          <w:vertAlign w:val="superscript"/>
        </w:rPr>
        <w:t>1</w:t>
      </w:r>
      <w:r>
        <w:rPr>
          <w:rFonts w:cs="Times New Roman" w:ascii="Times New Roman" w:hAnsi="Times New Roman"/>
          <w:i/>
          <w:sz w:val="20"/>
          <w:szCs w:val="20"/>
        </w:rPr>
        <w:t>Қазақстан-Американдық еркін университеті, Өскемен, Қазақстан,</w:t>
      </w:r>
    </w:p>
    <w:p>
      <w:pPr>
        <w:pStyle w:val="Normal"/>
        <w:spacing w:lineRule="auto" w:line="240" w:before="0" w:after="0"/>
        <w:contextualSpacing/>
        <w:jc w:val="center"/>
        <w:rPr>
          <w:rFonts w:ascii="Times New Roman" w:hAnsi="Times New Roman" w:cs="Times New Roman"/>
          <w:i/>
          <w:i/>
          <w:sz w:val="20"/>
          <w:szCs w:val="20"/>
        </w:rPr>
      </w:pPr>
      <w:r>
        <w:rPr>
          <w:rFonts w:cs="Times New Roman" w:ascii="Times New Roman" w:hAnsi="Times New Roman"/>
          <w:i/>
          <w:sz w:val="20"/>
          <w:szCs w:val="20"/>
          <w:vertAlign w:val="superscript"/>
          <w:lang w:val="kk-KZ"/>
        </w:rPr>
        <w:t>2</w:t>
      </w:r>
      <w:r>
        <w:rPr>
          <w:rFonts w:cs="Times New Roman" w:ascii="Times New Roman" w:hAnsi="Times New Roman"/>
          <w:i/>
          <w:sz w:val="20"/>
          <w:szCs w:val="20"/>
        </w:rPr>
        <w:t>Westsächsische Hochschule Zwickau - Қолданбалы ғылымдар университеті, Цви</w:t>
      </w:r>
      <w:r>
        <w:rPr>
          <w:rFonts w:cs="Times New Roman" w:ascii="Times New Roman" w:hAnsi="Times New Roman"/>
          <w:i/>
          <w:sz w:val="20"/>
          <w:szCs w:val="20"/>
          <w:lang w:val="kk-KZ"/>
        </w:rPr>
        <w:t>к</w:t>
      </w:r>
      <w:r>
        <w:rPr>
          <w:rFonts w:cs="Times New Roman" w:ascii="Times New Roman" w:hAnsi="Times New Roman"/>
          <w:i/>
          <w:sz w:val="20"/>
          <w:szCs w:val="20"/>
        </w:rPr>
        <w:t>кау, Германия,</w:t>
      </w:r>
    </w:p>
    <w:p>
      <w:pPr>
        <w:pStyle w:val="Normal"/>
        <w:spacing w:lineRule="auto" w:line="240" w:before="0" w:after="0"/>
        <w:contextualSpacing/>
        <w:jc w:val="center"/>
        <w:rPr>
          <w:rFonts w:ascii="Times New Roman" w:hAnsi="Times New Roman" w:cs="Times New Roman"/>
        </w:rPr>
      </w:pPr>
      <w:r>
        <w:rPr>
          <w:rFonts w:cs="Times New Roman" w:ascii="Times New Roman" w:hAnsi="Times New Roman"/>
          <w:lang w:val="en-US"/>
        </w:rPr>
        <w:t>e</w:t>
      </w:r>
      <w:r>
        <w:rPr>
          <w:rFonts w:cs="Times New Roman" w:ascii="Times New Roman" w:hAnsi="Times New Roman"/>
        </w:rPr>
        <w:t>-</w:t>
      </w:r>
      <w:r>
        <w:rPr>
          <w:rFonts w:cs="Times New Roman" w:ascii="Times New Roman" w:hAnsi="Times New Roman"/>
          <w:lang w:val="en-US"/>
        </w:rPr>
        <w:t>mail</w:t>
      </w:r>
      <w:r>
        <w:rPr>
          <w:rFonts w:cs="Times New Roman" w:ascii="Times New Roman" w:hAnsi="Times New Roman"/>
        </w:rPr>
        <w:t xml:space="preserve">: </w:t>
      </w:r>
      <w:hyperlink r:id="rId369">
        <w:r>
          <w:rPr>
            <w:rStyle w:val="Style3"/>
            <w:rFonts w:cs="Times New Roman" w:ascii="Times New Roman" w:hAnsi="Times New Roman"/>
            <w:lang w:val="en-US"/>
          </w:rPr>
          <w:t>mubarakovyeldar</w:t>
        </w:r>
        <w:r>
          <w:rPr>
            <w:rStyle w:val="Style3"/>
            <w:rFonts w:cs="Times New Roman" w:ascii="Times New Roman" w:hAnsi="Times New Roman"/>
          </w:rPr>
          <w:t>@</w:t>
        </w:r>
        <w:r>
          <w:rPr>
            <w:rStyle w:val="Style3"/>
            <w:rFonts w:cs="Times New Roman" w:ascii="Times New Roman" w:hAnsi="Times New Roman"/>
            <w:lang w:val="en-US"/>
          </w:rPr>
          <w:t>gmail</w:t>
        </w:r>
        <w:r>
          <w:rPr>
            <w:rStyle w:val="Style3"/>
            <w:rFonts w:cs="Times New Roman" w:ascii="Times New Roman" w:hAnsi="Times New Roman"/>
          </w:rPr>
          <w:t>.</w:t>
        </w:r>
        <w:r>
          <w:rPr>
            <w:rStyle w:val="Style3"/>
            <w:rFonts w:cs="Times New Roman" w:ascii="Times New Roman" w:hAnsi="Times New Roman"/>
            <w:lang w:val="en-US"/>
          </w:rPr>
          <w:t>com</w:t>
        </w:r>
      </w:hyperlink>
    </w:p>
    <w:p>
      <w:pPr>
        <w:pStyle w:val="Normal"/>
        <w:spacing w:lineRule="auto" w:line="240" w:before="0" w:after="0"/>
        <w:ind w:firstLine="567"/>
        <w:contextualSpacing/>
        <w:jc w:val="both"/>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567"/>
        <w:contextualSpacing/>
        <w:jc w:val="both"/>
        <w:rPr>
          <w:rFonts w:ascii="Times New Roman" w:hAnsi="Times New Roman" w:cs="Times New Roman"/>
          <w:sz w:val="24"/>
          <w:szCs w:val="24"/>
          <w:lang w:val="kk-KZ"/>
        </w:rPr>
      </w:pPr>
      <w:r>
        <w:rPr>
          <w:rFonts w:cs="Times New Roman" w:ascii="Times New Roman" w:hAnsi="Times New Roman"/>
          <w:sz w:val="24"/>
          <w:szCs w:val="24"/>
          <w:lang w:val="kk-KZ"/>
        </w:rPr>
        <w:t>Бұл мақалада Қазақстандағы айналмалы экономикаға көшудің өзекті мәселелері қарастырылады. Зерттеудің мақсаты - осы өтпелі кезеңнің ерекшеліктерін анықтау және елдегі айналмалы экономиканың негізгі элементтерін белгілеу шараларын анықтау. Мақалада Қазақстанның нақты жағдайлары, соның ішінде әлеуметтік-экономикалық даму деңгейі мен елдің мүмкіндіктері, пайдалы қазбалардың қолжетімділігі, өндірілуі және өңделуі, өнеркәсіптік өндіріс құрылымы, халық тығыздығы, аумақтық факторлар және халықтың әлеуметтік-мәдени ерекшеліктері көрсетілген. Бұл жағдайлар Қазақстандағы айналмалы экономикаға көшуге кедергі келтіретіні көрсетілген. Мұның басты себебі - елдегі экологиялық мәселелердің ушығуы және айналмалы экономикаға көшудегі әлемдік тәжірибенің әсері. Мақалада тиісті заңнама мен ережелердің негізгі мазмұны мен эволюциясы талданады. Оның елдегі жасыл экономиканы дамытуға интеграцияланғаны және айналмалы экономика бойынша жеке заң немесе қажетті саяси құжаттар жоқ екені атап өтілген. Мақалада Қазақстандағы осы экономиканың негізгі сипаттамалары ұсынылған, олар әлемдік тәжірибеден алынған оң мысалдармен салыстырылады. Елдегі қалдықтарды басқару мәселелері де қарастырылады. Мақалада Қазақстанның айналмалы экономикаға көшуінің негізгі қадамдары мен процесінің ерекшеліктері анықталған. Онда елдің айналмалы экономиканы дамытудың бастапқы кезеңінде екендігі, оның бірнеше элементі ғана бар екендігі туралы қорытынды жасалған. Жалпы алғанда, Қазақстанда айналмалы экономикаға көшудің қарқыны, ауқымы және нәтижелері салыстырмалы түрде баяу болды. Сондықтан, елдің ерекшеліктері мен әлемдік тәжірибелерді енгізу әлеуетін ескере отырып, осы көшудің тиімділігін арттыру бойынша ұсыныстар жасалуда.</w:t>
      </w:r>
    </w:p>
    <w:p>
      <w:pPr>
        <w:pStyle w:val="Normal"/>
        <w:spacing w:lineRule="auto" w:line="240" w:before="0" w:after="0"/>
        <w:ind w:firstLine="567"/>
        <w:contextualSpacing/>
        <w:jc w:val="both"/>
        <w:rPr>
          <w:rFonts w:ascii="Times New Roman" w:hAnsi="Times New Roman" w:cs="Times New Roman"/>
          <w:sz w:val="24"/>
          <w:szCs w:val="24"/>
          <w:lang w:val="kk-KZ"/>
        </w:rPr>
      </w:pPr>
      <w:r>
        <w:rPr>
          <w:rFonts w:cs="Times New Roman" w:ascii="Times New Roman" w:hAnsi="Times New Roman"/>
          <w:b/>
          <w:bCs/>
          <w:sz w:val="24"/>
          <w:szCs w:val="24"/>
          <w:lang w:val="kk-KZ"/>
        </w:rPr>
        <w:t>Түйін сөздер:</w:t>
      </w:r>
      <w:r>
        <w:rPr>
          <w:rFonts w:cs="Times New Roman" w:ascii="Times New Roman" w:hAnsi="Times New Roman"/>
          <w:sz w:val="24"/>
          <w:szCs w:val="24"/>
          <w:lang w:val="kk-KZ"/>
        </w:rPr>
        <w:t xml:space="preserve"> айналмалы экономика, Қазақстан, өтпелі кезеңнің сипаттамалары, жағдайлары және негізгі қадамдары, қалдықтарды басқару, енгізу.</w:t>
      </w:r>
    </w:p>
    <w:p>
      <w:pPr>
        <w:pStyle w:val="Normal"/>
        <w:spacing w:lineRule="auto" w:line="240" w:before="0" w:after="0"/>
        <w:ind w:firstLine="567"/>
        <w:contextualSpacing/>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contextualSpacing/>
        <w:jc w:val="center"/>
        <w:rPr>
          <w:rFonts w:ascii="Times New Roman" w:hAnsi="Times New Roman" w:cs="Times New Roman"/>
          <w:b/>
          <w:bCs/>
        </w:rPr>
      </w:pPr>
      <w:r>
        <w:rPr>
          <w:rFonts w:cs="Times New Roman" w:ascii="Times New Roman" w:hAnsi="Times New Roman"/>
          <w:b/>
          <w:bCs/>
        </w:rPr>
        <w:t>ОСОБЕННОСТИ ПЕРЕХОДА К ЦИРКУЛЯРНОЙ ЭКОНОМИКЕ В КАЗАХСТАНЕ</w:t>
      </w:r>
    </w:p>
    <w:p>
      <w:pPr>
        <w:pStyle w:val="Normal"/>
        <w:spacing w:lineRule="auto" w:line="240" w:before="0" w:after="0"/>
        <w:contextualSpacing/>
        <w:jc w:val="center"/>
        <w:rPr>
          <w:rFonts w:ascii="Times New Roman" w:hAnsi="Times New Roman" w:cs="Times New Roman"/>
          <w:b/>
          <w:bCs/>
        </w:rPr>
      </w:pPr>
      <w:r>
        <w:rPr>
          <w:rFonts w:cs="Times New Roman" w:ascii="Times New Roman" w:hAnsi="Times New Roman"/>
          <w:b/>
          <w:bCs/>
        </w:rPr>
      </w:r>
    </w:p>
    <w:p>
      <w:pPr>
        <w:pStyle w:val="Normal"/>
        <w:spacing w:lineRule="auto" w:line="240" w:before="0" w:after="0"/>
        <w:contextualSpacing/>
        <w:jc w:val="center"/>
        <w:rPr>
          <w:rFonts w:ascii="Times New Roman" w:hAnsi="Times New Roman" w:cs="Times New Roman"/>
          <w:b/>
          <w:bCs/>
          <w:lang w:val="kk-KZ"/>
        </w:rPr>
      </w:pPr>
      <w:r>
        <w:rPr>
          <w:rFonts w:cs="Times New Roman" w:ascii="Times New Roman" w:hAnsi="Times New Roman"/>
          <w:b/>
          <w:bCs/>
          <w:vertAlign w:val="superscript"/>
        </w:rPr>
        <w:t>1</w:t>
      </w:r>
      <w:r>
        <w:rPr>
          <w:rFonts w:cs="Times New Roman" w:ascii="Times New Roman" w:hAnsi="Times New Roman"/>
          <w:b/>
          <w:bCs/>
        </w:rPr>
        <w:t xml:space="preserve">Я.Н. Линок, </w:t>
      </w:r>
      <w:r>
        <w:rPr>
          <w:rFonts w:cs="Times New Roman" w:ascii="Times New Roman" w:hAnsi="Times New Roman"/>
          <w:b/>
          <w:bCs/>
          <w:vertAlign w:val="superscript"/>
        </w:rPr>
        <w:t>1</w:t>
      </w:r>
      <w:r>
        <w:rPr>
          <w:rFonts w:cs="Times New Roman" w:ascii="Times New Roman" w:hAnsi="Times New Roman"/>
          <w:b/>
          <w:bCs/>
        </w:rPr>
        <w:t>Е.Е. Мубараков</w:t>
      </w:r>
      <w:r>
        <w:rPr>
          <w:rFonts w:eastAsia="Wingdings" w:cs="Wingdings" w:ascii="Wingdings" w:hAnsi="Wingdings"/>
          <w:b/>
          <w:bCs/>
          <w:color w:val="1F497D"/>
          <w:vertAlign w:val="superscript"/>
        </w:rPr>
        <w:sym w:font="Wingdings" w:char="f02a"/>
      </w:r>
      <w:r>
        <w:rPr>
          <w:rFonts w:cs="Times New Roman" w:ascii="Times New Roman" w:hAnsi="Times New Roman"/>
          <w:b/>
          <w:bCs/>
        </w:rPr>
        <w:t xml:space="preserve">  , </w:t>
      </w:r>
      <w:r>
        <w:rPr>
          <w:rFonts w:cs="Times New Roman" w:ascii="Times New Roman" w:hAnsi="Times New Roman"/>
          <w:b/>
          <w:bCs/>
          <w:vertAlign w:val="superscript"/>
          <w:lang w:val="kk-KZ"/>
        </w:rPr>
        <w:t>2</w:t>
      </w:r>
      <w:r>
        <w:rPr>
          <w:rFonts w:cs="Times New Roman" w:ascii="Times New Roman" w:hAnsi="Times New Roman"/>
          <w:b/>
          <w:bCs/>
          <w:lang w:val="kk-KZ"/>
        </w:rPr>
        <w:t>Б. Цирклер</w:t>
      </w:r>
      <w:r>
        <w:rPr>
          <w:rFonts w:cs="Times New Roman" w:ascii="Times New Roman" w:hAnsi="Times New Roman"/>
          <w:b/>
          <w:bCs/>
        </w:rPr>
        <w:t xml:space="preserve">, </w:t>
      </w:r>
      <w:r>
        <w:rPr>
          <w:rFonts w:cs="Times New Roman" w:ascii="Times New Roman" w:hAnsi="Times New Roman"/>
          <w:b/>
          <w:bCs/>
          <w:vertAlign w:val="superscript"/>
        </w:rPr>
        <w:t>1</w:t>
      </w:r>
      <w:r>
        <w:rPr>
          <w:rFonts w:cs="Times New Roman" w:ascii="Times New Roman" w:hAnsi="Times New Roman"/>
          <w:b/>
          <w:bCs/>
          <w:lang w:val="kk-KZ"/>
        </w:rPr>
        <w:t>Е.Е.Сумарева</w:t>
      </w:r>
      <w:r>
        <w:rPr>
          <w:rFonts w:cs="Times New Roman" w:ascii="Times New Roman" w:hAnsi="Times New Roman"/>
          <w:b/>
          <w:bCs/>
        </w:rPr>
        <w:t xml:space="preserve">, </w:t>
      </w:r>
      <w:r>
        <w:rPr>
          <w:rFonts w:cs="Times New Roman" w:ascii="Times New Roman" w:hAnsi="Times New Roman"/>
          <w:b/>
          <w:bCs/>
          <w:lang w:val="kk-KZ"/>
        </w:rPr>
        <w:t>А.С.Бухрякова</w:t>
      </w:r>
    </w:p>
    <w:p>
      <w:pPr>
        <w:pStyle w:val="Normal"/>
        <w:spacing w:lineRule="auto" w:line="240" w:before="0" w:after="0"/>
        <w:contextualSpacing/>
        <w:jc w:val="center"/>
        <w:rPr>
          <w:rFonts w:ascii="Times New Roman" w:hAnsi="Times New Roman" w:cs="Times New Roman"/>
          <w:i/>
          <w:i/>
          <w:sz w:val="20"/>
          <w:szCs w:val="20"/>
        </w:rPr>
      </w:pPr>
      <w:r>
        <w:rPr>
          <w:rFonts w:cs="Times New Roman" w:ascii="Times New Roman" w:hAnsi="Times New Roman"/>
          <w:i/>
          <w:sz w:val="20"/>
          <w:szCs w:val="20"/>
          <w:vertAlign w:val="superscript"/>
        </w:rPr>
        <w:t>1</w:t>
      </w:r>
      <w:r>
        <w:rPr>
          <w:rFonts w:cs="Times New Roman" w:ascii="Times New Roman" w:hAnsi="Times New Roman"/>
          <w:i/>
          <w:sz w:val="20"/>
          <w:szCs w:val="20"/>
        </w:rPr>
        <w:t>Казахстанско-Американский свободный университет, Усть-Каменогорск, Казахстан,</w:t>
      </w:r>
    </w:p>
    <w:p>
      <w:pPr>
        <w:pStyle w:val="Normal"/>
        <w:spacing w:lineRule="auto" w:line="240" w:before="0" w:after="0"/>
        <w:contextualSpacing/>
        <w:jc w:val="center"/>
        <w:rPr>
          <w:rFonts w:ascii="Times New Roman" w:hAnsi="Times New Roman" w:cs="Times New Roman"/>
          <w:i/>
          <w:i/>
          <w:sz w:val="20"/>
          <w:szCs w:val="20"/>
        </w:rPr>
      </w:pPr>
      <w:r>
        <w:rPr>
          <w:rFonts w:cs="Times New Roman" w:ascii="Times New Roman" w:hAnsi="Times New Roman"/>
          <w:i/>
          <w:sz w:val="20"/>
          <w:szCs w:val="20"/>
          <w:vertAlign w:val="superscript"/>
          <w:lang w:val="kk-KZ"/>
        </w:rPr>
        <w:t>2</w:t>
      </w:r>
      <w:r>
        <w:rPr>
          <w:rFonts w:cs="Times New Roman" w:ascii="Times New Roman" w:hAnsi="Times New Roman"/>
          <w:i/>
          <w:sz w:val="20"/>
          <w:szCs w:val="20"/>
        </w:rPr>
        <w:t>Westsächsische Hochschule Zwickau - Университет прикладных наук, Цвик</w:t>
      </w:r>
      <w:r>
        <w:rPr>
          <w:rFonts w:cs="Times New Roman" w:ascii="Times New Roman" w:hAnsi="Times New Roman"/>
          <w:i/>
          <w:sz w:val="20"/>
          <w:szCs w:val="20"/>
          <w:lang w:val="kk-KZ"/>
        </w:rPr>
        <w:t>к</w:t>
      </w:r>
      <w:r>
        <w:rPr>
          <w:rFonts w:cs="Times New Roman" w:ascii="Times New Roman" w:hAnsi="Times New Roman"/>
          <w:i/>
          <w:sz w:val="20"/>
          <w:szCs w:val="20"/>
        </w:rPr>
        <w:t>ау, Германия,</w:t>
      </w:r>
    </w:p>
    <w:p>
      <w:pPr>
        <w:pStyle w:val="Normal"/>
        <w:spacing w:lineRule="auto" w:line="240" w:before="0" w:after="0"/>
        <w:contextualSpacing/>
        <w:jc w:val="center"/>
        <w:rPr>
          <w:rFonts w:ascii="Times New Roman" w:hAnsi="Times New Roman" w:cs="Times New Roman"/>
        </w:rPr>
      </w:pPr>
      <w:r>
        <w:rPr>
          <w:rFonts w:cs="Times New Roman" w:ascii="Times New Roman" w:hAnsi="Times New Roman"/>
          <w:sz w:val="24"/>
          <w:szCs w:val="24"/>
          <w:lang w:val="en-US"/>
        </w:rPr>
        <w:t>e</w:t>
      </w:r>
      <w:r>
        <w:rPr>
          <w:rFonts w:cs="Times New Roman" w:ascii="Times New Roman" w:hAnsi="Times New Roman"/>
        </w:rPr>
        <w:t>-</w:t>
      </w:r>
      <w:r>
        <w:rPr>
          <w:rFonts w:cs="Times New Roman" w:ascii="Times New Roman" w:hAnsi="Times New Roman"/>
          <w:lang w:val="en-US"/>
        </w:rPr>
        <w:t>mail</w:t>
      </w:r>
      <w:r>
        <w:rPr>
          <w:rFonts w:cs="Times New Roman" w:ascii="Times New Roman" w:hAnsi="Times New Roman"/>
        </w:rPr>
        <w:t xml:space="preserve">: </w:t>
      </w:r>
      <w:hyperlink r:id="rId370">
        <w:r>
          <w:rPr>
            <w:rStyle w:val="Style3"/>
            <w:rFonts w:cs="Times New Roman" w:ascii="Times New Roman" w:hAnsi="Times New Roman"/>
            <w:lang w:val="en-US"/>
          </w:rPr>
          <w:t>mubarakovyeldar</w:t>
        </w:r>
        <w:r>
          <w:rPr>
            <w:rStyle w:val="Style3"/>
            <w:rFonts w:cs="Times New Roman" w:ascii="Times New Roman" w:hAnsi="Times New Roman"/>
          </w:rPr>
          <w:t>@</w:t>
        </w:r>
        <w:r>
          <w:rPr>
            <w:rStyle w:val="Style3"/>
            <w:rFonts w:cs="Times New Roman" w:ascii="Times New Roman" w:hAnsi="Times New Roman"/>
            <w:lang w:val="en-US"/>
          </w:rPr>
          <w:t>gmail</w:t>
        </w:r>
        <w:r>
          <w:rPr>
            <w:rStyle w:val="Style3"/>
            <w:rFonts w:cs="Times New Roman" w:ascii="Times New Roman" w:hAnsi="Times New Roman"/>
          </w:rPr>
          <w:t>.</w:t>
        </w:r>
        <w:r>
          <w:rPr>
            <w:rStyle w:val="Style3"/>
            <w:rFonts w:cs="Times New Roman" w:ascii="Times New Roman" w:hAnsi="Times New Roman"/>
            <w:lang w:val="en-US"/>
          </w:rPr>
          <w:t>com</w:t>
        </w:r>
      </w:hyperlink>
    </w:p>
    <w:p>
      <w:pPr>
        <w:pStyle w:val="Normal"/>
        <w:spacing w:lineRule="auto" w:line="240" w:before="0" w:after="0"/>
        <w:ind w:firstLine="567"/>
        <w:contextualSpacing/>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contextualSpacing/>
        <w:jc w:val="both"/>
        <w:rPr>
          <w:rFonts w:ascii="Times New Roman" w:hAnsi="Times New Roman" w:cs="Times New Roman"/>
          <w:sz w:val="24"/>
          <w:szCs w:val="24"/>
        </w:rPr>
      </w:pPr>
      <w:r>
        <w:rPr>
          <w:rFonts w:cs="Times New Roman" w:ascii="Times New Roman" w:hAnsi="Times New Roman"/>
          <w:sz w:val="24"/>
          <w:szCs w:val="24"/>
        </w:rPr>
        <w:t xml:space="preserve">Статья посвящена актуальным вопросам перехода к циркулярной экономике в Казахстане. </w:t>
      </w:r>
      <w:r>
        <w:rPr>
          <w:rFonts w:cs="Times New Roman" w:ascii="Times New Roman" w:hAnsi="Times New Roman"/>
          <w:sz w:val="24"/>
          <w:szCs w:val="24"/>
          <w:lang w:val="kk-KZ"/>
        </w:rPr>
        <w:t>Ц</w:t>
      </w:r>
      <w:r>
        <w:rPr>
          <w:rFonts w:cs="Times New Roman" w:ascii="Times New Roman" w:hAnsi="Times New Roman"/>
          <w:sz w:val="24"/>
          <w:szCs w:val="24"/>
        </w:rPr>
        <w:t>ель</w:t>
      </w:r>
      <w:r>
        <w:rPr>
          <w:rFonts w:cs="Times New Roman" w:ascii="Times New Roman" w:hAnsi="Times New Roman"/>
          <w:sz w:val="24"/>
          <w:szCs w:val="24"/>
          <w:lang w:val="kk-KZ"/>
        </w:rPr>
        <w:t xml:space="preserve"> исследования</w:t>
      </w:r>
      <w:r>
        <w:rPr>
          <w:rFonts w:cs="Times New Roman" w:ascii="Times New Roman" w:hAnsi="Times New Roman"/>
          <w:sz w:val="24"/>
          <w:szCs w:val="24"/>
        </w:rPr>
        <w:t xml:space="preserve"> - выявление особенностей данного перехода и определение мер по формированию основных элементов экономики замкнутого цикла в стране. В ней выделяются особенности условий Казахстана: уровень социально-экономического развития и возможности страны, наличие, добыча, переработка полезных ископаемых и структура промышленного производства, плотность населения и территориальный фактор, социокультурные особенности населения. Показывается, что данные условия «сдерживают» переход к циркулярной экономике в Казахстане. Его основная причина – обострение экологических проблем в стране и влияние мирового опыта перехода к экономике замкнутого цикла. Анализируются основное содержание и эволюция соответствующего законодательства и нормативно-правовых актов. Отмечается, что оно «встроено» в формирование зеленой экономики в стране и не содержит отдельного закона, необходимых программных документов по циркулярной экономике. Показываются основные характеристики данной экономики в Казахстане, которые сравниваются с положительными примерами из мирового опыта. Рассматриваются проблемы управления отходами в стране. Определяются особенности процесса, ключевых шагов по переходу к циркулярной экономике в Казахстане. Делается вывод о том, что в стране идет начальный этап формирования циркулярной экономики, имеются только отдельные ее элементы. В целом в Казахстане сложились сравнительно невысокие темпы, масштабы и результаты перехода к циркулярной экономике. В связи с этим даются предложения по повышению эффективности ее формирования с учетом особенностей страны и возможностей имплементации мирового опыта. </w:t>
      </w:r>
    </w:p>
    <w:p>
      <w:pPr>
        <w:pStyle w:val="Normal"/>
        <w:spacing w:lineRule="auto" w:line="240" w:before="0" w:after="0"/>
        <w:ind w:firstLine="567"/>
        <w:contextualSpacing/>
        <w:jc w:val="both"/>
        <w:rPr>
          <w:rFonts w:ascii="Times New Roman" w:hAnsi="Times New Roman" w:cs="Times New Roman"/>
          <w:sz w:val="24"/>
          <w:szCs w:val="24"/>
        </w:rPr>
      </w:pPr>
      <w:r>
        <w:rPr>
          <w:rFonts w:cs="Times New Roman" w:ascii="Times New Roman" w:hAnsi="Times New Roman"/>
          <w:b/>
          <w:bCs/>
          <w:sz w:val="24"/>
          <w:szCs w:val="24"/>
        </w:rPr>
        <w:t>Ключевые слова:</w:t>
      </w:r>
      <w:r>
        <w:rPr>
          <w:rFonts w:cs="Times New Roman" w:ascii="Times New Roman" w:hAnsi="Times New Roman"/>
          <w:sz w:val="24"/>
          <w:szCs w:val="24"/>
        </w:rPr>
        <w:t xml:space="preserve"> циркулярная экономика, Казахстан, особенности перехода, условия и основные шаги, управление отходами, имплементация.</w:t>
      </w:r>
    </w:p>
    <w:p>
      <w:pPr>
        <w:pStyle w:val="Normal"/>
        <w:spacing w:lineRule="auto" w:line="240" w:before="0" w:after="0"/>
        <w:ind w:firstLine="567"/>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b/>
          <w:bCs/>
          <w:iCs/>
          <w:sz w:val="24"/>
          <w:szCs w:val="24"/>
          <w:lang w:val="en-US"/>
        </w:rPr>
        <w:t>Introduction.</w:t>
      </w:r>
      <w:r>
        <w:rPr>
          <w:rFonts w:cs="Times New Roman" w:ascii="Times New Roman" w:hAnsi="Times New Roman"/>
          <w:i/>
          <w:sz w:val="24"/>
          <w:szCs w:val="24"/>
          <w:lang w:val="en-GB"/>
        </w:rPr>
        <w:t xml:space="preserve"> </w:t>
      </w:r>
      <w:r>
        <w:rPr>
          <w:rFonts w:cs="Times New Roman" w:ascii="Times New Roman" w:hAnsi="Times New Roman"/>
          <w:sz w:val="24"/>
          <w:szCs w:val="24"/>
          <w:lang w:val="en-US"/>
        </w:rPr>
        <w:t>The transition to a circular economy is a current trend in many countries worldwide. In developed countries, primarily European ones (Germany, the Netherlands, the UK, and others), it is the foundation of sustainable development. In Kazakhstan, following the adoption of the Concept for the Transition to a Green Economy in 2013, the circular economy is viewed as an important element complementing the existing economic growth model.</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total global circular economy market was estimated at $583.55 billion in 2023 and is projected to grow to $2.9 trillion by 2031- an almost fivefold increase. European countries accounted for a significant share of this market in 2023- approximately 38.8%, with an estimated value of $226.3 billion [1].</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 circular economy is an economy in which the renewal and reproduction of resources is ensured through innovation, and mechanisms and tools for their repeated (cyclical) involvement in the economic system are formed and developed</w:t>
      </w:r>
      <w:r>
        <w:rPr>
          <w:rFonts w:cs="Times New Roman" w:ascii="Times New Roman" w:hAnsi="Times New Roman"/>
          <w:sz w:val="24"/>
          <w:szCs w:val="24"/>
          <w:lang w:val="kk-KZ"/>
        </w:rPr>
        <w:t xml:space="preserve"> </w:t>
      </w:r>
      <w:r>
        <w:rPr>
          <w:rFonts w:cs="Times New Roman" w:ascii="Times New Roman" w:hAnsi="Times New Roman"/>
          <w:sz w:val="24"/>
          <w:szCs w:val="24"/>
          <w:lang w:val="en-US"/>
        </w:rPr>
        <w:t>[2]. Production and consumption occur in a closed loop, leading the circular economy to be called a closed-loop economy.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It offers several positive effects: reduced environmental impacts, more efficient use of available resources, and the emergence of an additional source of economic growth, increased employment, and more sustainable consumption.</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transition to a circular economy in developed countries, which began in the 1970s, was triggered by a significant increase in environmental problems. Recently, economic benefits have also become increasingly important. In Europe, Germany, in particular, is a recognized leader in the transition to a circular economy, and its experience is widely shared internationally.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Kazakhstan is a developing Eurasian country in the early stages of developing a circular economy. Like Germany, the significant increase in environmental problems triggered the transition to such an economy in Kazakhstan. Global experience in the formation and development of a green economy and a closed-loop economy, particularly in developed countries, also played a significant role.</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Theoretical research and practical implementation of the transition to a circular economy are of great interest to us, particularly for developing realistic and effective proposals to accelerate the development of the core elements of such an economy in Kazakhstan. However, the specific characteristics of our country must be taken into account. This is precisely the focus of this article.</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Accordingly, its goal is to identify the specific features of the transition to a circular economy in Kazakhstan and determine the necessary steps in this direction, taking into account the potential for implementing successful international practices.</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To achieve this goal, the following key objectives must be addressed:</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considering the experience of transition to a circular economy in Kazakhstan;</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identifying the features of this transition in our country;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providing proposals for improving the efficiency of the transition to a closed-loop economy in Kazakhstan, considering its specific features, as well as the possibilities for implementing international experience.</w:t>
      </w:r>
    </w:p>
    <w:p>
      <w:pPr>
        <w:pStyle w:val="Normal"/>
        <w:spacing w:lineRule="auto" w:line="240" w:before="0" w:after="0"/>
        <w:ind w:firstLine="567"/>
        <w:contextualSpacing/>
        <w:jc w:val="both"/>
        <w:rPr>
          <w:rFonts w:ascii="Times New Roman" w:hAnsi="Times New Roman" w:cs="Times New Roman"/>
          <w:i/>
          <w:i/>
          <w:sz w:val="24"/>
          <w:szCs w:val="24"/>
          <w:lang w:val="en-US"/>
        </w:rPr>
      </w:pPr>
      <w:r>
        <w:rPr>
          <w:rFonts w:cs="Times New Roman" w:ascii="Times New Roman" w:hAnsi="Times New Roman"/>
          <w:b/>
          <w:bCs/>
          <w:iCs/>
          <w:sz w:val="24"/>
          <w:szCs w:val="24"/>
          <w:lang w:val="en-US"/>
        </w:rPr>
        <w:t>Materials and methods.</w:t>
      </w:r>
      <w:r>
        <w:rPr>
          <w:rFonts w:cs="Times New Roman" w:ascii="Times New Roman" w:hAnsi="Times New Roman"/>
          <w:i/>
          <w:sz w:val="24"/>
          <w:szCs w:val="24"/>
          <w:lang w:val="en-US"/>
        </w:rPr>
        <w:t xml:space="preserve"> </w:t>
      </w:r>
      <w:r>
        <w:rPr>
          <w:rFonts w:cs="Times New Roman" w:ascii="Times New Roman" w:hAnsi="Times New Roman"/>
          <w:sz w:val="24"/>
          <w:szCs w:val="24"/>
          <w:lang w:val="en-US"/>
        </w:rPr>
        <w:t xml:space="preserve">The term </w:t>
      </w:r>
      <w:r>
        <w:rPr>
          <w:rFonts w:cs="Times New Roman" w:ascii="Times New Roman" w:hAnsi="Times New Roman"/>
          <w:sz w:val="24"/>
          <w:szCs w:val="24"/>
          <w:lang w:val="kk-KZ"/>
        </w:rPr>
        <w:t>«</w:t>
      </w:r>
      <w:r>
        <w:rPr>
          <w:rFonts w:cs="Times New Roman" w:ascii="Times New Roman" w:hAnsi="Times New Roman"/>
          <w:sz w:val="24"/>
          <w:szCs w:val="24"/>
          <w:lang w:val="en-US"/>
        </w:rPr>
        <w:t>circular economy</w:t>
      </w:r>
      <w:r>
        <w:rPr>
          <w:rFonts w:cs="Times New Roman" w:ascii="Times New Roman" w:hAnsi="Times New Roman"/>
          <w:sz w:val="24"/>
          <w:szCs w:val="24"/>
          <w:lang w:val="kk-KZ"/>
        </w:rPr>
        <w:t>»</w:t>
      </w:r>
      <w:r>
        <w:rPr>
          <w:rFonts w:cs="Times New Roman" w:ascii="Times New Roman" w:hAnsi="Times New Roman"/>
          <w:sz w:val="24"/>
          <w:szCs w:val="24"/>
          <w:lang w:val="en-US"/>
        </w:rPr>
        <w:t xml:space="preserve"> appeared at the turn of the 80-90s of the last century. Since the late 20th century, scientists from many countries, especially developed ones, have been actively researching the problems of reducing the negative impact of production and consumption on the environment, zero-waste production, and the transition to a circular economy. These include D. Pearce, A. Nies, R. Turner, K. Bowling, P. Antunes, D. D'Amato, G. Daly, P. Ekins, M. Geisdorfer, W. Haas, D. Kirchherr, D. Korhonen, F. Krausmann, P. Lacy, D. Long, S. Ritzen, G. Sandström, W. Spindler, and many others.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By now, the results of research on the transition to a circular economy have been largely systematized, and relevant textbooks for students have appeared. These include general descriptions of the circular economy, its structure and infrastructure, levels, waste and secondary resource management, circular business models, consumer behavior patterns, tax regulation within the circular economy, and more, as well as practical experiences in transitioning to a circular economy in various countries.</w:t>
      </w:r>
    </w:p>
    <w:p>
      <w:pPr>
        <w:pStyle w:val="Normal"/>
        <w:shd w:val="clear" w:color="auto" w:fill="FFFFFF"/>
        <w:spacing w:lineRule="auto" w:line="240" w:before="0" w:after="0"/>
        <w:ind w:firstLine="567"/>
        <w:contextualSpacing/>
        <w:jc w:val="both"/>
        <w:rPr>
          <w:rFonts w:ascii="Times New Roman" w:hAnsi="Times New Roman" w:cs="Times New Roman"/>
          <w:color w:themeColor="text1" w:val="000000"/>
          <w:sz w:val="24"/>
          <w:szCs w:val="24"/>
          <w:lang w:val="en-US"/>
        </w:rPr>
      </w:pPr>
      <w:r>
        <w:rPr>
          <w:rFonts w:cs="Times New Roman" w:ascii="Times New Roman" w:hAnsi="Times New Roman"/>
          <w:sz w:val="24"/>
          <w:szCs w:val="24"/>
          <w:lang w:val="en-US"/>
        </w:rPr>
        <w:t>Kazakhstani researchers more frequently use the term "circular economy." In recent years, publications by V. Amangeldiyeva, D. Ausharipova, D. Kalmakova, L. Kulumbetova, N. Nurmuhametov, E. Orazbekov, A. Sakhariyeva, L. Salakhatova, Zh. Temerbulatova, S. Tleuova, S. Zeynolla, N. Zhaksybayeva, A. Zhidebekkyzy, and other domestic authors have addressed the issues of transitioning to a circular economy in Kazakhstan.</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literature covers practical experiences in transitioning to a circular economy in various countries and their regional associations, primarily in Europe. Among these are articles devoted to Kazakhstan, which has only just begun to develop the basic elements of a circular economy.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For example, in the article </w:t>
      </w:r>
      <w:r>
        <w:rPr>
          <w:rFonts w:cs="Times New Roman" w:ascii="Times New Roman" w:hAnsi="Times New Roman"/>
          <w:sz w:val="24"/>
          <w:szCs w:val="24"/>
          <w:lang w:val="kk-KZ"/>
        </w:rPr>
        <w:t>«</w:t>
      </w:r>
      <w:r>
        <w:rPr>
          <w:rFonts w:cs="Times New Roman" w:ascii="Times New Roman" w:hAnsi="Times New Roman"/>
          <w:sz w:val="24"/>
          <w:szCs w:val="24"/>
          <w:lang w:val="en-US"/>
        </w:rPr>
        <w:t>Towards a Circular Economy: An Analysis of the Kazakhstani Case</w:t>
      </w:r>
      <w:r>
        <w:rPr>
          <w:rFonts w:cs="Times New Roman" w:ascii="Times New Roman" w:hAnsi="Times New Roman"/>
          <w:sz w:val="24"/>
          <w:szCs w:val="24"/>
          <w:lang w:val="kk-KZ"/>
        </w:rPr>
        <w:t>»</w:t>
      </w:r>
      <w:r>
        <w:rPr>
          <w:rFonts w:cs="Times New Roman" w:ascii="Times New Roman" w:hAnsi="Times New Roman"/>
          <w:sz w:val="24"/>
          <w:szCs w:val="24"/>
          <w:lang w:val="en-US"/>
        </w:rPr>
        <w:t>, Zhidebekkyzy A., Temerbulatova Zh., Amangeldiyeva B. A. and Sakhariyeva A. analyze the formation and current state of the circular economy in Kazakhstan [3].</w:t>
      </w:r>
    </w:p>
    <w:p>
      <w:pPr>
        <w:pStyle w:val="Normal"/>
        <w:shd w:val="clear" w:color="auto" w:fill="FFFFFF"/>
        <w:spacing w:lineRule="auto" w:line="240" w:before="0" w:after="0"/>
        <w:ind w:firstLine="567"/>
        <w:contextualSpacing/>
        <w:jc w:val="both"/>
        <w:rPr>
          <w:rFonts w:ascii="Times New Roman" w:hAnsi="Times New Roman" w:eastAsia="Times New Roman" w:cs="Times New Roman"/>
          <w:color w:themeColor="text1" w:val="000000"/>
          <w:sz w:val="24"/>
          <w:szCs w:val="24"/>
          <w:highlight w:val="lightGray"/>
          <w:lang w:val="en-US" w:eastAsia="ru-RU"/>
        </w:rPr>
      </w:pPr>
      <w:r>
        <w:rPr>
          <w:rFonts w:cs="Times New Roman" w:ascii="Times New Roman" w:hAnsi="Times New Roman"/>
          <w:sz w:val="24"/>
          <w:szCs w:val="24"/>
          <w:lang w:val="en-US"/>
        </w:rPr>
        <w:t>Improving the waste management system - a key element of the circular economy in Kazakhstan - is considered, for example, in the article by Zhidebekkyzy A., Temerbulatova Zh. &amp; Bilan Y. [4], a report prepared by Orazbekov E. [5] and others.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D. Ausharipova and L. Kulumbetova examined the circular economy as a tool for developing </w:t>
      </w:r>
      <w:r>
        <w:rPr>
          <w:rFonts w:cs="Times New Roman" w:ascii="Times New Roman" w:hAnsi="Times New Roman"/>
          <w:sz w:val="24"/>
          <w:szCs w:val="24"/>
          <w:lang w:val="kk-KZ"/>
        </w:rPr>
        <w:t>«</w:t>
      </w:r>
      <w:r>
        <w:rPr>
          <w:rFonts w:cs="Times New Roman" w:ascii="Times New Roman" w:hAnsi="Times New Roman"/>
          <w:sz w:val="24"/>
          <w:szCs w:val="24"/>
          <w:lang w:val="en-US"/>
        </w:rPr>
        <w:t>green</w:t>
      </w:r>
      <w:r>
        <w:rPr>
          <w:rFonts w:cs="Times New Roman" w:ascii="Times New Roman" w:hAnsi="Times New Roman"/>
          <w:sz w:val="24"/>
          <w:szCs w:val="24"/>
          <w:lang w:val="kk-KZ"/>
        </w:rPr>
        <w:t>»</w:t>
      </w:r>
      <w:r>
        <w:rPr>
          <w:rFonts w:cs="Times New Roman" w:ascii="Times New Roman" w:hAnsi="Times New Roman"/>
          <w:sz w:val="24"/>
          <w:szCs w:val="24"/>
          <w:lang w:val="en-US"/>
        </w:rPr>
        <w:t xml:space="preserve"> business in Kazakhstan [6], and, in collaboration with E.Tankova, they examined innovative business models for developing eco-entrepreneurship in the waste sector in Kazakhstan [7]. Zhaksybayeva N., Serikkyzy A. and colleagues examined the Kazakhstani circular business ecosystem [8], etc.</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There are also scientific publications devoted to the transition to a circular economy in Kazakhstan in comparison with other Asian countries, primarily Central Asian ones.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Interesting material on Kazakhstan is presented, for example, in the World Bank report </w:t>
      </w:r>
      <w:r>
        <w:rPr>
          <w:rFonts w:cs="Times New Roman" w:ascii="Times New Roman" w:hAnsi="Times New Roman"/>
          <w:sz w:val="24"/>
          <w:szCs w:val="24"/>
          <w:lang w:val="kk-KZ"/>
        </w:rPr>
        <w:t>«</w:t>
      </w:r>
      <w:r>
        <w:rPr>
          <w:rFonts w:cs="Times New Roman" w:ascii="Times New Roman" w:hAnsi="Times New Roman"/>
          <w:sz w:val="24"/>
          <w:szCs w:val="24"/>
          <w:lang w:val="en-US"/>
        </w:rPr>
        <w:t>Circular Economy: A Chance for Central Asia</w:t>
      </w:r>
      <w:r>
        <w:rPr>
          <w:rFonts w:cs="Times New Roman" w:ascii="Times New Roman" w:hAnsi="Times New Roman"/>
          <w:sz w:val="24"/>
          <w:szCs w:val="24"/>
          <w:lang w:val="kk-KZ"/>
        </w:rPr>
        <w:t xml:space="preserve">» </w:t>
      </w:r>
      <w:r>
        <w:rPr>
          <w:rFonts w:cs="Times New Roman" w:ascii="Times New Roman" w:hAnsi="Times New Roman"/>
          <w:sz w:val="24"/>
          <w:szCs w:val="24"/>
          <w:lang w:val="en-US"/>
        </w:rPr>
        <w:t xml:space="preserve">[9], an article by A.B. Dolgushin on the specifics of state regulation of the transition to a circular economy in relation to waste in Asian countries [10], etc. </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Varavin E., Kozlova M. and Makovetskiy M. analyzed the implementation of international experience in the field of environmentally responsible investment in Kazakhstan [11].</w:t>
      </w:r>
    </w:p>
    <w:p>
      <w:pPr>
        <w:pStyle w:val="Normal"/>
        <w:shd w:val="clear" w:color="auto" w:fill="FFFFFF"/>
        <w:spacing w:lineRule="auto" w:line="240" w:before="0" w:after="0"/>
        <w:ind w:firstLine="567"/>
        <w:contextualSpacing/>
        <w:jc w:val="both"/>
        <w:rPr>
          <w:rFonts w:ascii="Times New Roman" w:hAnsi="Times New Roman" w:cs="Times New Roman"/>
          <w:color w:themeColor="text1" w:val="000000"/>
          <w:sz w:val="24"/>
          <w:szCs w:val="24"/>
          <w:shd w:fill="FFFFFF" w:val="clear"/>
          <w:lang w:val="en-US"/>
        </w:rPr>
      </w:pPr>
      <w:r>
        <w:rPr>
          <w:rFonts w:cs="Times New Roman" w:ascii="Times New Roman" w:hAnsi="Times New Roman"/>
          <w:sz w:val="24"/>
          <w:szCs w:val="24"/>
          <w:lang w:val="en-US"/>
        </w:rPr>
        <w:t>The article by Zhidebekkyzy A., Moldabekova A., Amangeldiyeva B., Šanova P. also demonstrates differences in the readiness of society, business, government and financial institutions, science and education to develop a circular economy in Kazakhstan [12].</w:t>
      </w:r>
    </w:p>
    <w:p>
      <w:pPr>
        <w:pStyle w:val="Normal"/>
        <w:spacing w:lineRule="auto" w:line="240" w:before="0" w:after="0"/>
        <w:ind w:firstLine="567"/>
        <w:contextualSpacing/>
        <w:jc w:val="both"/>
        <w:rPr>
          <w:rFonts w:ascii="Times New Roman" w:hAnsi="Times New Roman" w:cs="Times New Roman"/>
          <w:color w:themeColor="text1" w:val="000000"/>
          <w:sz w:val="24"/>
          <w:szCs w:val="24"/>
          <w:shd w:fill="FFFFFF" w:val="clear"/>
          <w:lang w:val="en-US"/>
        </w:rPr>
      </w:pPr>
      <w:r>
        <w:rPr>
          <w:rFonts w:cs="Times New Roman" w:ascii="Times New Roman" w:hAnsi="Times New Roman"/>
          <w:color w:themeColor="text1" w:val="000000"/>
          <w:sz w:val="24"/>
          <w:szCs w:val="24"/>
          <w:shd w:fill="FFFFFF" w:val="clear"/>
          <w:lang w:val="en-US"/>
        </w:rPr>
        <w:t>Each of the above-mentioned and many other publications on the transition to a circular economy in Kazakhstan is relevant, presents theoretical and practical interest, and characterizes one or another aspect of this complex, integrated process.</w:t>
      </w:r>
    </w:p>
    <w:p>
      <w:pPr>
        <w:pStyle w:val="Normal"/>
        <w:spacing w:lineRule="auto" w:line="240" w:before="0" w:after="0"/>
        <w:ind w:firstLine="567"/>
        <w:contextualSpacing/>
        <w:jc w:val="both"/>
        <w:rPr>
          <w:rFonts w:ascii="Times New Roman" w:hAnsi="Times New Roman" w:cs="Times New Roman"/>
          <w:color w:themeColor="text1" w:val="000000"/>
          <w:sz w:val="24"/>
          <w:szCs w:val="24"/>
          <w:shd w:fill="FFFFFF" w:val="clear"/>
          <w:lang w:val="en-US"/>
        </w:rPr>
      </w:pPr>
      <w:r>
        <w:rPr>
          <w:rFonts w:cs="Times New Roman" w:ascii="Times New Roman" w:hAnsi="Times New Roman"/>
          <w:color w:themeColor="text1" w:val="000000"/>
          <w:sz w:val="24"/>
          <w:szCs w:val="24"/>
          <w:shd w:fill="FFFFFF" w:val="clear"/>
          <w:lang w:val="en-US"/>
        </w:rPr>
        <w:t>In this regard, we believe that an analysis of the specifics of the transition to a circular economy in Kazakhstan-a developing Eurasian state with a leading economy in Central Asia-will be relevant and productive.</w:t>
      </w:r>
    </w:p>
    <w:p>
      <w:pPr>
        <w:pStyle w:val="Normal"/>
        <w:spacing w:lineRule="auto" w:line="240" w:before="0" w:after="0"/>
        <w:ind w:firstLine="567"/>
        <w:contextualSpacing/>
        <w:jc w:val="both"/>
        <w:rPr>
          <w:rFonts w:ascii="Times New Roman" w:hAnsi="Times New Roman" w:cs="Times New Roman"/>
          <w:color w:themeColor="text1" w:val="000000"/>
          <w:sz w:val="24"/>
          <w:szCs w:val="24"/>
          <w:shd w:fill="FFFFFF" w:val="clear"/>
          <w:lang w:val="en-US"/>
        </w:rPr>
      </w:pPr>
      <w:r>
        <w:rPr>
          <w:rFonts w:cs="Times New Roman" w:ascii="Times New Roman" w:hAnsi="Times New Roman"/>
          <w:color w:themeColor="text1" w:val="000000"/>
          <w:sz w:val="24"/>
          <w:szCs w:val="24"/>
          <w:shd w:fill="FFFFFF" w:val="clear"/>
          <w:lang w:val="en-US"/>
        </w:rPr>
        <w:t>This, among other things, could allow for the effective implementation of international experience in transitioning to a circular economy in Kazakhstan.</w:t>
      </w:r>
    </w:p>
    <w:p>
      <w:pPr>
        <w:pStyle w:val="Normal"/>
        <w:spacing w:lineRule="auto" w:line="240" w:before="0" w:after="0"/>
        <w:ind w:firstLine="567"/>
        <w:contextualSpacing/>
        <w:jc w:val="both"/>
        <w:rPr>
          <w:rFonts w:ascii="Times New Roman" w:hAnsi="Times New Roman" w:cs="Times New Roman"/>
          <w:color w:themeColor="text1" w:val="000000"/>
          <w:sz w:val="24"/>
          <w:szCs w:val="24"/>
          <w:shd w:fill="FFFFFF" w:val="clear"/>
          <w:lang w:val="en-US"/>
        </w:rPr>
      </w:pPr>
      <w:r>
        <w:rPr>
          <w:rFonts w:cs="Times New Roman" w:ascii="Times New Roman" w:hAnsi="Times New Roman"/>
          <w:color w:themeColor="text1" w:val="000000"/>
          <w:sz w:val="24"/>
          <w:szCs w:val="24"/>
          <w:shd w:fill="FFFFFF" w:val="clear"/>
          <w:lang w:val="en-US"/>
        </w:rPr>
        <w:t>Understanding the specifics of the transition to a circular economy in Kazakhstan requires, first and foremost, an analysis of the specific conditions for its formation and development in our country.</w:t>
      </w:r>
    </w:p>
    <w:p>
      <w:pPr>
        <w:pStyle w:val="Normal"/>
        <w:spacing w:lineRule="auto" w:line="240" w:before="0" w:after="0"/>
        <w:ind w:firstLine="567"/>
        <w:contextualSpacing/>
        <w:jc w:val="both"/>
        <w:rPr>
          <w:rFonts w:ascii="Times New Roman" w:hAnsi="Times New Roman" w:cs="Times New Roman"/>
          <w:color w:themeColor="text1" w:val="000000"/>
          <w:sz w:val="24"/>
          <w:szCs w:val="24"/>
          <w:shd w:fill="FFFFFF" w:val="clear"/>
          <w:lang w:val="kk-KZ"/>
        </w:rPr>
      </w:pPr>
      <w:r>
        <w:rPr>
          <w:rFonts w:cs="Times New Roman" w:ascii="Times New Roman" w:hAnsi="Times New Roman"/>
          <w:color w:themeColor="text1" w:val="000000"/>
          <w:sz w:val="24"/>
          <w:szCs w:val="24"/>
          <w:shd w:fill="FFFFFF" w:val="clear"/>
          <w:lang w:val="en-US"/>
        </w:rPr>
        <w:t>This analysis shows, firstly, that the transition to a costly circular economy, which requires significant investment, is determined primarily by the country's level of socioeconomic development.</w:t>
      </w:r>
    </w:p>
    <w:p>
      <w:pPr>
        <w:pStyle w:val="Normal"/>
        <w:spacing w:lineRule="auto" w:line="240" w:before="0" w:after="0"/>
        <w:ind w:firstLine="567"/>
        <w:contextualSpacing/>
        <w:jc w:val="both"/>
        <w:rPr>
          <w:rFonts w:ascii="Times New Roman" w:hAnsi="Times New Roman" w:cs="Times New Roman"/>
          <w:color w:themeColor="text1" w:val="000000"/>
          <w:sz w:val="24"/>
          <w:szCs w:val="24"/>
          <w:shd w:fill="FFFFFF" w:val="clear"/>
          <w:lang w:val="en-US"/>
        </w:rPr>
      </w:pPr>
      <w:r>
        <w:rPr>
          <w:rFonts w:cs="Times New Roman" w:ascii="Times New Roman" w:hAnsi="Times New Roman"/>
          <w:color w:themeColor="text1" w:val="000000"/>
          <w:sz w:val="24"/>
          <w:szCs w:val="24"/>
          <w:shd w:fill="FFFFFF" w:val="clear"/>
          <w:lang w:val="en-US"/>
        </w:rPr>
        <w:t>As is well known, the Republic of Kazakhstan is a developing country. Its GDP in 2024 (according to the Trading Economics website) was $288.41 billion overall, with a per capita GDP of $11,850.17.</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color w:themeColor="text1" w:val="000000"/>
          <w:sz w:val="24"/>
          <w:szCs w:val="24"/>
          <w:shd w:fill="FFFFFF" w:val="clear"/>
          <w:lang w:val="en-US"/>
        </w:rPr>
        <w:t>For a developing country, these are good figures. However, compared to developed countries - leaders in the circular economy - this is modest. For example, in Germany, one of the most developed countries in the world and the largest in Europe by GDP, its overall GDP in 2024 was $4.66 trillion, with a per capita GDP of $54,990.</w:t>
      </w:r>
      <w:r>
        <w:rPr>
          <w:rFonts w:cs="Times New Roman" w:ascii="Times New Roman" w:hAnsi="Times New Roman"/>
          <w:sz w:val="24"/>
          <w:szCs w:val="24"/>
          <w:lang w:val="en-US"/>
        </w:rPr>
        <w:t>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That is, in terms of these key economic indicators, Kazakhstan was behind Germany by 16.2 and 4.6 times, respectively. Clearly, Kazakhstan is currently unable to transition to a circular economy to the same extent as Germany.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This circumstance is hindering the speed and scale of transformation in Kazakhstan. Therefore, we need to select priorities that align with the country's economic potential and capabilities.</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Secondly, the structure of industrial production influences the "urgency" of the transition to a circular economy. As noted in the literature [10], such a transition occurs more quickly and effectively in countries with a deficit of minerals and other natural resources.</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Kazakhstan possesses and is developing rich deposits of various metal ores - zinc, lead, copper, chromium, iron, uranium, gold, aluminum, titanium, molybdenum, beryllium, tantalum, and other rare earth elements - as well as non-metallic minerals - oil, coal, phosphorites, etc. This explains Kazakhstan's position in the global raw materials market - it is an exporting country.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extractive industry, which creates relatively low added value, significantly reduces the severity of the problem of resource renewal and, more generally, the transition to a circular economy. Thus, the structure of industrial production in Kazakhstan "restrains" this need.</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Thirdly, the pace and scale of the transition to a circular economy in Kazakhstan are also determined by territorial factors-population density and the availability of free waste disposal sites.</w:t>
      </w:r>
    </w:p>
    <w:p>
      <w:pPr>
        <w:pStyle w:val="Normal"/>
        <w:spacing w:lineRule="auto" w:line="240" w:before="0" w:after="0"/>
        <w:ind w:firstLine="567"/>
        <w:contextualSpacing/>
        <w:jc w:val="both"/>
        <w:rPr>
          <w:rFonts w:ascii="Times New Roman" w:hAnsi="Times New Roman" w:cs="Times New Roman"/>
          <w:sz w:val="24"/>
          <w:szCs w:val="24"/>
          <w:lang w:val="kk-KZ"/>
        </w:rPr>
      </w:pPr>
      <w:r>
        <w:rPr>
          <w:rFonts w:cs="Times New Roman" w:ascii="Times New Roman" w:hAnsi="Times New Roman"/>
          <w:sz w:val="24"/>
          <w:szCs w:val="24"/>
          <w:lang w:val="en-US"/>
        </w:rPr>
        <w:t>Global experience shows that for countries with high population density and a lack of free waste disposal sites, the transition to a circular economy is especially important and inevitable. Short distances between waste management facilities significantly reduce logistics costs and make waste collection, processing, and disposal cheaper. This stimulates the transition to a circular economy.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b/>
          <w:bCs/>
          <w:sz w:val="24"/>
          <w:szCs w:val="24"/>
          <w:lang w:val="en-US"/>
        </w:rPr>
        <w:t>Results and discussions.</w:t>
      </w:r>
      <w:r>
        <w:rPr>
          <w:rFonts w:cs="Times New Roman" w:ascii="Times New Roman" w:hAnsi="Times New Roman"/>
          <w:sz w:val="24"/>
          <w:szCs w:val="24"/>
          <w:lang w:val="en-US"/>
        </w:rPr>
        <w:t xml:space="preserve"> As is well known, Kazakhstan has a low population density - approximately 6.6 people/km² (as of 2024). For comparison, in Germany, this figure is approximately 35 times higher - approximately 233 people/km². Consequently, Kazakhstan's population is dispersed, with distances between settlements and waste management facilities typically large. This negatively impacts on the profitability of waste collection and recycling. As a result, the development of a circular economy in Kazakhstan is being hindered from an economic perspective.</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There are also other conditions (factors) that determine the specifics of the transition to a circular economy in various countries, including non-economic ones. One such factor is the socio-cultural factor. This circumstance is also noted in Russian literature [13].</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It can be noted, in particular, that Kazakhstanis typically do not consider the separation of solid municipal waste by type; they are often primarily concerned with adhering to the waste collection schedule. It's no coincidence that attempts to introduce separate waste collection in 2018-2019 in Astana, Aktobe, Semey, Turkestan, and Oskemen were virtually unsuccessful. This also speaks to society's relatively low readiness for the transition to a circular economy.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In contrast, it's common for any resident of a Western European country to have several garbage bags in the kitchen-for paper, plastic, glass, and food waste-which are then disposed of in the appropriate bins according to established procedures. This is done automatically, without any reminders.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Thus, the listed key conditions for the formation of a closed-loop economy in Kazakhstan do not play an active stimulating role in the transition to a circular economy.</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This, in turn, determines significant characteristics of the process itself and the key steps towards a circular economy.</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As is known, the significant increase in environmental problems triggered the transition to a circular economy in Kazakhstan. International experience in the formation and development of a green economy and a closed-loop economy also played an important role.</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According to available data [14], by 2024, more than 125 million tons of waste had accumulated in Kazakhstan. Moreover, the volume of municipal waste removed has been steadily increasing in recent years. In 2022, it was 3.8 million tons, in 2023 - 4.1 million tons, and in 2024 - 4.8 million tons. As a result, in these three years alone, this figure has increased by 1 million tons (26.3%).</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Currently, there are 2,973 municipal solid waste (MSW) landfills in Kazakhstan, of which only 608 (20.4%) comply with sanitary and environmental standards. Furthermore, in 2024 alone, 4,886 unauthorized landfills were identified in Kazakhstan, 93% of which have been eliminated [14].</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In 2013, the Republic of Kazakhstan adopted the Concept for the Transition to a Green Economy, which includes Section 3.5. </w:t>
      </w:r>
      <w:r>
        <w:rPr>
          <w:rFonts w:cs="Times New Roman" w:ascii="Times New Roman" w:hAnsi="Times New Roman"/>
          <w:sz w:val="24"/>
          <w:szCs w:val="24"/>
          <w:lang w:val="kk-KZ"/>
        </w:rPr>
        <w:t>«</w:t>
      </w:r>
      <w:r>
        <w:rPr>
          <w:rFonts w:cs="Times New Roman" w:ascii="Times New Roman" w:hAnsi="Times New Roman"/>
          <w:sz w:val="24"/>
          <w:szCs w:val="24"/>
          <w:lang w:val="en-US"/>
        </w:rPr>
        <w:t>Waste Management System</w:t>
      </w:r>
      <w:r>
        <w:rPr>
          <w:rFonts w:cs="Times New Roman" w:ascii="Times New Roman" w:hAnsi="Times New Roman"/>
          <w:sz w:val="24"/>
          <w:szCs w:val="24"/>
          <w:lang w:val="kk-KZ"/>
        </w:rPr>
        <w:t>»</w:t>
      </w:r>
      <w:r>
        <w:rPr>
          <w:rFonts w:cs="Times New Roman" w:ascii="Times New Roman" w:hAnsi="Times New Roman"/>
          <w:sz w:val="24"/>
          <w:szCs w:val="24"/>
          <w:lang w:val="en-US"/>
        </w:rPr>
        <w:t xml:space="preserve"> [15]. This section stipulates that Kazakhstan must essentially re-establish its waste management system due to the lack of the legal and organizational framework required for its optimal functioning. This system must also incorporate elements of the 3R (reduce-reuse-recycle) principles.</w:t>
      </w:r>
    </w:p>
    <w:p>
      <w:pPr>
        <w:pStyle w:val="Normal"/>
        <w:shd w:val="clear" w:color="auto" w:fill="FFFFFF"/>
        <w:spacing w:lineRule="auto" w:line="240" w:before="0" w:after="0"/>
        <w:ind w:firstLine="567"/>
        <w:contextualSpacing/>
        <w:jc w:val="both"/>
        <w:rPr>
          <w:rFonts w:ascii="Times New Roman" w:hAnsi="Times New Roman" w:cs="Times New Roman"/>
          <w:bCs/>
          <w:sz w:val="24"/>
          <w:szCs w:val="24"/>
          <w:shd w:fill="FFFFFF" w:val="clear"/>
          <w:lang w:val="en-US"/>
        </w:rPr>
      </w:pPr>
      <w:r>
        <w:rPr>
          <w:rFonts w:cs="Times New Roman" w:ascii="Times New Roman" w:hAnsi="Times New Roman"/>
          <w:sz w:val="24"/>
          <w:szCs w:val="24"/>
          <w:lang w:val="en-US"/>
        </w:rPr>
        <w:t>To implement the Concept, the Government successively approved two Action Plans, which also defined the objectives for improving the waste management system. Thus, the Plan for the period from 2013 to 2020 set objectives, for example, for the separate collection of household waste from consumers. The Plan for 2021-2030 highlights measures that follow the principles of a circular economy: the development of special support measures for the development of the waste management industry, including its recycling; the development of organic waste processing to produce biogas; and the construction of biogas plants at wastewater treatment plants and poultry farms [10].</w:t>
      </w:r>
    </w:p>
    <w:p>
      <w:pPr>
        <w:pStyle w:val="Normal"/>
        <w:spacing w:lineRule="auto" w:line="240" w:before="0" w:after="0"/>
        <w:ind w:firstLine="567"/>
        <w:contextualSpacing/>
        <w:jc w:val="both"/>
        <w:rPr>
          <w:rFonts w:ascii="Times New Roman" w:hAnsi="Times New Roman" w:cs="Times New Roman"/>
          <w:bCs/>
          <w:sz w:val="24"/>
          <w:szCs w:val="24"/>
          <w:lang w:val="en-GB"/>
        </w:rPr>
      </w:pPr>
      <w:r>
        <w:rPr>
          <w:rFonts w:cs="Times New Roman" w:ascii="Times New Roman" w:hAnsi="Times New Roman"/>
          <w:bCs/>
          <w:sz w:val="24"/>
          <w:szCs w:val="24"/>
          <w:lang w:val="en-GB"/>
        </w:rPr>
        <w:t xml:space="preserve">In 2015-2016, the principle of extended producer responsibility (EPR) was introduced in Kazakhstan. In this regard, corresponding amendments were made to the Environmental Code of the Republic of Kazakhstan, and government resolutions were adopted, </w:t>
      </w:r>
      <w:r>
        <w:rPr>
          <w:rFonts w:cs="Times New Roman" w:ascii="Times New Roman" w:hAnsi="Times New Roman"/>
          <w:bCs/>
          <w:sz w:val="24"/>
          <w:szCs w:val="24"/>
          <w:lang w:val="kk-KZ"/>
        </w:rPr>
        <w:t>«</w:t>
      </w:r>
      <w:r>
        <w:rPr>
          <w:rFonts w:cs="Times New Roman" w:ascii="Times New Roman" w:hAnsi="Times New Roman"/>
          <w:bCs/>
          <w:sz w:val="24"/>
          <w:szCs w:val="24"/>
          <w:lang w:val="en-GB"/>
        </w:rPr>
        <w:t>On Approving the Rules for the Implementation of Extended Obligations of Producers (Importers)</w:t>
      </w:r>
      <w:r>
        <w:rPr>
          <w:rFonts w:cs="Times New Roman" w:ascii="Times New Roman" w:hAnsi="Times New Roman"/>
          <w:bCs/>
          <w:sz w:val="24"/>
          <w:szCs w:val="24"/>
          <w:lang w:val="kk-KZ"/>
        </w:rPr>
        <w:t>»</w:t>
      </w:r>
      <w:r>
        <w:rPr>
          <w:rFonts w:cs="Times New Roman" w:ascii="Times New Roman" w:hAnsi="Times New Roman"/>
          <w:bCs/>
          <w:sz w:val="24"/>
          <w:szCs w:val="24"/>
          <w:lang w:val="en-GB"/>
        </w:rPr>
        <w:t xml:space="preserve"> and </w:t>
      </w:r>
      <w:r>
        <w:rPr>
          <w:rFonts w:cs="Times New Roman" w:ascii="Times New Roman" w:hAnsi="Times New Roman"/>
          <w:bCs/>
          <w:sz w:val="24"/>
          <w:szCs w:val="24"/>
          <w:lang w:val="kk-KZ"/>
        </w:rPr>
        <w:t>«</w:t>
      </w:r>
      <w:r>
        <w:rPr>
          <w:rFonts w:cs="Times New Roman" w:ascii="Times New Roman" w:hAnsi="Times New Roman"/>
          <w:bCs/>
          <w:sz w:val="24"/>
          <w:szCs w:val="24"/>
          <w:lang w:val="en-GB"/>
        </w:rPr>
        <w:t>On Determining the EPR Operator (Importers)</w:t>
      </w:r>
      <w:r>
        <w:rPr>
          <w:rFonts w:cs="Times New Roman" w:ascii="Times New Roman" w:hAnsi="Times New Roman"/>
          <w:bCs/>
          <w:sz w:val="24"/>
          <w:szCs w:val="24"/>
          <w:lang w:val="kk-KZ"/>
        </w:rPr>
        <w:t>»</w:t>
      </w:r>
      <w:r>
        <w:rPr>
          <w:rFonts w:cs="Times New Roman" w:ascii="Times New Roman" w:hAnsi="Times New Roman"/>
          <w:bCs/>
          <w:sz w:val="24"/>
          <w:szCs w:val="24"/>
          <w:lang w:val="en-GB"/>
        </w:rPr>
        <w:t>. The primary focus was on the recycling fee that product manufacturers and importers were required to pay to the private enterprise, EPR Operator LLP. Following well-known corruption cases, the functions of the EPR operator were transferred to the state-owned company, Zhasyl Damu JSC, in 2022.</w:t>
      </w:r>
    </w:p>
    <w:p>
      <w:pPr>
        <w:pStyle w:val="Normal"/>
        <w:spacing w:lineRule="auto" w:line="240" w:before="0" w:after="0"/>
        <w:ind w:firstLine="567"/>
        <w:contextualSpacing/>
        <w:jc w:val="both"/>
        <w:rPr>
          <w:rFonts w:ascii="Times New Roman" w:hAnsi="Times New Roman" w:cs="Times New Roman"/>
          <w:bCs/>
          <w:sz w:val="24"/>
          <w:szCs w:val="24"/>
          <w:lang w:val="en-GB"/>
        </w:rPr>
      </w:pPr>
      <w:r>
        <w:rPr>
          <w:rFonts w:cs="Times New Roman" w:ascii="Times New Roman" w:hAnsi="Times New Roman"/>
          <w:bCs/>
          <w:sz w:val="24"/>
          <w:szCs w:val="24"/>
          <w:lang w:val="en-GB"/>
        </w:rPr>
        <w:t>In fact, as international experience shows, this is a broader concept, encompassing the obligations of manufacturers and importers of goods that have lost their consumer properties to collect, transport, process, render harmless, use, and dispose of waste covered by EPR conditions.</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bCs/>
          <w:sz w:val="24"/>
          <w:szCs w:val="24"/>
          <w:lang w:val="en-GB"/>
        </w:rPr>
        <w:t xml:space="preserve">In Kazakhstan, there are also specific measures within various government programs that align with the principles of a circular economy. Thus, in 2021, the government adopted the National Project </w:t>
      </w:r>
      <w:r>
        <w:rPr>
          <w:rFonts w:cs="Times New Roman" w:ascii="Times New Roman" w:hAnsi="Times New Roman"/>
          <w:bCs/>
          <w:sz w:val="24"/>
          <w:szCs w:val="24"/>
          <w:lang w:val="kk-KZ"/>
        </w:rPr>
        <w:t>«</w:t>
      </w:r>
      <w:r>
        <w:rPr>
          <w:rFonts w:cs="Times New Roman" w:ascii="Times New Roman" w:hAnsi="Times New Roman"/>
          <w:bCs/>
          <w:sz w:val="24"/>
          <w:szCs w:val="24"/>
          <w:lang w:val="en-GB"/>
        </w:rPr>
        <w:t>Zhasyl Kazakhstan</w:t>
      </w:r>
      <w:r>
        <w:rPr>
          <w:rFonts w:cs="Times New Roman" w:ascii="Times New Roman" w:hAnsi="Times New Roman"/>
          <w:bCs/>
          <w:sz w:val="24"/>
          <w:szCs w:val="24"/>
          <w:lang w:val="kk-KZ"/>
        </w:rPr>
        <w:t>»</w:t>
      </w:r>
      <w:r>
        <w:rPr>
          <w:rFonts w:cs="Times New Roman" w:ascii="Times New Roman" w:hAnsi="Times New Roman"/>
          <w:bCs/>
          <w:sz w:val="24"/>
          <w:szCs w:val="24"/>
          <w:lang w:val="en-GB"/>
        </w:rPr>
        <w:t xml:space="preserve"> (</w:t>
      </w:r>
      <w:r>
        <w:rPr>
          <w:rFonts w:cs="Times New Roman" w:ascii="Times New Roman" w:hAnsi="Times New Roman"/>
          <w:bCs/>
          <w:sz w:val="24"/>
          <w:szCs w:val="24"/>
          <w:lang w:val="kk-KZ"/>
        </w:rPr>
        <w:t>«</w:t>
      </w:r>
      <w:r>
        <w:rPr>
          <w:rFonts w:cs="Times New Roman" w:ascii="Times New Roman" w:hAnsi="Times New Roman"/>
          <w:bCs/>
          <w:sz w:val="24"/>
          <w:szCs w:val="24"/>
          <w:lang w:val="en-GB"/>
        </w:rPr>
        <w:t>Green Kazakhstan</w:t>
      </w:r>
      <w:r>
        <w:rPr>
          <w:rFonts w:cs="Times New Roman" w:ascii="Times New Roman" w:hAnsi="Times New Roman"/>
          <w:bCs/>
          <w:sz w:val="24"/>
          <w:szCs w:val="24"/>
          <w:lang w:val="kk-KZ"/>
        </w:rPr>
        <w:t>»</w:t>
      </w:r>
      <w:r>
        <w:rPr>
          <w:rFonts w:cs="Times New Roman" w:ascii="Times New Roman" w:hAnsi="Times New Roman"/>
          <w:bCs/>
          <w:sz w:val="24"/>
          <w:szCs w:val="24"/>
          <w:lang w:val="en-GB"/>
        </w:rPr>
        <w:t>). It, among other things, sets out objectives for improving the efficiency of waste management</w:t>
      </w:r>
      <w:r>
        <w:rPr>
          <w:rFonts w:cs="Times New Roman" w:ascii="Times New Roman" w:hAnsi="Times New Roman"/>
          <w:sz w:val="24"/>
          <w:szCs w:val="24"/>
          <w:lang w:val="en-US"/>
        </w:rPr>
        <w:t>.</w:t>
      </w:r>
    </w:p>
    <w:p>
      <w:pPr>
        <w:pStyle w:val="Normal"/>
        <w:shd w:val="clear" w:color="auto" w:fill="FFFFFF"/>
        <w:spacing w:lineRule="auto" w:line="240" w:before="0" w:after="0"/>
        <w:ind w:firstLine="567"/>
        <w:contextualSpacing/>
        <w:jc w:val="both"/>
        <w:textAlignment w:val="baseline"/>
        <w:rPr>
          <w:rFonts w:ascii="Times New Roman" w:hAnsi="Times New Roman" w:eastAsia="Times New Roman" w:cs="Times New Roman"/>
          <w:sz w:val="24"/>
          <w:szCs w:val="24"/>
          <w:lang w:val="en-US" w:eastAsia="ru-RU"/>
        </w:rPr>
      </w:pPr>
      <w:r>
        <w:rPr>
          <w:rFonts w:eastAsia="Times New Roman" w:cs="Times New Roman" w:ascii="Times New Roman" w:hAnsi="Times New Roman"/>
          <w:bCs/>
          <w:sz w:val="24"/>
          <w:szCs w:val="24"/>
          <w:shd w:fill="FFFFFF" w:val="clear"/>
          <w:lang w:val="en-US" w:eastAsia="ru-RU"/>
        </w:rPr>
        <w:t xml:space="preserve">Kazakhstan is currently implementing the </w:t>
      </w:r>
      <w:r>
        <w:rPr>
          <w:rFonts w:eastAsia="Times New Roman" w:cs="Times New Roman" w:ascii="Times New Roman" w:hAnsi="Times New Roman"/>
          <w:bCs/>
          <w:sz w:val="24"/>
          <w:szCs w:val="24"/>
          <w:shd w:fill="FFFFFF" w:val="clear"/>
          <w:lang w:val="kk-KZ" w:eastAsia="ru-RU"/>
        </w:rPr>
        <w:t>«</w:t>
      </w:r>
      <w:r>
        <w:rPr>
          <w:rFonts w:eastAsia="Times New Roman" w:cs="Times New Roman" w:ascii="Times New Roman" w:hAnsi="Times New Roman"/>
          <w:bCs/>
          <w:sz w:val="24"/>
          <w:szCs w:val="24"/>
          <w:shd w:fill="FFFFFF" w:val="clear"/>
          <w:lang w:val="en-US" w:eastAsia="ru-RU"/>
        </w:rPr>
        <w:t>Taza Kazakhstan</w:t>
      </w:r>
      <w:r>
        <w:rPr>
          <w:rFonts w:eastAsia="Times New Roman" w:cs="Times New Roman" w:ascii="Times New Roman" w:hAnsi="Times New Roman"/>
          <w:bCs/>
          <w:sz w:val="24"/>
          <w:szCs w:val="24"/>
          <w:shd w:fill="FFFFFF" w:val="clear"/>
          <w:lang w:val="kk-KZ" w:eastAsia="ru-RU"/>
        </w:rPr>
        <w:t>»</w:t>
      </w:r>
      <w:r>
        <w:rPr>
          <w:rFonts w:eastAsia="Times New Roman" w:cs="Times New Roman" w:ascii="Times New Roman" w:hAnsi="Times New Roman"/>
          <w:bCs/>
          <w:sz w:val="24"/>
          <w:szCs w:val="24"/>
          <w:shd w:fill="FFFFFF" w:val="clear"/>
          <w:lang w:val="en-US" w:eastAsia="ru-RU"/>
        </w:rPr>
        <w:t xml:space="preserve"> concept (2024-2029), which aims to foster environmental awareness and increase waste recycling. The Carbon Neutrality Strategy by 2060, which aims to reduce carbon emissions and develop circular business models, and national circular economy standards are also being implemented to facilitate the transition to a circular economy.</w:t>
      </w:r>
      <w:r>
        <w:rPr>
          <w:rFonts w:eastAsia="Times New Roman" w:cs="Times New Roman" w:ascii="Times New Roman" w:hAnsi="Times New Roman"/>
          <w:sz w:val="24"/>
          <w:szCs w:val="24"/>
          <w:lang w:val="en-US" w:eastAsia="ru-RU"/>
        </w:rPr>
        <w:t xml:space="preserve"> </w:t>
      </w:r>
    </w:p>
    <w:p>
      <w:pPr>
        <w:pStyle w:val="Normal"/>
        <w:shd w:val="clear" w:color="auto" w:fill="FFFFFF"/>
        <w:spacing w:lineRule="auto" w:line="240" w:before="0" w:after="0"/>
        <w:ind w:firstLine="567"/>
        <w:contextualSpacing/>
        <w:jc w:val="both"/>
        <w:textAlignment w:val="baseline"/>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In 2024, amendments and additions were made to the Concept for the Transition of the Republic of Kazakhstan to a Green Economy, including the section on waste management. These amendments call for the widespread implementation of separate waste collection, increased recycling, and reuse of both municipal and industrial waste.</w:t>
      </w:r>
    </w:p>
    <w:p>
      <w:pPr>
        <w:pStyle w:val="Normal"/>
        <w:shd w:val="clear" w:color="auto" w:fill="FFFFFF"/>
        <w:spacing w:lineRule="auto" w:line="240" w:before="0" w:after="0"/>
        <w:ind w:firstLine="567"/>
        <w:contextualSpacing/>
        <w:jc w:val="both"/>
        <w:textAlignment w:val="baseline"/>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The goal of implementing separate waste collection was already included in the Government Action Plan for 2013-2020 but was not implemented in a timely manner.</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It should also be noted that all these state-adopted Concepts, Plans, Resolutions, and other policy documents do not contain a comprehensive, systemic, or integrated approach to implementing the transition to a circular economy. A separate law on the circular economy - as in Germany, for example - is absent.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In essence, legislation and steps toward a circular economy in Kazakhstan are </w:t>
      </w:r>
      <w:r>
        <w:rPr>
          <w:rFonts w:cs="Times New Roman" w:ascii="Times New Roman" w:hAnsi="Times New Roman"/>
          <w:sz w:val="24"/>
          <w:szCs w:val="24"/>
          <w:lang w:val="kk-KZ"/>
        </w:rPr>
        <w:t>«</w:t>
      </w:r>
      <w:r>
        <w:rPr>
          <w:rFonts w:cs="Times New Roman" w:ascii="Times New Roman" w:hAnsi="Times New Roman"/>
          <w:sz w:val="24"/>
          <w:szCs w:val="24"/>
          <w:lang w:val="en-US"/>
        </w:rPr>
        <w:t>integrated</w:t>
      </w:r>
      <w:r>
        <w:rPr>
          <w:rFonts w:cs="Times New Roman" w:ascii="Times New Roman" w:hAnsi="Times New Roman"/>
          <w:sz w:val="24"/>
          <w:szCs w:val="24"/>
          <w:lang w:val="kk-KZ"/>
        </w:rPr>
        <w:t xml:space="preserve">» </w:t>
      </w:r>
      <w:r>
        <w:rPr>
          <w:rFonts w:cs="Times New Roman" w:ascii="Times New Roman" w:hAnsi="Times New Roman"/>
          <w:sz w:val="24"/>
          <w:szCs w:val="24"/>
          <w:lang w:val="en-US"/>
        </w:rPr>
        <w:t>into the formation and development of a green economy. This, in particular, distinguishes Kazakhstan from, for example, developed Western European countries that are successfully developing a circular economy.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As noted, Kazakhstan places particular emphasis on its waste management system. Table 1 presents statistical data characterizing it across several key indicators for 2021-2024.</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ind w:firstLine="567"/>
        <w:contextualSpacing/>
        <w:jc w:val="center"/>
        <w:rPr>
          <w:rFonts w:ascii="Times New Roman" w:hAnsi="Times New Roman" w:cs="Times New Roman"/>
          <w:b/>
          <w:bCs/>
          <w:lang w:val="en-GB"/>
        </w:rPr>
      </w:pPr>
      <w:r>
        <w:rPr>
          <w:rFonts w:cs="Times New Roman" w:ascii="Times New Roman" w:hAnsi="Times New Roman"/>
          <w:b/>
          <w:bCs/>
          <w:lang w:val="en-US"/>
        </w:rPr>
        <w:t xml:space="preserve">Table 1- </w:t>
      </w:r>
      <w:r>
        <w:rPr>
          <w:rFonts w:cs="Times New Roman" w:ascii="Times New Roman" w:hAnsi="Times New Roman"/>
          <w:b/>
          <w:bCs/>
          <w:lang w:val="en-GB"/>
        </w:rPr>
        <w:t xml:space="preserve">Key Indicators Characterizing Kazakhstan's Waste Management System, </w:t>
      </w:r>
    </w:p>
    <w:p>
      <w:pPr>
        <w:pStyle w:val="Normal"/>
        <w:spacing w:lineRule="auto" w:line="240" w:before="0" w:after="0"/>
        <w:ind w:firstLine="567"/>
        <w:contextualSpacing/>
        <w:jc w:val="center"/>
        <w:rPr>
          <w:rFonts w:ascii="Times New Roman" w:hAnsi="Times New Roman" w:cs="Times New Roman"/>
          <w:b/>
          <w:bCs/>
          <w:lang w:val="en-GB"/>
        </w:rPr>
      </w:pPr>
      <w:r>
        <w:rPr>
          <w:rFonts w:cs="Times New Roman" w:ascii="Times New Roman" w:hAnsi="Times New Roman"/>
          <w:b/>
          <w:bCs/>
          <w:lang w:val="en-GB"/>
        </w:rPr>
        <w:t>2021–2024</w:t>
      </w:r>
    </w:p>
    <w:p>
      <w:pPr>
        <w:pStyle w:val="Normal"/>
        <w:spacing w:lineRule="auto" w:line="240" w:before="0" w:after="0"/>
        <w:ind w:firstLine="567"/>
        <w:contextualSpacing/>
        <w:jc w:val="center"/>
        <w:rPr>
          <w:rFonts w:ascii="Times New Roman" w:hAnsi="Times New Roman" w:cs="Times New Roman"/>
          <w:b/>
          <w:bCs/>
          <w:lang w:val="en-GB"/>
        </w:rPr>
      </w:pPr>
      <w:r>
        <w:rPr>
          <w:rFonts w:cs="Times New Roman" w:ascii="Times New Roman" w:hAnsi="Times New Roman"/>
          <w:b/>
          <w:bCs/>
          <w:lang w:val="en-GB"/>
        </w:rPr>
      </w:r>
    </w:p>
    <w:tbl>
      <w:tblPr>
        <w:tblStyle w:val="64"/>
        <w:tblW w:w="95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6"/>
        <w:gridCol w:w="4507"/>
        <w:gridCol w:w="1137"/>
        <w:gridCol w:w="1138"/>
        <w:gridCol w:w="1139"/>
        <w:gridCol w:w="1123"/>
      </w:tblGrid>
      <w:tr>
        <w:trPr>
          <w:trHeight w:val="301" w:hRule="atLeast"/>
        </w:trPr>
        <w:tc>
          <w:tcPr>
            <w:tcW w:w="536" w:type="dxa"/>
            <w:tcBorders/>
          </w:tcPr>
          <w:p>
            <w:pPr>
              <w:pStyle w:val="Normal"/>
              <w:widowControl/>
              <w:spacing w:lineRule="auto" w:line="240" w:before="0" w:after="0"/>
              <w:contextualSpacing/>
              <w:jc w:val="center"/>
              <w:rPr>
                <w:b/>
                <w:bCs/>
                <w:sz w:val="22"/>
                <w:lang w:val="en-GB"/>
              </w:rPr>
            </w:pPr>
            <w:r>
              <w:rPr>
                <w:rFonts w:eastAsia="Calibri" w:cs="Times New Roman" w:ascii="Times New Roman" w:hAnsi="Times New Roman"/>
                <w:b/>
                <w:bCs/>
                <w:kern w:val="0"/>
                <w:sz w:val="22"/>
                <w:szCs w:val="22"/>
                <w:lang w:val="en-GB" w:eastAsia="en-US" w:bidi="ar-SA"/>
              </w:rPr>
              <w:t>№</w:t>
            </w:r>
          </w:p>
        </w:tc>
        <w:tc>
          <w:tcPr>
            <w:tcW w:w="4507" w:type="dxa"/>
            <w:tcBorders/>
          </w:tcPr>
          <w:p>
            <w:pPr>
              <w:pStyle w:val="Normal"/>
              <w:widowControl/>
              <w:spacing w:lineRule="auto" w:line="240" w:before="0" w:after="0"/>
              <w:contextualSpacing/>
              <w:jc w:val="center"/>
              <w:rPr>
                <w:b/>
                <w:bCs/>
                <w:sz w:val="22"/>
                <w:lang w:val="en-GB"/>
              </w:rPr>
            </w:pPr>
            <w:r>
              <w:rPr>
                <w:rFonts w:eastAsia="Calibri" w:cs="Times New Roman" w:ascii="Times New Roman" w:hAnsi="Times New Roman"/>
                <w:b/>
                <w:bCs/>
                <w:kern w:val="0"/>
                <w:sz w:val="22"/>
                <w:szCs w:val="22"/>
                <w:lang w:val="en-GB" w:eastAsia="en-US" w:bidi="ar-SA"/>
              </w:rPr>
              <w:t>Indicators</w:t>
            </w:r>
          </w:p>
        </w:tc>
        <w:tc>
          <w:tcPr>
            <w:tcW w:w="1137" w:type="dxa"/>
            <w:tcBorders/>
          </w:tcPr>
          <w:p>
            <w:pPr>
              <w:pStyle w:val="Normal"/>
              <w:widowControl/>
              <w:spacing w:lineRule="auto" w:line="240" w:before="0" w:after="0"/>
              <w:contextualSpacing/>
              <w:jc w:val="center"/>
              <w:rPr>
                <w:b/>
                <w:bCs/>
                <w:sz w:val="22"/>
                <w:lang w:val="en-GB"/>
              </w:rPr>
            </w:pPr>
            <w:r>
              <w:rPr>
                <w:rFonts w:eastAsia="Calibri" w:cs="Times New Roman" w:ascii="Times New Roman" w:hAnsi="Times New Roman"/>
                <w:b/>
                <w:bCs/>
                <w:kern w:val="0"/>
                <w:sz w:val="22"/>
                <w:szCs w:val="22"/>
                <w:lang w:val="en-GB" w:eastAsia="en-US" w:bidi="ar-SA"/>
              </w:rPr>
              <w:t>2021</w:t>
            </w:r>
          </w:p>
        </w:tc>
        <w:tc>
          <w:tcPr>
            <w:tcW w:w="1138" w:type="dxa"/>
            <w:tcBorders/>
          </w:tcPr>
          <w:p>
            <w:pPr>
              <w:pStyle w:val="Normal"/>
              <w:widowControl/>
              <w:spacing w:lineRule="auto" w:line="240" w:before="0" w:after="0"/>
              <w:contextualSpacing/>
              <w:jc w:val="center"/>
              <w:rPr>
                <w:b/>
                <w:bCs/>
                <w:sz w:val="22"/>
                <w:lang w:val="en-GB"/>
              </w:rPr>
            </w:pPr>
            <w:r>
              <w:rPr>
                <w:rFonts w:eastAsia="Calibri" w:cs="Times New Roman" w:ascii="Times New Roman" w:hAnsi="Times New Roman"/>
                <w:b/>
                <w:bCs/>
                <w:kern w:val="0"/>
                <w:sz w:val="22"/>
                <w:szCs w:val="22"/>
                <w:lang w:val="en-GB" w:eastAsia="en-US" w:bidi="ar-SA"/>
              </w:rPr>
              <w:t>2022</w:t>
            </w:r>
          </w:p>
        </w:tc>
        <w:tc>
          <w:tcPr>
            <w:tcW w:w="1139" w:type="dxa"/>
            <w:tcBorders/>
          </w:tcPr>
          <w:p>
            <w:pPr>
              <w:pStyle w:val="Normal"/>
              <w:widowControl/>
              <w:spacing w:lineRule="auto" w:line="240" w:before="0" w:after="0"/>
              <w:contextualSpacing/>
              <w:jc w:val="center"/>
              <w:rPr>
                <w:b/>
                <w:bCs/>
                <w:sz w:val="22"/>
                <w:lang w:val="en-GB"/>
              </w:rPr>
            </w:pPr>
            <w:r>
              <w:rPr>
                <w:rFonts w:eastAsia="Calibri" w:cs="Times New Roman" w:ascii="Times New Roman" w:hAnsi="Times New Roman"/>
                <w:b/>
                <w:bCs/>
                <w:kern w:val="0"/>
                <w:sz w:val="22"/>
                <w:szCs w:val="22"/>
                <w:lang w:val="en-GB" w:eastAsia="en-US" w:bidi="ar-SA"/>
              </w:rPr>
              <w:t>2023</w:t>
            </w:r>
          </w:p>
        </w:tc>
        <w:tc>
          <w:tcPr>
            <w:tcW w:w="1123" w:type="dxa"/>
            <w:tcBorders/>
          </w:tcPr>
          <w:p>
            <w:pPr>
              <w:pStyle w:val="Normal"/>
              <w:widowControl/>
              <w:spacing w:lineRule="auto" w:line="240" w:before="0" w:after="0"/>
              <w:contextualSpacing/>
              <w:jc w:val="center"/>
              <w:rPr>
                <w:b/>
                <w:bCs/>
                <w:sz w:val="22"/>
                <w:lang w:val="en-GB"/>
              </w:rPr>
            </w:pPr>
            <w:r>
              <w:rPr>
                <w:rFonts w:eastAsia="Calibri" w:cs="Times New Roman" w:ascii="Times New Roman" w:hAnsi="Times New Roman"/>
                <w:b/>
                <w:bCs/>
                <w:kern w:val="0"/>
                <w:sz w:val="22"/>
                <w:szCs w:val="22"/>
                <w:lang w:val="en-GB" w:eastAsia="en-US" w:bidi="ar-SA"/>
              </w:rPr>
              <w:t>2024</w:t>
            </w:r>
          </w:p>
        </w:tc>
      </w:tr>
      <w:tr>
        <w:trPr>
          <w:trHeight w:val="254" w:hRule="atLeast"/>
        </w:trPr>
        <w:tc>
          <w:tcPr>
            <w:tcW w:w="536"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1</w:t>
            </w:r>
          </w:p>
        </w:tc>
        <w:tc>
          <w:tcPr>
            <w:tcW w:w="4507" w:type="dxa"/>
            <w:tcBorders/>
          </w:tcPr>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Volume of received waste, thousand tons</w:t>
            </w:r>
          </w:p>
        </w:tc>
        <w:tc>
          <w:tcPr>
            <w:tcW w:w="1137"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3922.1</w:t>
            </w:r>
          </w:p>
        </w:tc>
        <w:tc>
          <w:tcPr>
            <w:tcW w:w="1138"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4003.4</w:t>
            </w:r>
          </w:p>
        </w:tc>
        <w:tc>
          <w:tcPr>
            <w:tcW w:w="1139"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4514.0</w:t>
            </w:r>
          </w:p>
        </w:tc>
        <w:tc>
          <w:tcPr>
            <w:tcW w:w="1123"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4541.8</w:t>
            </w:r>
          </w:p>
        </w:tc>
      </w:tr>
      <w:tr>
        <w:trPr>
          <w:trHeight w:val="286" w:hRule="atLeast"/>
        </w:trPr>
        <w:tc>
          <w:tcPr>
            <w:tcW w:w="536"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2</w:t>
            </w:r>
          </w:p>
        </w:tc>
        <w:tc>
          <w:tcPr>
            <w:tcW w:w="4507" w:type="dxa"/>
            <w:tcBorders/>
          </w:tcPr>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Volume of sorted waste, thousand tons</w:t>
            </w:r>
          </w:p>
        </w:tc>
        <w:tc>
          <w:tcPr>
            <w:tcW w:w="1137"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1191.7</w:t>
            </w:r>
          </w:p>
        </w:tc>
        <w:tc>
          <w:tcPr>
            <w:tcW w:w="1138"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1223.8</w:t>
            </w:r>
          </w:p>
        </w:tc>
        <w:tc>
          <w:tcPr>
            <w:tcW w:w="1139"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1307.8</w:t>
            </w:r>
          </w:p>
        </w:tc>
        <w:tc>
          <w:tcPr>
            <w:tcW w:w="1123"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1320.1</w:t>
            </w:r>
          </w:p>
        </w:tc>
      </w:tr>
      <w:tr>
        <w:trPr>
          <w:trHeight w:val="806" w:hRule="atLeast"/>
        </w:trPr>
        <w:tc>
          <w:tcPr>
            <w:tcW w:w="536"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w:t>
            </w:r>
          </w:p>
        </w:tc>
        <w:tc>
          <w:tcPr>
            <w:tcW w:w="4507" w:type="dxa"/>
            <w:tcBorders/>
          </w:tcPr>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 xml:space="preserve">Volume of waste sent to third-party organizations, thousand tons. </w:t>
            </w:r>
          </w:p>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Including:</w:t>
            </w:r>
          </w:p>
        </w:tc>
        <w:tc>
          <w:tcPr>
            <w:tcW w:w="1137"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r>
          </w:p>
        </w:tc>
        <w:tc>
          <w:tcPr>
            <w:tcW w:w="1138"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r>
          </w:p>
        </w:tc>
        <w:tc>
          <w:tcPr>
            <w:tcW w:w="1139"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r>
          </w:p>
        </w:tc>
        <w:tc>
          <w:tcPr>
            <w:tcW w:w="1123"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r>
          </w:p>
        </w:tc>
      </w:tr>
      <w:tr>
        <w:trPr>
          <w:trHeight w:val="377" w:hRule="atLeast"/>
        </w:trPr>
        <w:tc>
          <w:tcPr>
            <w:tcW w:w="536"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3.1</w:t>
            </w:r>
          </w:p>
        </w:tc>
        <w:tc>
          <w:tcPr>
            <w:tcW w:w="4507" w:type="dxa"/>
            <w:tcBorders/>
          </w:tcPr>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for recycling</w:t>
            </w:r>
          </w:p>
        </w:tc>
        <w:tc>
          <w:tcPr>
            <w:tcW w:w="1137"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393.7</w:t>
            </w:r>
          </w:p>
        </w:tc>
        <w:tc>
          <w:tcPr>
            <w:tcW w:w="1138"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392.0</w:t>
            </w:r>
          </w:p>
        </w:tc>
        <w:tc>
          <w:tcPr>
            <w:tcW w:w="1139"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358.9</w:t>
            </w:r>
          </w:p>
        </w:tc>
        <w:tc>
          <w:tcPr>
            <w:tcW w:w="1123"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588.2</w:t>
            </w:r>
          </w:p>
        </w:tc>
      </w:tr>
      <w:tr>
        <w:trPr>
          <w:trHeight w:val="343" w:hRule="atLeast"/>
        </w:trPr>
        <w:tc>
          <w:tcPr>
            <w:tcW w:w="536"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3.2</w:t>
            </w:r>
          </w:p>
        </w:tc>
        <w:tc>
          <w:tcPr>
            <w:tcW w:w="4507" w:type="dxa"/>
            <w:tcBorders/>
          </w:tcPr>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for disposal</w:t>
            </w:r>
          </w:p>
        </w:tc>
        <w:tc>
          <w:tcPr>
            <w:tcW w:w="1137"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673.6</w:t>
            </w:r>
          </w:p>
        </w:tc>
        <w:tc>
          <w:tcPr>
            <w:tcW w:w="1138"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707.8</w:t>
            </w:r>
          </w:p>
        </w:tc>
        <w:tc>
          <w:tcPr>
            <w:tcW w:w="1139"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862.3</w:t>
            </w:r>
          </w:p>
        </w:tc>
        <w:tc>
          <w:tcPr>
            <w:tcW w:w="1123"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490.4</w:t>
            </w:r>
          </w:p>
        </w:tc>
      </w:tr>
      <w:tr>
        <w:trPr>
          <w:trHeight w:val="433" w:hRule="atLeast"/>
        </w:trPr>
        <w:tc>
          <w:tcPr>
            <w:tcW w:w="536"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4</w:t>
            </w:r>
          </w:p>
        </w:tc>
        <w:tc>
          <w:tcPr>
            <w:tcW w:w="4507" w:type="dxa"/>
            <w:tcBorders/>
          </w:tcPr>
          <w:p>
            <w:pPr>
              <w:pStyle w:val="Normal"/>
              <w:widowControl/>
              <w:spacing w:lineRule="auto" w:line="240" w:before="0" w:after="0"/>
              <w:contextualSpacing/>
              <w:jc w:val="both"/>
              <w:rPr>
                <w:sz w:val="22"/>
                <w:lang w:val="en-GB"/>
              </w:rPr>
            </w:pPr>
            <w:r>
              <w:rPr>
                <w:rFonts w:eastAsia="Calibri" w:cs="Times New Roman" w:ascii="Times New Roman" w:hAnsi="Times New Roman"/>
                <w:kern w:val="0"/>
                <w:sz w:val="22"/>
                <w:szCs w:val="22"/>
                <w:lang w:val="en-GB" w:eastAsia="en-US" w:bidi="ar-SA"/>
              </w:rPr>
              <w:t>Processed to obtain products (secondary raw materials), thousand tons</w:t>
            </w:r>
          </w:p>
        </w:tc>
        <w:tc>
          <w:tcPr>
            <w:tcW w:w="1137"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18.1</w:t>
            </w:r>
          </w:p>
        </w:tc>
        <w:tc>
          <w:tcPr>
            <w:tcW w:w="1138"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23.3</w:t>
            </w:r>
          </w:p>
        </w:tc>
        <w:tc>
          <w:tcPr>
            <w:tcW w:w="1139"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31.2</w:t>
            </w:r>
          </w:p>
        </w:tc>
        <w:tc>
          <w:tcPr>
            <w:tcW w:w="1123" w:type="dxa"/>
            <w:tcBorders/>
          </w:tcPr>
          <w:p>
            <w:pPr>
              <w:pStyle w:val="Normal"/>
              <w:widowControl/>
              <w:spacing w:lineRule="auto" w:line="240" w:before="0" w:after="0"/>
              <w:contextualSpacing/>
              <w:jc w:val="center"/>
              <w:rPr>
                <w:sz w:val="22"/>
                <w:lang w:val="en-GB"/>
              </w:rPr>
            </w:pPr>
            <w:r>
              <w:rPr>
                <w:rFonts w:eastAsia="Calibri" w:cs="Times New Roman" w:ascii="Times New Roman" w:hAnsi="Times New Roman"/>
                <w:kern w:val="0"/>
                <w:sz w:val="22"/>
                <w:szCs w:val="22"/>
                <w:lang w:val="en-GB" w:eastAsia="en-US" w:bidi="ar-SA"/>
              </w:rPr>
              <w:t>49.2</w:t>
            </w:r>
          </w:p>
        </w:tc>
      </w:tr>
    </w:tbl>
    <w:p>
      <w:pPr>
        <w:pStyle w:val="Normal"/>
        <w:spacing w:lineRule="auto" w:line="240" w:before="0" w:after="0"/>
        <w:contextualSpacing/>
        <w:jc w:val="both"/>
        <w:rPr>
          <w:rFonts w:ascii="Times New Roman" w:hAnsi="Times New Roman" w:cs="Times New Roman"/>
          <w:i/>
          <w:i/>
          <w:lang w:val="en-US"/>
        </w:rPr>
      </w:pPr>
      <w:r>
        <w:rPr>
          <w:rFonts w:cs="Times New Roman" w:ascii="Times New Roman" w:hAnsi="Times New Roman"/>
          <w:i/>
          <w:lang w:val="en-US"/>
        </w:rPr>
        <w:t>Note: complied by authors based on data [16]</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An analysis of the presented data shows that the volume of waste received has been steadily increasing in recent years: from 3,922,100 tons in 2021 to 4,541,800 tons in 2024, an increase of 619,700 tons, or 15.8%.</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volume of sorted waste shows a similar trend. Between 2021 and 2024, it increased from 1,191,700 tons to 1,320,100 tons, or an increase of 128,400 tons (10.8%).</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This is clearly illustrated by the diagrams in Figure 1.</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contextualSpacing/>
        <w:jc w:val="both"/>
        <w:rPr>
          <w:rFonts w:ascii="Times New Roman" w:hAnsi="Times New Roman" w:cs="Times New Roman"/>
          <w:sz w:val="24"/>
          <w:szCs w:val="24"/>
        </w:rPr>
      </w:pPr>
      <w:r>
        <w:rPr/>
        <w:drawing>
          <wp:inline distT="0" distB="0" distL="0" distR="0">
            <wp:extent cx="5836920" cy="3231515"/>
            <wp:effectExtent l="0" t="0" r="0" b="0"/>
            <wp:docPr id="114" name="Picture 2" descr="A graph showing the growt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 descr="A graph showing the growth of a number of people&#10;&#10;AI-generated content may be incorrect."/>
                    <pic:cNvPicPr>
                      <a:picLocks noChangeAspect="1" noChangeArrowheads="1"/>
                    </pic:cNvPicPr>
                  </pic:nvPicPr>
                  <pic:blipFill>
                    <a:blip r:embed="rId371"/>
                    <a:stretch>
                      <a:fillRect/>
                    </a:stretch>
                  </pic:blipFill>
                  <pic:spPr bwMode="auto">
                    <a:xfrm>
                      <a:off x="0" y="0"/>
                      <a:ext cx="5836920" cy="3231515"/>
                    </a:xfrm>
                    <a:prstGeom prst="rect">
                      <a:avLst/>
                    </a:prstGeom>
                    <a:noFill/>
                  </pic:spPr>
                </pic:pic>
              </a:graphicData>
            </a:graphic>
          </wp:inline>
        </w:drawing>
      </w:r>
    </w:p>
    <w:p>
      <w:pPr>
        <w:pStyle w:val="Normal"/>
        <w:spacing w:lineRule="auto" w:line="240" w:before="0" w:after="0"/>
        <w:contextualSpacing/>
        <w:jc w:val="center"/>
        <w:rPr>
          <w:rFonts w:ascii="Times New Roman" w:hAnsi="Times New Roman" w:cs="Times New Roman"/>
          <w:b/>
          <w:bCs/>
          <w:sz w:val="20"/>
          <w:szCs w:val="20"/>
          <w:lang w:val="en-US"/>
        </w:rPr>
      </w:pPr>
      <w:r>
        <w:rPr>
          <w:rFonts w:cs="Times New Roman" w:ascii="Times New Roman" w:hAnsi="Times New Roman"/>
          <w:b/>
          <w:bCs/>
          <w:sz w:val="20"/>
          <w:szCs w:val="20"/>
          <w:lang w:val="en-US"/>
        </w:rPr>
      </w:r>
    </w:p>
    <w:p>
      <w:pPr>
        <w:pStyle w:val="Normal"/>
        <w:spacing w:lineRule="auto" w:line="240" w:before="0" w:after="0"/>
        <w:contextualSpacing/>
        <w:jc w:val="center"/>
        <w:rPr>
          <w:rFonts w:ascii="Times New Roman" w:hAnsi="Times New Roman" w:cs="Times New Roman"/>
          <w:b/>
          <w:bCs/>
          <w:sz w:val="20"/>
          <w:szCs w:val="20"/>
          <w:lang w:val="en-GB"/>
        </w:rPr>
      </w:pPr>
      <w:r>
        <w:rPr>
          <w:rFonts w:cs="Times New Roman" w:ascii="Times New Roman" w:hAnsi="Times New Roman"/>
          <w:b/>
          <w:bCs/>
          <w:sz w:val="20"/>
          <w:szCs w:val="20"/>
          <w:lang w:val="en-US"/>
        </w:rPr>
        <w:t xml:space="preserve">Fig. 1 - </w:t>
      </w:r>
      <w:r>
        <w:rPr>
          <w:rFonts w:cs="Times New Roman" w:ascii="Times New Roman" w:hAnsi="Times New Roman"/>
          <w:b/>
          <w:bCs/>
          <w:sz w:val="20"/>
          <w:szCs w:val="20"/>
          <w:lang w:val="en-GB"/>
        </w:rPr>
        <w:t>Trends in Volume of Received and Sorted Waste in Kazakhstan, 2021–2024 (thousand tons)</w:t>
      </w:r>
    </w:p>
    <w:p>
      <w:pPr>
        <w:pStyle w:val="Normal"/>
        <w:spacing w:lineRule="auto" w:line="240" w:before="0" w:after="0"/>
        <w:contextualSpacing/>
        <w:jc w:val="both"/>
        <w:rPr>
          <w:rFonts w:ascii="Times New Roman" w:hAnsi="Times New Roman" w:cs="Times New Roman"/>
          <w:i/>
          <w:i/>
          <w:lang w:val="en-US"/>
        </w:rPr>
      </w:pPr>
      <w:r>
        <w:rPr>
          <w:rFonts w:cs="Times New Roman" w:ascii="Times New Roman" w:hAnsi="Times New Roman"/>
          <w:i/>
          <w:lang w:val="en-US"/>
        </w:rPr>
        <w:t>Note: complied by authors based on data [16]</w:t>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t xml:space="preserve">At the same time, a comparative analysis of these indicators shows that the share of sorted waste in the total volume of received waste remains virtually unchanged. </w:t>
      </w:r>
      <w:r>
        <w:rPr>
          <w:rFonts w:cs="Times New Roman" w:ascii="Times New Roman" w:hAnsi="Times New Roman"/>
          <w:sz w:val="24"/>
          <w:szCs w:val="24"/>
          <w:lang w:val="en-GB"/>
        </w:rPr>
        <w:t xml:space="preserve">As shown in Figure 2, </w:t>
      </w:r>
      <w:r>
        <w:rPr>
          <w:rFonts w:cs="Times New Roman" w:ascii="Times New Roman" w:hAnsi="Times New Roman"/>
          <w:sz w:val="24"/>
          <w:szCs w:val="24"/>
          <w:lang w:val="en-US"/>
        </w:rPr>
        <w:t>during the period under review, it was: 30.4% in 2021, 30.6% in 2022, 29.0% in 2023, and 29.1% in 2024. In other words, no positive dynamics are observed.</w:t>
      </w:r>
    </w:p>
    <w:p>
      <w:pPr>
        <w:pStyle w:val="Normal"/>
        <w:shd w:val="clear" w:color="auto" w:fill="FFFFFF"/>
        <w:spacing w:lineRule="auto" w:line="240" w:before="0" w:after="0"/>
        <w:contextualSpacing/>
        <w:jc w:val="both"/>
        <w:textAlignment w:val="baseline"/>
        <w:rPr>
          <w:rFonts w:ascii="Times New Roman" w:hAnsi="Times New Roman" w:cs="Times New Roman"/>
          <w:sz w:val="24"/>
          <w:szCs w:val="24"/>
          <w:lang w:val="en-US"/>
        </w:rPr>
      </w:pPr>
      <w:r>
        <w:rPr/>
        <w:drawing>
          <wp:inline distT="0" distB="0" distL="0" distR="0">
            <wp:extent cx="5801995" cy="3218815"/>
            <wp:effectExtent l="0" t="0" r="0" b="0"/>
            <wp:docPr id="115"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3" descr="A graph with a red line&#10;&#10;AI-generated content may be incorrect."/>
                    <pic:cNvPicPr>
                      <a:picLocks noChangeAspect="1" noChangeArrowheads="1"/>
                    </pic:cNvPicPr>
                  </pic:nvPicPr>
                  <pic:blipFill>
                    <a:blip r:embed="rId372"/>
                    <a:stretch>
                      <a:fillRect/>
                    </a:stretch>
                  </pic:blipFill>
                  <pic:spPr bwMode="auto">
                    <a:xfrm>
                      <a:off x="0" y="0"/>
                      <a:ext cx="5801995" cy="3218815"/>
                    </a:xfrm>
                    <a:prstGeom prst="rect">
                      <a:avLst/>
                    </a:prstGeom>
                    <a:noFill/>
                  </pic:spPr>
                </pic:pic>
              </a:graphicData>
            </a:graphic>
          </wp:inline>
        </w:drawing>
      </w:r>
    </w:p>
    <w:p>
      <w:pPr>
        <w:pStyle w:val="Normal"/>
        <w:shd w:val="clear" w:color="auto" w:fill="FFFFFF"/>
        <w:spacing w:lineRule="auto" w:line="240" w:before="0" w:after="0"/>
        <w:ind w:firstLine="567"/>
        <w:contextualSpacing/>
        <w:jc w:val="center"/>
        <w:textAlignment w:val="baseline"/>
        <w:rPr>
          <w:rFonts w:ascii="Times New Roman" w:hAnsi="Times New Roman" w:cs="Times New Roman"/>
          <w:b/>
          <w:bCs/>
          <w:sz w:val="20"/>
          <w:szCs w:val="20"/>
          <w:lang w:val="en-US"/>
        </w:rPr>
      </w:pPr>
      <w:r>
        <w:rPr>
          <w:rFonts w:cs="Times New Roman" w:ascii="Times New Roman" w:hAnsi="Times New Roman"/>
          <w:b/>
          <w:bCs/>
          <w:sz w:val="20"/>
          <w:szCs w:val="20"/>
          <w:lang w:val="en-US"/>
        </w:rPr>
      </w:r>
    </w:p>
    <w:p>
      <w:pPr>
        <w:pStyle w:val="Normal"/>
        <w:shd w:val="clear" w:color="auto" w:fill="FFFFFF"/>
        <w:spacing w:lineRule="auto" w:line="240" w:before="0" w:after="0"/>
        <w:ind w:firstLine="567"/>
        <w:contextualSpacing/>
        <w:jc w:val="center"/>
        <w:textAlignment w:val="baseline"/>
        <w:rPr>
          <w:rFonts w:ascii="Times New Roman" w:hAnsi="Times New Roman" w:cs="Times New Roman"/>
          <w:b/>
          <w:bCs/>
          <w:sz w:val="20"/>
          <w:szCs w:val="20"/>
          <w:lang w:val="en-GB"/>
        </w:rPr>
      </w:pPr>
      <w:r>
        <w:rPr>
          <w:rFonts w:cs="Times New Roman" w:ascii="Times New Roman" w:hAnsi="Times New Roman"/>
          <w:b/>
          <w:bCs/>
          <w:sz w:val="20"/>
          <w:szCs w:val="20"/>
          <w:lang w:val="en-US"/>
        </w:rPr>
        <w:t xml:space="preserve">Fig. 2 - </w:t>
      </w:r>
      <w:r>
        <w:rPr>
          <w:rFonts w:cs="Times New Roman" w:ascii="Times New Roman" w:hAnsi="Times New Roman"/>
          <w:b/>
          <w:bCs/>
          <w:sz w:val="20"/>
          <w:szCs w:val="20"/>
          <w:lang w:val="en-GB"/>
        </w:rPr>
        <w:t>Percentage Share of Sorted Waste in Total Received Waste, 2021–2024</w:t>
      </w:r>
    </w:p>
    <w:p>
      <w:pPr>
        <w:pStyle w:val="Normal"/>
        <w:spacing w:lineRule="auto" w:line="240" w:before="0" w:after="0"/>
        <w:contextualSpacing/>
        <w:jc w:val="both"/>
        <w:rPr>
          <w:rFonts w:ascii="Times New Roman" w:hAnsi="Times New Roman" w:cs="Times New Roman"/>
          <w:sz w:val="20"/>
          <w:szCs w:val="20"/>
          <w:lang w:val="en-US"/>
        </w:rPr>
      </w:pPr>
      <w:r>
        <w:rPr>
          <w:rFonts w:cs="Times New Roman" w:ascii="Times New Roman" w:hAnsi="Times New Roman"/>
          <w:i/>
          <w:sz w:val="20"/>
          <w:szCs w:val="20"/>
          <w:lang w:val="en-US"/>
        </w:rPr>
        <w:t>Note: complied by authors based on data [16</w:t>
      </w:r>
      <w:r>
        <w:rPr>
          <w:rFonts w:cs="Times New Roman" w:ascii="Times New Roman" w:hAnsi="Times New Roman"/>
          <w:sz w:val="20"/>
          <w:szCs w:val="20"/>
          <w:lang w:val="en-US"/>
        </w:rPr>
        <w:t>]</w:t>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GB"/>
        </w:rPr>
      </w:pPr>
      <w:r>
        <w:rPr>
          <w:rFonts w:cs="Times New Roman" w:ascii="Times New Roman" w:hAnsi="Times New Roman"/>
          <w:sz w:val="24"/>
          <w:szCs w:val="24"/>
          <w:lang w:val="en-US"/>
        </w:rPr>
        <w:t xml:space="preserve">As for the volume of waste sent to third-party organizations for recycling and disposal, the available statistics show mixed and rather abrupt changes. </w:t>
      </w:r>
      <w:r>
        <w:rPr>
          <w:rFonts w:cs="Times New Roman" w:ascii="Times New Roman" w:hAnsi="Times New Roman"/>
          <w:sz w:val="24"/>
          <w:szCs w:val="24"/>
          <w:lang w:val="en-GB"/>
        </w:rPr>
        <w:t>This prevents any consistent conclusions.</w:t>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t xml:space="preserve">The indicator </w:t>
      </w:r>
      <w:r>
        <w:rPr>
          <w:rFonts w:cs="Times New Roman" w:ascii="Times New Roman" w:hAnsi="Times New Roman"/>
          <w:sz w:val="24"/>
          <w:szCs w:val="24"/>
          <w:lang w:val="kk-KZ"/>
        </w:rPr>
        <w:t>«</w:t>
      </w:r>
      <w:r>
        <w:rPr>
          <w:rFonts w:cs="Times New Roman" w:ascii="Times New Roman" w:hAnsi="Times New Roman"/>
          <w:sz w:val="24"/>
          <w:szCs w:val="24"/>
          <w:lang w:val="en-US"/>
        </w:rPr>
        <w:t>processed to produce products (secondary raw materials)</w:t>
      </w:r>
      <w:r>
        <w:rPr>
          <w:rFonts w:cs="Times New Roman" w:ascii="Times New Roman" w:hAnsi="Times New Roman"/>
          <w:sz w:val="24"/>
          <w:szCs w:val="24"/>
          <w:lang w:val="kk-KZ"/>
        </w:rPr>
        <w:t>»</w:t>
      </w:r>
      <w:r>
        <w:rPr>
          <w:rFonts w:cs="Times New Roman" w:ascii="Times New Roman" w:hAnsi="Times New Roman"/>
          <w:sz w:val="24"/>
          <w:szCs w:val="24"/>
          <w:lang w:val="en-US"/>
        </w:rPr>
        <w:t xml:space="preserve"> is growing from 18.1 thousand tons in 2021 to 49.2 thousand tons in 2024, an increase of approximately 2.7 times. </w:t>
      </w:r>
      <w:r>
        <w:rPr>
          <w:rFonts w:cs="Times New Roman" w:ascii="Times New Roman" w:hAnsi="Times New Roman"/>
          <w:sz w:val="24"/>
          <w:szCs w:val="24"/>
          <w:lang w:val="en-GB"/>
        </w:rPr>
        <w:t xml:space="preserve">Figure 3 illustrates this substantial growth. </w:t>
      </w:r>
      <w:r>
        <w:rPr>
          <w:rFonts w:cs="Times New Roman" w:ascii="Times New Roman" w:hAnsi="Times New Roman"/>
          <w:sz w:val="24"/>
          <w:szCs w:val="24"/>
          <w:lang w:val="en-US"/>
        </w:rPr>
        <w:t>However, in absolute terms, measured in tons, this increase is relatively insignificant.</w:t>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hd w:val="clear" w:color="auto" w:fill="FFFFFF"/>
        <w:spacing w:lineRule="auto" w:line="240" w:before="0" w:after="0"/>
        <w:contextualSpacing/>
        <w:jc w:val="both"/>
        <w:textAlignment w:val="baseline"/>
        <w:rPr>
          <w:rFonts w:ascii="Times New Roman" w:hAnsi="Times New Roman" w:cs="Times New Roman"/>
          <w:b/>
          <w:bCs/>
          <w:sz w:val="24"/>
          <w:szCs w:val="24"/>
          <w:lang w:val="en-US"/>
        </w:rPr>
      </w:pPr>
      <w:r>
        <w:rPr/>
        <w:drawing>
          <wp:inline distT="0" distB="0" distL="0" distR="0">
            <wp:extent cx="5553710" cy="3156585"/>
            <wp:effectExtent l="0" t="0" r="0" b="0"/>
            <wp:docPr id="116" name="Picture 4"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 descr="A graph of a number of years&#10;&#10;AI-generated content may be incorrect."/>
                    <pic:cNvPicPr>
                      <a:picLocks noChangeAspect="1" noChangeArrowheads="1"/>
                    </pic:cNvPicPr>
                  </pic:nvPicPr>
                  <pic:blipFill>
                    <a:blip r:embed="rId373"/>
                    <a:stretch>
                      <a:fillRect/>
                    </a:stretch>
                  </pic:blipFill>
                  <pic:spPr bwMode="auto">
                    <a:xfrm>
                      <a:off x="0" y="0"/>
                      <a:ext cx="5553710" cy="3156585"/>
                    </a:xfrm>
                    <a:prstGeom prst="rect">
                      <a:avLst/>
                    </a:prstGeom>
                    <a:noFill/>
                  </pic:spPr>
                </pic:pic>
              </a:graphicData>
            </a:graphic>
          </wp:inline>
        </w:drawing>
      </w:r>
    </w:p>
    <w:p>
      <w:pPr>
        <w:pStyle w:val="Normal"/>
        <w:shd w:val="clear" w:color="auto" w:fill="FFFFFF"/>
        <w:spacing w:lineRule="auto" w:line="240" w:before="0" w:after="0"/>
        <w:contextualSpacing/>
        <w:jc w:val="center"/>
        <w:textAlignment w:val="baseline"/>
        <w:rPr>
          <w:rFonts w:ascii="Times New Roman" w:hAnsi="Times New Roman" w:cs="Times New Roman"/>
          <w:b/>
          <w:bCs/>
          <w:lang w:val="en-US"/>
        </w:rPr>
      </w:pPr>
      <w:r>
        <w:rPr>
          <w:rFonts w:cs="Times New Roman" w:ascii="Times New Roman" w:hAnsi="Times New Roman"/>
          <w:b/>
          <w:bCs/>
          <w:lang w:val="en-US"/>
        </w:rPr>
      </w:r>
    </w:p>
    <w:p>
      <w:pPr>
        <w:pStyle w:val="Normal"/>
        <w:shd w:val="clear" w:color="auto" w:fill="FFFFFF"/>
        <w:spacing w:lineRule="auto" w:line="240" w:before="0" w:after="0"/>
        <w:contextualSpacing/>
        <w:jc w:val="center"/>
        <w:textAlignment w:val="baseline"/>
        <w:rPr>
          <w:rFonts w:ascii="Times New Roman" w:hAnsi="Times New Roman" w:cs="Times New Roman"/>
          <w:lang w:val="en-US"/>
        </w:rPr>
      </w:pPr>
      <w:r>
        <w:rPr>
          <w:rFonts w:cs="Times New Roman" w:ascii="Times New Roman" w:hAnsi="Times New Roman"/>
          <w:b/>
          <w:bCs/>
          <w:lang w:val="en-US"/>
        </w:rPr>
        <w:t xml:space="preserve">Fig. 3 - </w:t>
      </w:r>
      <w:r>
        <w:rPr>
          <w:rFonts w:cs="Times New Roman" w:ascii="Times New Roman" w:hAnsi="Times New Roman"/>
          <w:b/>
          <w:bCs/>
          <w:lang w:val="en-GB"/>
        </w:rPr>
        <w:t>Volume of Waste Processed to Obtain Products (Secondary Raw Materials) in Kazakhstan, 2021–2024</w:t>
      </w:r>
    </w:p>
    <w:p>
      <w:pPr>
        <w:pStyle w:val="Normal"/>
        <w:spacing w:lineRule="auto" w:line="240" w:before="0" w:after="0"/>
        <w:contextualSpacing/>
        <w:jc w:val="both"/>
        <w:rPr>
          <w:rFonts w:ascii="Times New Roman" w:hAnsi="Times New Roman" w:cs="Times New Roman"/>
          <w:i/>
          <w:i/>
          <w:lang w:val="en-US"/>
        </w:rPr>
      </w:pPr>
      <w:r>
        <w:rPr>
          <w:rFonts w:cs="Times New Roman" w:ascii="Times New Roman" w:hAnsi="Times New Roman"/>
          <w:i/>
          <w:lang w:val="en-US"/>
        </w:rPr>
        <w:t>Note: complied by authors based on data [16]</w:t>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lang w:val="en-US"/>
        </w:rPr>
      </w:pPr>
      <w:r>
        <w:rPr>
          <w:rFonts w:cs="Times New Roman" w:ascii="Times New Roman" w:hAnsi="Times New Roman"/>
          <w:sz w:val="24"/>
          <w:szCs w:val="24"/>
          <w:lang w:val="en-US"/>
        </w:rPr>
        <w:t>To effectively manage waste, Kazakhstan has over 50 plastic recycling plants, approximately 40 plants that recycle waste paper, 7 that recycle glass, and approximately 20 that recycle rubber products [14]. In 2024, a plant that recycles batteries opened in Almaty. It should be noted that waste recycling plants in the country are primarily concentrated in Almaty, and transporting raw materials there from other regions of Kazakhstan is usually unprofitable, primarily due to high logistics costs.</w:t>
      </w:r>
    </w:p>
    <w:p>
      <w:pPr>
        <w:pStyle w:val="Normal"/>
        <w:shd w:val="clear" w:color="auto" w:fill="FFFFFF"/>
        <w:spacing w:lineRule="auto" w:line="240" w:before="0" w:after="0"/>
        <w:ind w:firstLine="567"/>
        <w:contextualSpacing/>
        <w:jc w:val="both"/>
        <w:textAlignment w:val="baseline"/>
        <w:rPr>
          <w:rFonts w:ascii="Times New Roman" w:hAnsi="Times New Roman" w:cs="Times New Roman"/>
          <w:sz w:val="24"/>
          <w:szCs w:val="24"/>
          <w:shd w:fill="FFFFFF" w:val="clear"/>
          <w:lang w:val="en-US"/>
        </w:rPr>
      </w:pPr>
      <w:r>
        <w:rPr>
          <w:rFonts w:cs="Times New Roman" w:ascii="Times New Roman" w:hAnsi="Times New Roman"/>
          <w:sz w:val="24"/>
          <w:szCs w:val="24"/>
          <w:lang w:val="en-US"/>
        </w:rPr>
        <w:t>Overall, an analysis of Kazakhstan's solid waste sector reveals several waste management issues</w:t>
      </w:r>
      <w:r>
        <w:rPr>
          <w:rFonts w:cs="Times New Roman" w:ascii="Times New Roman" w:hAnsi="Times New Roman"/>
          <w:sz w:val="24"/>
          <w:szCs w:val="24"/>
          <w:shd w:fill="FFFFFF" w:val="clear"/>
          <w:lang w:val="en-US"/>
        </w:rPr>
        <w:t>:</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unsystematic nature of the existing legislative framework and regulatory legal acts in this area;</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annual increase in the generation and accumulation of household waste;</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waste collection and removal services are available only to residents of large cities;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concentration of solid waste recycling facilities primarily in Almaty and a shortage in other regions;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underdeveloped waste recycling and disposal businesses;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low levels of solid waste sorting and recycling;</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failure of most landfills to meet requirements, with the presence of open dumps;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lack of environmental awareness and waste management culture among the majority of the population;</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insufficient training of government officials dealing with green economy issues;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ineffective attempts at separate waste collection in some cities.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To ensure a successful transition to a circular economy, studying and implementing best international practices is crucial in Kazakhstan. Of particular interest in this regard is the experience of Germany, where a circular economy is the foundation of the country's sustainable development.</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Germany is currently the leader among EU countries in terms of circular economy development. 100% of waste is collected separately, 64% of household waste is recycled, 79% of all waste is reused, 14% of necessary raw materials are recovered from waste, etc. [17]</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use of recycled materials significantly reduces energy consumption, in particular: by more than 90% in aluminum production, by approximately 50% in steel production, and by 35% in glass production [17]. For Germany, an industrialized country, this allows for a significant reduction in the extraction and, most importantly, import of natural resources.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Overall, the formation and development of a circular economy in Germany has been systematic and gradual since the early 1970s. The following steps were taken in establishing and improving the recycling and disposal industry [17].</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First, political and strategic management was implemented. This entailed creating the necessary legislative framework and regulations, as well as government agencies responsible for implementing and monitoring the process, and assigning responsibilities for waste collection, processing, and disposal.</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Second, social development was implemented. This includes fostering environmental awareness among people, their positive attitude toward the circular economy, and continuous training for personnel throughout the industry.</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Third, cost and financing were determined and analyzed. This entails identifying and attracting funding sources, obtaining possible subsidies, grants, and incentives, reimbursing costs for waste processing and disposal companies, etc.</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Fourth, stimulating the waste recycling market. This step involves implementing programs to support investment in the waste processing and recycling industry, reducing the tax burden, and identifying stable markets for recovered secondary raw materials.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Fifth, technical capabilities. This includes separate waste collection, the use of modern equipment for waste removal, the use of efficient technologies for processing various types of waste, and the availability of specialized waste storage facilities.</w:t>
      </w:r>
    </w:p>
    <w:p>
      <w:pPr>
        <w:pStyle w:val="Normal"/>
        <w:shd w:val="clear" w:color="auto" w:fill="FFFFFF"/>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All of this requires studying this experience and identifying the possibilities for its application in Kazakhstan, considering the specifics of the country's socioeconomic development and mandatory adaptation to national circumstances.</w:t>
      </w:r>
    </w:p>
    <w:p>
      <w:pPr>
        <w:pStyle w:val="Normal"/>
        <w:shd w:val="clear" w:color="auto" w:fill="FFFFFF"/>
        <w:spacing w:lineRule="auto" w:line="240" w:before="0" w:after="0"/>
        <w:ind w:firstLine="567"/>
        <w:contextualSpacing/>
        <w:jc w:val="both"/>
        <w:rPr>
          <w:rFonts w:ascii="Times New Roman" w:hAnsi="Times New Roman" w:eastAsia="Times New Roman" w:cs="Times New Roman"/>
          <w:color w:val="000000"/>
          <w:sz w:val="24"/>
          <w:szCs w:val="24"/>
          <w:lang w:val="en-US" w:eastAsia="ru-RU"/>
        </w:rPr>
      </w:pPr>
      <w:r>
        <w:rPr>
          <w:rFonts w:cs="Times New Roman" w:ascii="Times New Roman" w:hAnsi="Times New Roman"/>
          <w:sz w:val="24"/>
          <w:szCs w:val="24"/>
          <w:lang w:val="en-US"/>
        </w:rPr>
        <w:t>In examining the transition to a circular economy in Kazakhstan, general scientific methods of inquiry were used, such as scientific abstraction, analysis and synthesis, induction and deduction. In addition, comparison, tabulation, and analogy methods were applied. Data from legislation and regulations, statistical and factual materials were also used.</w:t>
      </w:r>
    </w:p>
    <w:p>
      <w:pPr>
        <w:pStyle w:val="Normal"/>
        <w:spacing w:lineRule="auto" w:line="240" w:before="0" w:after="0"/>
        <w:ind w:firstLine="567"/>
        <w:contextualSpacing/>
        <w:jc w:val="both"/>
        <w:rPr>
          <w:rFonts w:ascii="Times New Roman" w:hAnsi="Times New Roman" w:cs="Times New Roman"/>
          <w:b/>
          <w:sz w:val="24"/>
          <w:szCs w:val="24"/>
          <w:lang w:val="en-US"/>
        </w:rPr>
      </w:pPr>
      <w:r>
        <w:rPr>
          <w:rFonts w:cs="Times New Roman" w:ascii="Times New Roman" w:hAnsi="Times New Roman"/>
          <w:sz w:val="24"/>
          <w:szCs w:val="24"/>
          <w:lang w:val="en-US"/>
        </w:rPr>
        <w:t>To improve the effectiveness of further steps toward developing a circular economy in Kazakhstan, we believe it is advisable to first examine the specific conditions for transitioning to it in our country. Our previous analysis allows us to identify the following key factors: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underlying reason for the transition to a circular economy: the worsening environmental challenges and the impact of global experience in the transition to a circular economy;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main priorities for the transition to a circular economy at present: along with environmental challenges, economic factors also have a minor impact;</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level of socio-economic development: Kazakhstan is a developing country;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country's economic potential to support the transition to a circular economy: Limited compared to developed countries;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availability of minerals and other natural resources: Some of the largest reserves in the world, with mining and processing of minerals significantly exceeding domestic consumption;</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structure of industrial production: The extractive industry plays a key role, while the high-tech manufacturing industry is comparatively less developed;</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position in the global raw materials market: An exporting country;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population density: Low;</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availability of free waste disposal areas: Significant amounts available;</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distances for transporting waste to processing facilities and the associated transport costs: distances are typically long, and logistics costs are also typically high;</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socio-cultural characteristics of the country's population: there is little inclination among the population to separate waste; entrepreneurship in the circular economy is not prestigious in Kazakhstani society and is in its infancy.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It should be noted that some of the conditions for the transition to a circular economy are virtually impossible to change. These include, first and foremost, the availability of mineral resources, its position in the global raw materials market, and territorial factors. With successful development, the country's level of socioeconomic development and, consequently, the ability to support these transformations, the structure of industrial production, the mentality of the population and businesses, and population density may change over time.</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Overall, the analysis showed that the key conditions for the formation of a circular economy in Kazakhstan do not compel the transition to a closed-loop economy and do not play an active role in this process. This largely determines the relatively low pace, scale, and results of the transition to a circular economy.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This circumstance, in turn, determined the characteristics of the key steps in the transition to a circular economy in Kazakhstan. They are presented in Table 2.</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contextualSpacing/>
        <w:jc w:val="center"/>
        <w:rPr>
          <w:rFonts w:ascii="Times New Roman" w:hAnsi="Times New Roman" w:cs="Times New Roman"/>
          <w:b/>
          <w:bCs/>
          <w:lang w:val="en-US"/>
        </w:rPr>
      </w:pPr>
      <w:r>
        <w:rPr>
          <w:rFonts w:cs="Times New Roman" w:ascii="Times New Roman" w:hAnsi="Times New Roman"/>
          <w:b/>
          <w:bCs/>
          <w:lang w:val="en-US"/>
        </w:rPr>
        <w:t xml:space="preserve">Table 2 - Characteristics of the Key Steps in the Transition to a Circular Economy </w:t>
      </w:r>
    </w:p>
    <w:p>
      <w:pPr>
        <w:pStyle w:val="Normal"/>
        <w:spacing w:lineRule="auto" w:line="240" w:before="0" w:after="0"/>
        <w:contextualSpacing/>
        <w:jc w:val="center"/>
        <w:rPr>
          <w:rFonts w:ascii="Times New Roman" w:hAnsi="Times New Roman" w:cs="Times New Roman"/>
          <w:b/>
          <w:bCs/>
          <w:lang w:val="en-US"/>
        </w:rPr>
      </w:pPr>
      <w:r>
        <w:rPr>
          <w:rFonts w:cs="Times New Roman" w:ascii="Times New Roman" w:hAnsi="Times New Roman"/>
          <w:b/>
          <w:bCs/>
          <w:lang w:val="en-US"/>
        </w:rPr>
        <w:t>in Kazakhstan</w:t>
      </w:r>
    </w:p>
    <w:p>
      <w:pPr>
        <w:pStyle w:val="Normal"/>
        <w:spacing w:lineRule="auto" w:line="240" w:before="0" w:after="0"/>
        <w:contextualSpacing/>
        <w:jc w:val="center"/>
        <w:rPr>
          <w:rFonts w:ascii="Times New Roman" w:hAnsi="Times New Roman" w:cs="Times New Roman"/>
          <w:lang w:val="en-US"/>
        </w:rPr>
      </w:pPr>
      <w:r>
        <w:rPr>
          <w:rFonts w:cs="Times New Roman" w:ascii="Times New Roman" w:hAnsi="Times New Roman"/>
          <w:lang w:val="en-US"/>
        </w:rPr>
      </w:r>
    </w:p>
    <w:tbl>
      <w:tblPr>
        <w:tblStyle w:val="64"/>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20"/>
        <w:gridCol w:w="4621"/>
      </w:tblGrid>
      <w:tr>
        <w:trPr>
          <w:trHeight w:val="269" w:hRule="atLeast"/>
        </w:trPr>
        <w:tc>
          <w:tcPr>
            <w:tcW w:w="4620" w:type="dxa"/>
            <w:tcBorders/>
          </w:tcPr>
          <w:p>
            <w:pPr>
              <w:pStyle w:val="Normal"/>
              <w:widowControl/>
              <w:spacing w:lineRule="auto" w:line="240" w:before="0" w:after="0"/>
              <w:ind w:firstLine="567"/>
              <w:contextualSpacing/>
              <w:jc w:val="center"/>
              <w:rPr>
                <w:b/>
                <w:bCs/>
                <w:sz w:val="22"/>
              </w:rPr>
            </w:pPr>
            <w:r>
              <w:rPr>
                <w:rFonts w:eastAsia="Calibri" w:cs="Times New Roman" w:ascii="Times New Roman" w:hAnsi="Times New Roman"/>
                <w:b/>
                <w:bCs/>
                <w:kern w:val="0"/>
                <w:sz w:val="22"/>
                <w:szCs w:val="22"/>
                <w:lang w:val="ru-RU" w:eastAsia="en-US" w:bidi="ar-SA"/>
              </w:rPr>
              <w:t>Main characteristics</w:t>
            </w:r>
          </w:p>
        </w:tc>
        <w:tc>
          <w:tcPr>
            <w:tcW w:w="4621" w:type="dxa"/>
            <w:tcBorders/>
          </w:tcPr>
          <w:p>
            <w:pPr>
              <w:pStyle w:val="Normal"/>
              <w:widowControl/>
              <w:spacing w:lineRule="auto" w:line="240" w:before="0" w:after="0"/>
              <w:ind w:firstLine="567"/>
              <w:contextualSpacing/>
              <w:jc w:val="center"/>
              <w:rPr>
                <w:b/>
                <w:bCs/>
                <w:sz w:val="22"/>
              </w:rPr>
            </w:pPr>
            <w:r>
              <w:rPr>
                <w:rFonts w:eastAsia="Calibri" w:cs="Times New Roman" w:ascii="Times New Roman" w:hAnsi="Times New Roman"/>
                <w:b/>
                <w:bCs/>
                <w:kern w:val="0"/>
                <w:sz w:val="22"/>
                <w:szCs w:val="22"/>
                <w:lang w:val="ru-RU" w:eastAsia="en-US" w:bidi="ar-SA"/>
              </w:rPr>
              <w:t>Features in Kazakhstan</w:t>
            </w:r>
          </w:p>
        </w:tc>
      </w:tr>
      <w:tr>
        <w:trPr>
          <w:trHeight w:val="553"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government's stated start date for the transition to a circular economy</w:t>
            </w:r>
          </w:p>
        </w:tc>
        <w:tc>
          <w:tcPr>
            <w:tcW w:w="4621" w:type="dxa"/>
            <w:tcBorders/>
          </w:tcPr>
          <w:p>
            <w:pPr>
              <w:pStyle w:val="Normal"/>
              <w:widowControl/>
              <w:spacing w:lineRule="auto" w:line="240" w:before="0" w:after="0"/>
              <w:contextualSpacing/>
              <w:jc w:val="both"/>
              <w:rPr>
                <w:sz w:val="22"/>
              </w:rPr>
            </w:pPr>
            <w:r>
              <w:rPr>
                <w:rFonts w:eastAsia="Calibri" w:cs="Times New Roman" w:ascii="Times New Roman" w:hAnsi="Times New Roman"/>
                <w:kern w:val="0"/>
                <w:sz w:val="22"/>
                <w:szCs w:val="22"/>
                <w:lang w:val="ru-RU" w:eastAsia="en-US" w:bidi="ar-SA"/>
              </w:rPr>
              <w:t>Early 2010s</w:t>
            </w:r>
          </w:p>
        </w:tc>
      </w:tr>
      <w:tr>
        <w:trPr>
          <w:trHeight w:val="822"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Adoption of the first legislative act on the circular economy</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2013: Concept for the transition of the Republic of Kazakhstan to a green economy (section on the waste management system)</w:t>
            </w:r>
          </w:p>
        </w:tc>
      </w:tr>
      <w:tr>
        <w:trPr>
          <w:trHeight w:val="1658"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existence of a system of laws and regulations that ensure the transition to a circular economy</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 xml:space="preserve">The system has not been established. There is no separate law on the circular economy. Provisions for the transition to a circular economy are mainly integrated into green economy legislation. </w:t>
            </w:r>
            <w:r>
              <w:rPr>
                <w:rFonts w:eastAsia="Calibri" w:cs="Times New Roman" w:ascii="Times New Roman" w:hAnsi="Times New Roman"/>
                <w:kern w:val="0"/>
                <w:sz w:val="22"/>
                <w:szCs w:val="22"/>
                <w:lang w:val="ru-RU" w:eastAsia="en-US" w:bidi="ar-SA"/>
              </w:rPr>
              <w:t>There are regulations on waste sorting and recycling</w:t>
            </w:r>
          </w:p>
        </w:tc>
      </w:tr>
      <w:tr>
        <w:trPr>
          <w:trHeight w:val="822"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presence of government bodies implementing and monitoring the transition to a circular economy</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Special government agencies have not yet been fully formed. Civil servants are insufficiently trained</w:t>
            </w:r>
          </w:p>
        </w:tc>
      </w:tr>
      <w:tr>
        <w:trPr>
          <w:trHeight w:val="1106"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existence and implementation of the Extended Producer Responsibility (EPR) system</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EPR system has been formed and implemented with its own characteristics (including the significant role of the recycling fee on vehicles)</w:t>
            </w:r>
          </w:p>
        </w:tc>
      </w:tr>
      <w:tr>
        <w:trPr>
          <w:trHeight w:val="1106"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presence of environmental awareness and a modern waste management culture among the population and businesses</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Some measures are being taken to develop environmental awareness and a modern waste management culture among the population</w:t>
            </w:r>
          </w:p>
        </w:tc>
      </w:tr>
      <w:tr>
        <w:trPr>
          <w:trHeight w:val="822"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Compliance with legislative and regulatory requirements for the circular economy</w:t>
            </w:r>
          </w:p>
        </w:tc>
        <w:tc>
          <w:tcPr>
            <w:tcW w:w="4621" w:type="dxa"/>
            <w:tcBorders/>
          </w:tcPr>
          <w:p>
            <w:pPr>
              <w:pStyle w:val="Normal"/>
              <w:widowControl/>
              <w:spacing w:lineRule="auto" w:line="240" w:before="0" w:after="0"/>
              <w:contextualSpacing/>
              <w:jc w:val="both"/>
              <w:rPr>
                <w:sz w:val="22"/>
              </w:rPr>
            </w:pPr>
            <w:r>
              <w:rPr>
                <w:rFonts w:eastAsia="Calibri" w:cs="Times New Roman" w:ascii="Times New Roman" w:hAnsi="Times New Roman"/>
                <w:kern w:val="0"/>
                <w:sz w:val="22"/>
                <w:szCs w:val="22"/>
                <w:lang w:val="en-US" w:eastAsia="en-US" w:bidi="ar-SA"/>
              </w:rPr>
              <w:t xml:space="preserve">Incomplete implementation, low implementation and effectiveness. </w:t>
            </w:r>
            <w:r>
              <w:rPr>
                <w:rFonts w:eastAsia="Calibri" w:cs="Times New Roman" w:ascii="Times New Roman" w:hAnsi="Times New Roman"/>
                <w:kern w:val="0"/>
                <w:sz w:val="22"/>
                <w:szCs w:val="22"/>
                <w:lang w:val="ru-RU" w:eastAsia="en-US" w:bidi="ar-SA"/>
              </w:rPr>
              <w:t>The presence of corruption risks.</w:t>
            </w:r>
          </w:p>
        </w:tc>
      </w:tr>
      <w:tr>
        <w:trPr>
          <w:trHeight w:val="822"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Compliance of municipal waste landfills with modern sanitary and environmental requirements</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A small proportion of municipal waste landfills comply</w:t>
            </w:r>
          </w:p>
        </w:tc>
      </w:tr>
      <w:tr>
        <w:trPr>
          <w:trHeight w:val="553"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presence of unauthorized dumps</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They are available in large quantities and are being partially eliminated</w:t>
            </w:r>
          </w:p>
        </w:tc>
      </w:tr>
      <w:tr>
        <w:trPr>
          <w:trHeight w:val="269"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Level of waste sorting and recycling</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Low</w:t>
            </w:r>
          </w:p>
        </w:tc>
      </w:tr>
      <w:tr>
        <w:trPr>
          <w:trHeight w:val="835"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presence of a system of enterprises for sorting and processing all major types of waste throughout the country</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There are separate enterprises for waste sorting and processing (mainly in Almaty), but the system is not form</w:t>
            </w:r>
            <w:bookmarkStart w:id="14" w:name="_GoBack"/>
            <w:bookmarkEnd w:id="14"/>
            <w:r>
              <w:rPr>
                <w:rFonts w:eastAsia="Calibri" w:cs="Times New Roman" w:ascii="Times New Roman" w:hAnsi="Times New Roman"/>
                <w:kern w:val="0"/>
                <w:sz w:val="22"/>
                <w:szCs w:val="22"/>
                <w:lang w:val="en-US" w:eastAsia="en-US" w:bidi="ar-SA"/>
              </w:rPr>
              <w:t>ed</w:t>
            </w:r>
          </w:p>
        </w:tc>
      </w:tr>
      <w:tr>
        <w:trPr>
          <w:trHeight w:val="269"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presence of a market for waste recycling</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There are some elements of this market</w:t>
            </w:r>
          </w:p>
        </w:tc>
      </w:tr>
      <w:tr>
        <w:trPr>
          <w:trHeight w:val="822" w:hRule="atLeast"/>
        </w:trPr>
        <w:tc>
          <w:tcPr>
            <w:tcW w:w="4620"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result of implementing steps towards a circular economy</w:t>
            </w:r>
          </w:p>
        </w:tc>
        <w:tc>
          <w:tcPr>
            <w:tcW w:w="4621" w:type="dxa"/>
            <w:tcBorders/>
          </w:tcPr>
          <w:p>
            <w:pPr>
              <w:pStyle w:val="Normal"/>
              <w:widowControl/>
              <w:spacing w:lineRule="auto" w:line="240" w:before="0" w:after="0"/>
              <w:contextualSpacing/>
              <w:jc w:val="both"/>
              <w:rPr>
                <w:sz w:val="22"/>
                <w:lang w:val="en-US"/>
              </w:rPr>
            </w:pPr>
            <w:r>
              <w:rPr>
                <w:rFonts w:eastAsia="Calibri" w:cs="Times New Roman" w:ascii="Times New Roman" w:hAnsi="Times New Roman"/>
                <w:kern w:val="0"/>
                <w:sz w:val="22"/>
                <w:szCs w:val="22"/>
                <w:lang w:val="en-US" w:eastAsia="en-US" w:bidi="ar-SA"/>
              </w:rPr>
              <w:t>The initial stage of the formation of the circular economy is underway, and its individual elements exist</w:t>
            </w:r>
          </w:p>
        </w:tc>
      </w:tr>
    </w:tbl>
    <w:p>
      <w:pPr>
        <w:pStyle w:val="Normal"/>
        <w:spacing w:lineRule="auto" w:line="240" w:before="0" w:after="0"/>
        <w:contextualSpacing/>
        <w:jc w:val="both"/>
        <w:rPr>
          <w:rFonts w:ascii="Times New Roman" w:hAnsi="Times New Roman" w:cs="Times New Roman"/>
          <w:i/>
          <w:i/>
          <w:lang w:val="en-US"/>
        </w:rPr>
      </w:pPr>
      <w:r>
        <w:rPr>
          <w:rFonts w:cs="Times New Roman" w:ascii="Times New Roman" w:hAnsi="Times New Roman"/>
          <w:i/>
          <w:lang w:val="en-US"/>
        </w:rPr>
        <w:t>Note:compiled by authors</w:t>
      </w:r>
    </w:p>
    <w:p>
      <w:pPr>
        <w:pStyle w:val="Normal"/>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Thus, the analysis shows that there are many unique aspects to the transition to a circular economy in Kazakhstan. These are determined by the country's prevailing conditions, such as the level of socioeconomic development, the availability of mineral resources, territorial factors, and so on.</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Moreover, Kazakhstan's transition to a circular economy began with a </w:t>
      </w:r>
      <w:r>
        <w:rPr>
          <w:rFonts w:cs="Times New Roman" w:ascii="Times New Roman" w:hAnsi="Times New Roman"/>
          <w:sz w:val="24"/>
          <w:szCs w:val="24"/>
          <w:lang w:val="kk-KZ"/>
        </w:rPr>
        <w:t>«</w:t>
      </w:r>
      <w:r>
        <w:rPr>
          <w:rFonts w:cs="Times New Roman" w:ascii="Times New Roman" w:hAnsi="Times New Roman"/>
          <w:sz w:val="24"/>
          <w:szCs w:val="24"/>
          <w:lang w:val="en-US"/>
        </w:rPr>
        <w:t>lag</w:t>
      </w:r>
      <w:r>
        <w:rPr>
          <w:rFonts w:cs="Times New Roman" w:ascii="Times New Roman" w:hAnsi="Times New Roman"/>
          <w:sz w:val="24"/>
          <w:szCs w:val="24"/>
          <w:lang w:val="kk-KZ"/>
        </w:rPr>
        <w:t>»</w:t>
      </w:r>
      <w:r>
        <w:rPr>
          <w:rFonts w:cs="Times New Roman" w:ascii="Times New Roman" w:hAnsi="Times New Roman"/>
          <w:sz w:val="24"/>
          <w:szCs w:val="24"/>
          <w:lang w:val="en-US"/>
        </w:rPr>
        <w:t xml:space="preserve"> of approximately 35-40 years compared to developed countries, and this circumstance offers a distinct advantage and additional opportunities for Kazakhstan. Knowing and building on the successful experience of transitioning to a circular economy-for example, in Germany-may enable its implementation in Kazakhstan to a certain extent. This will allow for more effective development of a circular economy in Kazakhstan, naturally considering the specific characteristics of our country.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In our opinion, based on this premise, Kazakhstan needs to prioritize, including by drawing on global experience: </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development of a comprehensive legislative and regulatory framework for the circular economy, including the adoption of a law on the circular economy;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identification of government agencies responsible for organizing and monitoring the implementation of these laws and regulations;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raising the level of environmental awareness in Kazakhstani society and its acceptance of the challenges and objectives of the circular economy;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training of personnel for government agencies and enterprises in the circular economy, including entrepreneurs;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development and implementation of government support measures for waste recycling enterprises and the creation of products and energy from the resulting raw materials;</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combating unauthorized dumping and creating a system of modern landfills in all regions of the country;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widespread implementation of separate waste collection;</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implementation of modern technologies and equipment for processing various types of waste;</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creation of waste recycling enterprises and a material recycling system in all regions of the country;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promotion of businesses operating in the circular economy;</w:t>
      </w:r>
    </w:p>
    <w:p>
      <w:pPr>
        <w:pStyle w:val="Normal"/>
        <w:numPr>
          <w:ilvl w:val="0"/>
          <w:numId w:val="20"/>
        </w:numPr>
        <w:spacing w:lineRule="auto" w:line="240" w:before="0" w:after="0"/>
        <w:ind w:firstLine="567" w:left="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support for scientific and applied research in the country on circular economy issues with stimulation of subsequent commercialization of their results.</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Thus, an analysis of the development of a circular economy in Kazakhstan revealed the specific conditions and, secondly, the process (steps) of transitioning to such an economy. International experience in transformation can be implemented in Kazakhstan, while considering the specific characteristics of our country.</w:t>
      </w:r>
    </w:p>
    <w:p>
      <w:pPr>
        <w:pStyle w:val="Normal"/>
        <w:spacing w:lineRule="auto" w:line="240" w:before="0" w:after="0"/>
        <w:ind w:firstLine="567"/>
        <w:contextualSpacing/>
        <w:jc w:val="both"/>
        <w:rPr>
          <w:rFonts w:ascii="Times New Roman" w:hAnsi="Times New Roman" w:cs="Times New Roman"/>
          <w:i/>
          <w:i/>
          <w:sz w:val="24"/>
          <w:szCs w:val="24"/>
          <w:lang w:val="en-US"/>
        </w:rPr>
      </w:pPr>
      <w:r>
        <w:rPr>
          <w:rFonts w:cs="Times New Roman" w:ascii="Times New Roman" w:hAnsi="Times New Roman"/>
          <w:b/>
          <w:bCs/>
          <w:iCs/>
          <w:sz w:val="24"/>
          <w:szCs w:val="24"/>
          <w:lang w:val="en-US"/>
        </w:rPr>
        <w:t>Conclusion</w:t>
      </w:r>
      <w:r>
        <w:rPr>
          <w:rFonts w:cs="Times New Roman" w:ascii="Times New Roman" w:hAnsi="Times New Roman"/>
          <w:b/>
          <w:bCs/>
          <w:iCs/>
          <w:sz w:val="24"/>
          <w:szCs w:val="24"/>
          <w:lang w:val="en-GB"/>
        </w:rPr>
        <w:t>.</w:t>
      </w:r>
      <w:r>
        <w:rPr>
          <w:rFonts w:cs="Times New Roman" w:ascii="Times New Roman" w:hAnsi="Times New Roman"/>
          <w:i/>
          <w:sz w:val="24"/>
          <w:szCs w:val="24"/>
          <w:lang w:val="en-GB"/>
        </w:rPr>
        <w:t xml:space="preserve"> </w:t>
      </w:r>
      <w:r>
        <w:rPr>
          <w:rFonts w:cs="Times New Roman" w:ascii="Times New Roman" w:hAnsi="Times New Roman"/>
          <w:sz w:val="24"/>
          <w:szCs w:val="24"/>
          <w:lang w:val="en-US"/>
        </w:rPr>
        <w:t xml:space="preserve">The study shows that the initial reason for the transition to a circular economy in Kazakhstan is the aggravation of environmental problems, as well as the influence of similar experiences in other countries.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pace, scale, and results of the development of a circular economy in Kazakhstan, which began in 2013, are primarily determined by the specific conditions our country faces for transitioning to such an economy. These include the level of socioeconomic development and the corresponding opportunities for transformation, the availability of minerals and other natural resources, the structure of industrial production, the country's position in the global raw materials market, population density, the availability of free space for waste disposal, the sociocultural characteristics of the population, and so on.</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As the analysis shows, the conditions for the development of a circular economy in Kazakhstan are "restraining" the need to transition to this economy.</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The study also highlights the specifics of the process and key steps in the transition to a circular economy in Kazakhstan. This is evident in the existence and implementation of relevant legislation and regulations, the creation of effective government bodies implementing and overseeing the transition to a closed-loop economy, the implementation of the "polluter pays" principle, the development of environmental awareness and understanding of the challenges of transitioning to a circular economy among the population and businesses, and so on.</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As a result of the ongoing reforms, Kazakhstan is currently in the initial stages of developing a circular economy, with certain elements already in place.</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At the same time, the analysis demonstrates the universality and universality of the same steps in transitioning to a circular economy in Kazakhstan and abroad. Kazakhstan must continue to develop a circular economy in accordance with its national interests and specific characteristics. At the same time, it is advisable to implement best international practices. This will allow for a more systematic and effective transition to a closed-loop economy, considering the specific characteristics of our country. </w:t>
      </w:r>
    </w:p>
    <w:p>
      <w:pPr>
        <w:pStyle w:val="Normal"/>
        <w:spacing w:lineRule="auto" w:line="240" w:before="0" w:after="0"/>
        <w:ind w:firstLine="567"/>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hd w:val="clear" w:color="auto" w:fill="FFFFFF"/>
        <w:spacing w:lineRule="auto" w:line="240" w:before="0" w:after="0"/>
        <w:ind w:firstLine="567"/>
        <w:contextualSpacing/>
        <w:jc w:val="center"/>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 xml:space="preserve">Литература </w:t>
      </w:r>
    </w:p>
    <w:p>
      <w:pPr>
        <w:pStyle w:val="Normal"/>
        <w:shd w:val="clear" w:color="auto" w:fill="FFFFFF"/>
        <w:spacing w:lineRule="auto" w:line="240" w:before="0" w:after="0"/>
        <w:ind w:firstLine="567"/>
        <w:contextualSpacing/>
        <w:jc w:val="center"/>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1. Рынок круговой экономики 2024–2031. </w:t>
      </w:r>
      <w:r>
        <w:rPr>
          <w:rFonts w:cs="Times New Roman" w:ascii="Times New Roman" w:hAnsi="Times New Roman"/>
          <w:sz w:val="24"/>
          <w:szCs w:val="24"/>
          <w:lang w:val="en-GB"/>
        </w:rPr>
        <w:t>URL</w:t>
      </w:r>
      <w:r>
        <w:rPr>
          <w:rFonts w:cs="Times New Roman" w:ascii="Times New Roman" w:hAnsi="Times New Roman"/>
          <w:sz w:val="24"/>
          <w:szCs w:val="24"/>
        </w:rPr>
        <w:t xml:space="preserve">: </w:t>
      </w:r>
      <w:hyperlink r:id="rId374">
        <w:r>
          <w:rPr>
            <w:rStyle w:val="Style3"/>
            <w:rFonts w:cs="Times New Roman" w:ascii="Times New Roman" w:hAnsi="Times New Roman"/>
            <w:sz w:val="24"/>
            <w:szCs w:val="24"/>
            <w:lang w:val="en-GB"/>
          </w:rPr>
          <w:t>https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www</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kingsresearch</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com</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ru</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circular</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economy</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market</w:t>
        </w:r>
        <w:r>
          <w:rPr>
            <w:rStyle w:val="Style3"/>
            <w:rFonts w:cs="Times New Roman" w:ascii="Times New Roman" w:hAnsi="Times New Roman"/>
            <w:sz w:val="24"/>
            <w:szCs w:val="24"/>
          </w:rPr>
          <w:t>-1046.-</w:t>
        </w:r>
      </w:hyperlink>
      <w:r>
        <w:rPr>
          <w:rFonts w:cs="Times New Roman" w:ascii="Times New Roman" w:hAnsi="Times New Roman"/>
          <w:sz w:val="24"/>
          <w:szCs w:val="24"/>
        </w:rPr>
        <w:t xml:space="preserve"> Дата обращения: 12.06.2025</w:t>
      </w:r>
    </w:p>
    <w:p>
      <w:pPr>
        <w:pStyle w:val="Normal"/>
        <w:shd w:val="clear" w:color="auto" w:fill="FFFFFF"/>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2. Рязанова О.Е., Золотарева В.П. Циркулярная экономика: </w:t>
      </w:r>
      <w:r>
        <w:rPr>
          <w:rFonts w:cs="Times New Roman" w:ascii="Times New Roman" w:hAnsi="Times New Roman"/>
          <w:sz w:val="24"/>
          <w:szCs w:val="24"/>
          <w:lang w:val="en-GB"/>
        </w:rPr>
        <w:t>M</w:t>
      </w:r>
      <w:r>
        <w:rPr>
          <w:rFonts w:cs="Times New Roman" w:ascii="Times New Roman" w:hAnsi="Times New Roman"/>
          <w:sz w:val="24"/>
          <w:szCs w:val="24"/>
        </w:rPr>
        <w:t xml:space="preserve">.: </w:t>
      </w:r>
      <w:r>
        <w:rPr>
          <w:rFonts w:cs="Times New Roman" w:ascii="Times New Roman" w:hAnsi="Times New Roman"/>
          <w:sz w:val="24"/>
          <w:szCs w:val="24"/>
          <w:lang w:val="en-GB"/>
        </w:rPr>
        <w:t>KNORUS</w:t>
      </w:r>
      <w:r>
        <w:rPr>
          <w:rFonts w:cs="Times New Roman" w:ascii="Times New Roman" w:hAnsi="Times New Roman"/>
          <w:sz w:val="24"/>
          <w:szCs w:val="24"/>
        </w:rPr>
        <w:t xml:space="preserve">, 2025.-117 </w:t>
      </w:r>
      <w:r>
        <w:rPr>
          <w:rFonts w:cs="Times New Roman" w:ascii="Times New Roman" w:hAnsi="Times New Roman"/>
          <w:sz w:val="24"/>
          <w:szCs w:val="24"/>
          <w:lang w:val="en-GB"/>
        </w:rPr>
        <w:t>s</w:t>
      </w:r>
      <w:r>
        <w:rPr>
          <w:rFonts w:cs="Times New Roman" w:ascii="Times New Roman" w:hAnsi="Times New Roman"/>
          <w:sz w:val="24"/>
          <w:szCs w:val="24"/>
        </w:rPr>
        <w:t xml:space="preserve">. </w:t>
      </w:r>
      <w:r>
        <w:rPr>
          <w:rFonts w:cs="Times New Roman" w:ascii="Times New Roman" w:hAnsi="Times New Roman"/>
          <w:sz w:val="24"/>
          <w:szCs w:val="24"/>
          <w:lang w:val="en-US"/>
        </w:rPr>
        <w:t>ISBN</w:t>
      </w:r>
      <w:r>
        <w:rPr>
          <w:rFonts w:cs="Times New Roman" w:ascii="Times New Roman" w:hAnsi="Times New Roman"/>
          <w:sz w:val="28"/>
        </w:rPr>
        <w:t xml:space="preserve"> </w:t>
      </w:r>
      <w:r>
        <w:rPr>
          <w:rFonts w:cs="Times New Roman" w:ascii="Times New Roman" w:hAnsi="Times New Roman"/>
          <w:sz w:val="24"/>
          <w:szCs w:val="24"/>
        </w:rPr>
        <w:t>978-5-406-01345-8</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rPr>
        <w:t xml:space="preserve">3. Жидебеккызы А., Темирбулатова Ж., Амангельдиева Б., Сахариева А. На пути к экономике замкнутого цикла: анализ ситуации в Казахстане// Журнал экономических исследований и делового администрирования. - 2023.- </w:t>
      </w:r>
      <w:r>
        <w:rPr>
          <w:rFonts w:cs="Times New Roman" w:ascii="Times New Roman" w:hAnsi="Times New Roman"/>
          <w:sz w:val="24"/>
          <w:szCs w:val="24"/>
          <w:lang w:val="en-US"/>
        </w:rPr>
        <w:t xml:space="preserve">№ 143(1).- </w:t>
      </w:r>
      <w:r>
        <w:rPr>
          <w:rFonts w:cs="Times New Roman" w:ascii="Times New Roman" w:hAnsi="Times New Roman"/>
          <w:sz w:val="24"/>
          <w:szCs w:val="24"/>
        </w:rPr>
        <w:t>С</w:t>
      </w:r>
      <w:r>
        <w:rPr>
          <w:rFonts w:cs="Times New Roman" w:ascii="Times New Roman" w:hAnsi="Times New Roman"/>
          <w:sz w:val="24"/>
          <w:szCs w:val="24"/>
          <w:lang w:val="en-US"/>
        </w:rPr>
        <w:t>.16-32.</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hyperlink r:id="rId375" w:tgtFrame="_new">
        <w:r>
          <w:rPr>
            <w:rStyle w:val="Style3"/>
            <w:rFonts w:cs="Times New Roman" w:ascii="Times New Roman" w:hAnsi="Times New Roman"/>
            <w:sz w:val="24"/>
            <w:szCs w:val="24"/>
            <w:lang w:val="en-US"/>
          </w:rPr>
          <w:t xml:space="preserve">DOI </w:t>
        </w:r>
        <w:r>
          <w:rPr>
            <w:rStyle w:val="Style3"/>
            <w:rFonts w:cs="Times New Roman" w:ascii="Times New Roman" w:hAnsi="Times New Roman"/>
            <w:sz w:val="24"/>
            <w:szCs w:val="24"/>
            <w:lang w:val="en-GB"/>
          </w:rPr>
          <w:t>10.26577/be.2023.v143.i1.02</w:t>
        </w:r>
      </w:hyperlink>
      <w:r>
        <w:rPr>
          <w:rFonts w:cs="Times New Roman" w:ascii="Times New Roman" w:hAnsi="Times New Roman"/>
          <w:sz w:val="24"/>
          <w:szCs w:val="24"/>
          <w:lang w:val="en-US"/>
        </w:rPr>
        <w:t>.</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lang w:val="en-GB"/>
        </w:rPr>
        <w:t>4.</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 xml:space="preserve">Zhidebekkyzy, A., Temerbulatova, Z., Bilan, Y. The Improvement Of The Waste Management System In Kazakhstan: Impact Evaluation//Polish Journal of Management Studies, 25(2), 423–439. </w:t>
      </w:r>
      <w:hyperlink r:id="rId376" w:tgtFrame="_new">
        <w:r>
          <w:rPr>
            <w:rStyle w:val="Style3"/>
            <w:rFonts w:cs="Times New Roman" w:ascii="Times New Roman" w:hAnsi="Times New Roman"/>
            <w:sz w:val="24"/>
            <w:szCs w:val="24"/>
            <w:lang w:val="en-GB"/>
          </w:rPr>
          <w:t>https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doi</w:t>
        </w:r>
        <w:r>
          <w:rPr>
            <w:rStyle w:val="Style3"/>
            <w:rFonts w:cs="Times New Roman" w:ascii="Times New Roman" w:hAnsi="Times New Roman"/>
            <w:sz w:val="24"/>
            <w:szCs w:val="24"/>
          </w:rPr>
          <w:t>:10.17512/</w:t>
        </w:r>
        <w:r>
          <w:rPr>
            <w:rStyle w:val="Style3"/>
            <w:rFonts w:cs="Times New Roman" w:ascii="Times New Roman" w:hAnsi="Times New Roman"/>
            <w:sz w:val="24"/>
            <w:szCs w:val="24"/>
            <w:lang w:val="en-GB"/>
          </w:rPr>
          <w:t>pjms</w:t>
        </w:r>
        <w:r>
          <w:rPr>
            <w:rStyle w:val="Style3"/>
            <w:rFonts w:cs="Times New Roman" w:ascii="Times New Roman" w:hAnsi="Times New Roman"/>
            <w:sz w:val="24"/>
            <w:szCs w:val="24"/>
          </w:rPr>
          <w:t>.2022.25.2.27</w:t>
        </w:r>
      </w:hyperlink>
      <w:r>
        <w:rPr>
          <w:rFonts w:cs="Times New Roman" w:ascii="Times New Roman" w:hAnsi="Times New Roman"/>
          <w:sz w:val="24"/>
          <w:szCs w:val="24"/>
        </w:rPr>
        <w:t>.</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5. Оразбеков Е. Отчет «Факторы, способствующие эффективному РОП в Азиатско-Тихоокеанском регионе: уроки развитых и развивающих стран ЕС и Азии. Казахстан. – 2025- 53 с. </w:t>
      </w:r>
      <w:r>
        <w:rPr>
          <w:rFonts w:cs="Times New Roman" w:ascii="Times New Roman" w:hAnsi="Times New Roman"/>
          <w:sz w:val="24"/>
          <w:szCs w:val="24"/>
          <w:lang w:val="en-US"/>
        </w:rPr>
        <w:t>URL</w:t>
      </w:r>
      <w:r>
        <w:rPr>
          <w:rFonts w:cs="Times New Roman" w:ascii="Times New Roman" w:hAnsi="Times New Roman"/>
          <w:sz w:val="24"/>
          <w:szCs w:val="24"/>
        </w:rPr>
        <w:t xml:space="preserve"> </w:t>
      </w:r>
    </w:p>
    <w:p>
      <w:pPr>
        <w:pStyle w:val="Normal"/>
        <w:shd w:val="clear" w:color="auto" w:fill="FFFFFF"/>
        <w:spacing w:lineRule="auto" w:line="240" w:before="0" w:after="0"/>
        <w:contextualSpacing/>
        <w:jc w:val="both"/>
        <w:rPr>
          <w:rFonts w:ascii="Times New Roman" w:hAnsi="Times New Roman" w:cs="Times New Roman"/>
          <w:sz w:val="24"/>
          <w:szCs w:val="24"/>
        </w:rPr>
      </w:pPr>
      <w:hyperlink r:id="rId377">
        <w:r>
          <w:rPr>
            <w:rStyle w:val="Style3"/>
            <w:rFonts w:cs="Times New Roman" w:ascii="Times New Roman" w:hAnsi="Times New Roman"/>
            <w:sz w:val="24"/>
            <w:szCs w:val="24"/>
            <w:lang w:val="en-GB"/>
          </w:rPr>
          <w:t>www</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switch</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asia</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eu</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site</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assets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files</w:t>
        </w:r>
        <w:r>
          <w:rPr>
            <w:rStyle w:val="Style3"/>
            <w:rFonts w:cs="Times New Roman" w:ascii="Times New Roman" w:hAnsi="Times New Roman"/>
            <w:sz w:val="24"/>
            <w:szCs w:val="24"/>
          </w:rPr>
          <w:t>/4420/</w:t>
        </w:r>
        <w:r>
          <w:rPr>
            <w:rStyle w:val="Style3"/>
            <w:rFonts w:cs="Times New Roman" w:ascii="Times New Roman" w:hAnsi="Times New Roman"/>
            <w:sz w:val="24"/>
            <w:szCs w:val="24"/>
            <w:lang w:val="en-GB"/>
          </w:rPr>
          <w:t>epr</w:t>
        </w:r>
        <w:r>
          <w:rPr>
            <w:rStyle w:val="Style3"/>
            <w:rFonts w:cs="Times New Roman" w:ascii="Times New Roman" w:hAnsi="Times New Roman"/>
            <w:sz w:val="24"/>
            <w:szCs w:val="24"/>
          </w:rPr>
          <w:t>_</w:t>
        </w:r>
        <w:r>
          <w:rPr>
            <w:rStyle w:val="Style3"/>
            <w:rFonts w:cs="Times New Roman" w:ascii="Times New Roman" w:hAnsi="Times New Roman"/>
            <w:sz w:val="24"/>
            <w:szCs w:val="24"/>
            <w:lang w:val="en-GB"/>
          </w:rPr>
          <w:t>kazakhstan</w:t>
        </w:r>
        <w:r>
          <w:rPr>
            <w:rStyle w:val="Style3"/>
            <w:rFonts w:cs="Times New Roman" w:ascii="Times New Roman" w:hAnsi="Times New Roman"/>
            <w:sz w:val="24"/>
            <w:szCs w:val="24"/>
          </w:rPr>
          <w:t>_</w:t>
        </w:r>
        <w:r>
          <w:rPr>
            <w:rStyle w:val="Style3"/>
            <w:rFonts w:cs="Times New Roman" w:ascii="Times New Roman" w:hAnsi="Times New Roman"/>
            <w:sz w:val="24"/>
            <w:szCs w:val="24"/>
            <w:lang w:val="en-GB"/>
          </w:rPr>
          <w:t>report</w:t>
        </w:r>
        <w:r>
          <w:rPr>
            <w:rStyle w:val="Style3"/>
            <w:rFonts w:cs="Times New Roman" w:ascii="Times New Roman" w:hAnsi="Times New Roman"/>
            <w:sz w:val="24"/>
            <w:szCs w:val="24"/>
          </w:rPr>
          <w:t>_</w:t>
        </w:r>
        <w:r>
          <w:rPr>
            <w:rStyle w:val="Style3"/>
            <w:rFonts w:cs="Times New Roman" w:ascii="Times New Roman" w:hAnsi="Times New Roman"/>
            <w:sz w:val="24"/>
            <w:szCs w:val="24"/>
            <w:lang w:val="en-GB"/>
          </w:rPr>
          <w:t>ru</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pdf</w:t>
        </w:r>
        <w:r>
          <w:rPr>
            <w:rStyle w:val="Style3"/>
            <w:rFonts w:cs="Times New Roman" w:ascii="Times New Roman" w:hAnsi="Times New Roman"/>
            <w:sz w:val="24"/>
            <w:szCs w:val="24"/>
          </w:rPr>
          <w:t>.-Дата</w:t>
        </w:r>
      </w:hyperlink>
      <w:r>
        <w:rPr>
          <w:rFonts w:cs="Times New Roman" w:ascii="Times New Roman" w:hAnsi="Times New Roman"/>
          <w:sz w:val="24"/>
          <w:szCs w:val="24"/>
        </w:rPr>
        <w:t xml:space="preserve"> обращения:12.06.2025.</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6. Аушарипова Д.Е., Кулумбетова Циркулярная экономика как инструмент развития «зеленого» бизнеса в Казахстане// Вестник университета «Туран»- 2020. - № 3. - С.190-196, </w:t>
      </w:r>
    </w:p>
    <w:p>
      <w:pPr>
        <w:pStyle w:val="Normal"/>
        <w:shd w:val="clear" w:color="auto" w:fill="FFFFFF"/>
        <w:spacing w:lineRule="auto" w:line="240" w:before="0" w:after="0"/>
        <w:contextualSpacing/>
        <w:jc w:val="both"/>
        <w:rPr>
          <w:rFonts w:ascii="Times New Roman" w:hAnsi="Times New Roman" w:cs="Times New Roman"/>
          <w:sz w:val="24"/>
          <w:szCs w:val="24"/>
        </w:rPr>
      </w:pPr>
      <w:hyperlink r:id="rId378">
        <w:r>
          <w:rPr>
            <w:rStyle w:val="Style3"/>
            <w:rFonts w:cs="Times New Roman" w:ascii="Times New Roman" w:hAnsi="Times New Roman"/>
            <w:sz w:val="24"/>
            <w:szCs w:val="24"/>
            <w:shd w:fill="FFFFFF" w:val="clear"/>
            <w:lang w:val="en-US"/>
          </w:rPr>
          <w:t>DOI</w:t>
        </w:r>
        <w:r>
          <w:rPr>
            <w:rStyle w:val="Style3"/>
            <w:rFonts w:cs="Times New Roman" w:ascii="Times New Roman" w:hAnsi="Times New Roman"/>
            <w:sz w:val="24"/>
            <w:szCs w:val="24"/>
            <w:shd w:fill="FFFFFF" w:val="clear"/>
          </w:rPr>
          <w:t xml:space="preserve"> 10.46914/1562-2959-2020-1-3-190-196</w:t>
        </w:r>
      </w:hyperlink>
      <w:r>
        <w:rPr>
          <w:rFonts w:cs="Times New Roman" w:ascii="Times New Roman" w:hAnsi="Times New Roman"/>
          <w:sz w:val="24"/>
          <w:szCs w:val="24"/>
        </w:rPr>
        <w:t>.</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7. Аушарипова Д.Е., Кулумбетова Л.Б., Танкова Е. Инновационные бизнес-модели для развития экологического предпринимательства в сфере отходов Казахстана// Вестник университета «Туран»- 2023. - № 4. - С.174-185.</w:t>
      </w:r>
      <w:r>
        <w:rPr>
          <w:rFonts w:cs="Times New Roman" w:ascii="Times New Roman" w:hAnsi="Times New Roman"/>
          <w:sz w:val="24"/>
          <w:szCs w:val="24"/>
          <w:lang w:val="en-US"/>
        </w:rPr>
        <w:t>DOI</w:t>
      </w:r>
      <w:r>
        <w:rPr>
          <w:rFonts w:cs="Times New Roman" w:ascii="Times New Roman" w:hAnsi="Times New Roman"/>
          <w:sz w:val="24"/>
          <w:szCs w:val="24"/>
        </w:rPr>
        <w:t xml:space="preserve"> 10.469/1562-2959-2023-1-4-174-187.</w:t>
      </w:r>
    </w:p>
    <w:p>
      <w:pPr>
        <w:pStyle w:val="Normal"/>
        <w:shd w:val="clear" w:color="auto" w:fill="FFFFFF"/>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US"/>
        </w:rPr>
        <w:t xml:space="preserve">8. </w:t>
      </w:r>
      <w:r>
        <w:rPr>
          <w:rFonts w:cs="Times New Roman" w:ascii="Times New Roman" w:hAnsi="Times New Roman"/>
          <w:sz w:val="24"/>
          <w:szCs w:val="24"/>
          <w:lang w:val="en-GB"/>
        </w:rPr>
        <w:t>Zhaksybayeva, N., Serikkyzy, A., Baktymbet, A., Yousafzai, S. Circular shifts: insights into Kazakhstan’s circular business ecosystem</w:t>
      </w:r>
      <w:r>
        <w:rPr>
          <w:rFonts w:cs="Times New Roman" w:ascii="Times New Roman" w:hAnsi="Times New Roman"/>
          <w:sz w:val="24"/>
          <w:szCs w:val="24"/>
          <w:lang w:val="en-US"/>
        </w:rPr>
        <w:t>//</w:t>
      </w:r>
      <w:r>
        <w:rPr>
          <w:rFonts w:cs="Times New Roman" w:ascii="Times New Roman" w:hAnsi="Times New Roman"/>
          <w:sz w:val="24"/>
          <w:szCs w:val="24"/>
          <w:lang w:val="en-GB"/>
        </w:rPr>
        <w:t>Cogent Business &amp; Management</w:t>
      </w:r>
      <w:r>
        <w:rPr>
          <w:rFonts w:cs="Times New Roman" w:ascii="Times New Roman" w:hAnsi="Times New Roman"/>
          <w:sz w:val="24"/>
          <w:szCs w:val="24"/>
        </w:rPr>
        <w:t>ю</w:t>
      </w:r>
      <w:r>
        <w:rPr>
          <w:rFonts w:cs="Times New Roman" w:ascii="Times New Roman" w:hAnsi="Times New Roman"/>
          <w:sz w:val="24"/>
          <w:szCs w:val="24"/>
          <w:lang w:val="en-US"/>
        </w:rPr>
        <w:t>-2024.-Vol.11(1)</w:t>
      </w:r>
      <w:r>
        <w:rPr>
          <w:rFonts w:cs="Times New Roman" w:ascii="Times New Roman" w:hAnsi="Times New Roman"/>
          <w:sz w:val="24"/>
          <w:szCs w:val="24"/>
          <w:lang w:val="en-GB"/>
        </w:rPr>
        <w:t xml:space="preserve"> 11(1):2431652. </w:t>
      </w:r>
      <w:hyperlink r:id="rId379" w:tgtFrame="_new">
        <w:r>
          <w:rPr>
            <w:rStyle w:val="Style3"/>
            <w:rFonts w:cs="Times New Roman" w:ascii="Times New Roman" w:hAnsi="Times New Roman"/>
            <w:sz w:val="24"/>
            <w:szCs w:val="24"/>
            <w:lang w:val="en-GB"/>
          </w:rPr>
          <w:t>DOI 10.1080/23311975.2024.2431652</w:t>
        </w:r>
      </w:hyperlink>
      <w:r>
        <w:rPr>
          <w:rFonts w:cs="Times New Roman" w:ascii="Times New Roman" w:hAnsi="Times New Roman"/>
          <w:sz w:val="24"/>
          <w:szCs w:val="24"/>
          <w:lang w:val="en-GB"/>
        </w:rPr>
        <w:t>.</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9. </w:t>
      </w:r>
      <w:r>
        <w:rPr>
          <w:rFonts w:cs="Times New Roman" w:ascii="Times New Roman" w:hAnsi="Times New Roman"/>
          <w:sz w:val="24"/>
          <w:szCs w:val="24"/>
          <w:lang w:val="en-GB"/>
        </w:rPr>
        <w:t xml:space="preserve">World Bank. Circular Economy as an Opportunity for Central Asia </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 xml:space="preserve"> Summary Report (English). Washington, D.C.: World Bank Group. </w:t>
      </w:r>
      <w:hyperlink r:id="rId380" w:tgtFrame="_new">
        <w:r>
          <w:rPr>
            <w:rStyle w:val="Style3"/>
            <w:rFonts w:cs="Times New Roman" w:ascii="Times New Roman" w:hAnsi="Times New Roman"/>
            <w:sz w:val="24"/>
            <w:szCs w:val="24"/>
            <w:lang w:val="en-GB"/>
          </w:rPr>
          <w:t>http</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documents</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worldbank</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org</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curated</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en</w:t>
        </w:r>
        <w:r>
          <w:rPr>
            <w:rStyle w:val="Style3"/>
            <w:rFonts w:cs="Times New Roman" w:ascii="Times New Roman" w:hAnsi="Times New Roman"/>
            <w:sz w:val="24"/>
            <w:szCs w:val="24"/>
            <w:lang w:val="en-US"/>
          </w:rPr>
          <w:t>/099052024074569900</w:t>
        </w:r>
      </w:hyperlink>
      <w:r>
        <w:rPr>
          <w:rFonts w:cs="Times New Roman" w:ascii="Times New Roman" w:hAnsi="Times New Roman"/>
          <w:sz w:val="24"/>
          <w:szCs w:val="24"/>
          <w:lang w:val="en-US"/>
        </w:rPr>
        <w:t>.-</w:t>
      </w:r>
      <w:r>
        <w:rPr>
          <w:rFonts w:cs="Times New Roman" w:ascii="Times New Roman" w:hAnsi="Times New Roman"/>
          <w:sz w:val="28"/>
          <w:lang w:val="en-US"/>
        </w:rPr>
        <w:t xml:space="preserve"> </w:t>
      </w:r>
      <w:r>
        <w:rPr>
          <w:rFonts w:cs="Times New Roman" w:ascii="Times New Roman" w:hAnsi="Times New Roman"/>
          <w:sz w:val="24"/>
          <w:szCs w:val="24"/>
          <w:lang w:val="en-US"/>
        </w:rPr>
        <w:t>accessed on 23.08.2025</w:t>
      </w:r>
      <w:r>
        <w:rPr>
          <w:rFonts w:cs="Times New Roman" w:ascii="Times New Roman" w:hAnsi="Times New Roman"/>
          <w:sz w:val="28"/>
          <w:lang w:val="en-US"/>
        </w:rPr>
        <w:t>.</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10. Долгушин А.Б.</w:t>
      </w:r>
      <w:r>
        <w:rPr>
          <w:rFonts w:cs="Times New Roman" w:ascii="Times New Roman" w:hAnsi="Times New Roman"/>
          <w:sz w:val="28"/>
        </w:rPr>
        <w:t xml:space="preserve"> </w:t>
      </w:r>
      <w:r>
        <w:rPr>
          <w:rFonts w:cs="Times New Roman" w:ascii="Times New Roman" w:hAnsi="Times New Roman"/>
          <w:sz w:val="24"/>
          <w:szCs w:val="24"/>
        </w:rPr>
        <w:t>Особенности государственного регулирования перехода на экономику замкнутого цикла в отношении отходов в странах Азии// Вестник российского университета кооперации//</w:t>
      </w:r>
      <w:r>
        <w:rPr>
          <w:rFonts w:cs="Times New Roman" w:ascii="Times New Roman" w:hAnsi="Times New Roman"/>
          <w:sz w:val="24"/>
          <w:szCs w:val="24"/>
          <w:lang w:val="en-GB"/>
        </w:rPr>
        <w:t>Central</w:t>
      </w:r>
      <w:r>
        <w:rPr>
          <w:rFonts w:cs="Times New Roman" w:ascii="Times New Roman" w:hAnsi="Times New Roman"/>
          <w:sz w:val="24"/>
          <w:szCs w:val="24"/>
        </w:rPr>
        <w:t xml:space="preserve"> </w:t>
      </w:r>
      <w:r>
        <w:rPr>
          <w:rFonts w:cs="Times New Roman" w:ascii="Times New Roman" w:hAnsi="Times New Roman"/>
          <w:sz w:val="24"/>
          <w:szCs w:val="24"/>
          <w:lang w:val="en-GB"/>
        </w:rPr>
        <w:t>Asian</w:t>
      </w:r>
      <w:r>
        <w:rPr>
          <w:rFonts w:cs="Times New Roman" w:ascii="Times New Roman" w:hAnsi="Times New Roman"/>
          <w:sz w:val="24"/>
          <w:szCs w:val="24"/>
        </w:rPr>
        <w:t xml:space="preserve"> </w:t>
      </w:r>
      <w:r>
        <w:rPr>
          <w:rFonts w:cs="Times New Roman" w:ascii="Times New Roman" w:hAnsi="Times New Roman"/>
          <w:sz w:val="24"/>
          <w:szCs w:val="24"/>
          <w:lang w:val="en-GB"/>
        </w:rPr>
        <w:t>Economic</w:t>
      </w:r>
      <w:r>
        <w:rPr>
          <w:rFonts w:cs="Times New Roman" w:ascii="Times New Roman" w:hAnsi="Times New Roman"/>
          <w:sz w:val="24"/>
          <w:szCs w:val="24"/>
        </w:rPr>
        <w:t xml:space="preserve"> </w:t>
      </w:r>
      <w:r>
        <w:rPr>
          <w:rFonts w:cs="Times New Roman" w:ascii="Times New Roman" w:hAnsi="Times New Roman"/>
          <w:sz w:val="24"/>
          <w:szCs w:val="24"/>
          <w:lang w:val="en-GB"/>
        </w:rPr>
        <w:t>Review</w:t>
      </w:r>
      <w:r>
        <w:rPr>
          <w:rFonts w:cs="Times New Roman" w:ascii="Times New Roman" w:hAnsi="Times New Roman"/>
          <w:sz w:val="24"/>
          <w:szCs w:val="24"/>
        </w:rPr>
        <w:t>. - 2022.- № 4(50).- С. 21-28.</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rPr>
        <w:t>11. Варавин Е.В., Козлова М.В., М.Ю. Маковецкий Развитие экологически ответственного инвестирования: имплементация зарубежного опыта для Казахстана//</w:t>
      </w:r>
      <w:r>
        <w:rPr>
          <w:rFonts w:cs="Times New Roman" w:ascii="Times New Roman" w:hAnsi="Times New Roman"/>
          <w:b/>
          <w:sz w:val="24"/>
          <w:szCs w:val="24"/>
        </w:rPr>
        <w:t xml:space="preserve"> </w:t>
      </w:r>
      <w:r>
        <w:rPr>
          <w:rFonts w:cs="Times New Roman" w:ascii="Times New Roman" w:hAnsi="Times New Roman"/>
          <w:sz w:val="24"/>
          <w:szCs w:val="24"/>
          <w:lang w:val="en-US"/>
        </w:rPr>
        <w:t>Central</w:t>
      </w:r>
      <w:r>
        <w:rPr>
          <w:rFonts w:cs="Times New Roman" w:ascii="Times New Roman" w:hAnsi="Times New Roman"/>
          <w:sz w:val="24"/>
          <w:szCs w:val="24"/>
        </w:rPr>
        <w:t xml:space="preserve"> </w:t>
      </w:r>
      <w:r>
        <w:rPr>
          <w:rFonts w:cs="Times New Roman" w:ascii="Times New Roman" w:hAnsi="Times New Roman"/>
          <w:sz w:val="24"/>
          <w:szCs w:val="24"/>
          <w:lang w:val="en-US"/>
        </w:rPr>
        <w:t>Asian</w:t>
      </w:r>
      <w:r>
        <w:rPr>
          <w:rFonts w:cs="Times New Roman" w:ascii="Times New Roman" w:hAnsi="Times New Roman"/>
          <w:sz w:val="24"/>
          <w:szCs w:val="24"/>
        </w:rPr>
        <w:t xml:space="preserve"> </w:t>
      </w:r>
      <w:r>
        <w:rPr>
          <w:rFonts w:cs="Times New Roman" w:ascii="Times New Roman" w:hAnsi="Times New Roman"/>
          <w:sz w:val="24"/>
          <w:szCs w:val="24"/>
          <w:lang w:val="en-US"/>
        </w:rPr>
        <w:t>Economic</w:t>
      </w:r>
      <w:r>
        <w:rPr>
          <w:rFonts w:cs="Times New Roman" w:ascii="Times New Roman" w:hAnsi="Times New Roman"/>
          <w:sz w:val="24"/>
          <w:szCs w:val="24"/>
        </w:rPr>
        <w:t xml:space="preserve"> </w:t>
      </w:r>
      <w:r>
        <w:rPr>
          <w:rFonts w:cs="Times New Roman" w:ascii="Times New Roman" w:hAnsi="Times New Roman"/>
          <w:sz w:val="24"/>
          <w:szCs w:val="24"/>
          <w:lang w:val="en-US"/>
        </w:rPr>
        <w:t>Review</w:t>
      </w:r>
      <w:r>
        <w:rPr>
          <w:rFonts w:cs="Times New Roman" w:ascii="Times New Roman" w:hAnsi="Times New Roman"/>
          <w:sz w:val="24"/>
          <w:szCs w:val="24"/>
        </w:rPr>
        <w:t xml:space="preserve">.-2021.-№ </w:t>
      </w:r>
      <w:r>
        <w:rPr>
          <w:rFonts w:cs="Times New Roman" w:ascii="Times New Roman" w:hAnsi="Times New Roman"/>
          <w:sz w:val="24"/>
          <w:szCs w:val="24"/>
          <w:lang w:val="en-US"/>
        </w:rPr>
        <w:t xml:space="preserve">4.- </w:t>
      </w:r>
      <w:r>
        <w:rPr>
          <w:rFonts w:cs="Times New Roman" w:ascii="Times New Roman" w:hAnsi="Times New Roman"/>
          <w:sz w:val="24"/>
          <w:szCs w:val="24"/>
        </w:rPr>
        <w:t>С</w:t>
      </w:r>
      <w:r>
        <w:rPr>
          <w:rFonts w:cs="Times New Roman" w:ascii="Times New Roman" w:hAnsi="Times New Roman"/>
          <w:sz w:val="24"/>
          <w:szCs w:val="24"/>
          <w:lang w:val="en-US"/>
        </w:rPr>
        <w:t>.52-63.</w:t>
      </w:r>
      <w:r>
        <w:rPr>
          <w:rFonts w:cs="Times New Roman" w:ascii="Times New Roman" w:hAnsi="Times New Roman"/>
          <w:sz w:val="28"/>
          <w:lang w:val="en-US"/>
        </w:rPr>
        <w:t xml:space="preserve"> </w:t>
      </w:r>
      <w:hyperlink r:id="rId381" w:tgtFrame="_new">
        <w:r>
          <w:rPr>
            <w:rStyle w:val="Style3"/>
            <w:rFonts w:cs="Times New Roman" w:ascii="Times New Roman" w:hAnsi="Times New Roman"/>
            <w:sz w:val="24"/>
            <w:szCs w:val="24"/>
            <w:lang w:val="en-US"/>
          </w:rPr>
          <w:t>DOI 10.52821/2789-4401-2021-4-52-63</w:t>
        </w:r>
      </w:hyperlink>
      <w:r>
        <w:rPr>
          <w:rFonts w:cs="Times New Roman" w:ascii="Times New Roman" w:hAnsi="Times New Roman"/>
          <w:sz w:val="24"/>
          <w:szCs w:val="24"/>
          <w:lang w:val="en-US"/>
        </w:rPr>
        <w:t>.</w:t>
      </w:r>
    </w:p>
    <w:p>
      <w:pPr>
        <w:pStyle w:val="Normal"/>
        <w:shd w:val="clear" w:color="auto" w:fill="FFFFFF"/>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12. Zhidebekkyzy A., Moldabekova A., Amangeldiyeva B., Šanova P. Transition to a circular economy: Exploring stakeholder perspectives in Kazakhstan//Journal of International Studies.</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-2023.-Vol.16(3).- P.144-158. DOI 10.14254/2071-8330.2023/16-3/8.</w:t>
      </w:r>
    </w:p>
    <w:p>
      <w:pPr>
        <w:pStyle w:val="Normal"/>
        <w:shd w:val="clear" w:color="auto" w:fill="FFFFFF"/>
        <w:spacing w:lineRule="auto" w:line="240" w:before="0" w:after="0"/>
        <w:contextualSpacing/>
        <w:jc w:val="both"/>
        <w:rPr>
          <w:rFonts w:ascii="Times New Roman" w:hAnsi="Times New Roman" w:cs="Times New Roman"/>
          <w:color w:themeColor="hyperlink" w:val="0563C1"/>
          <w:sz w:val="24"/>
          <w:szCs w:val="24"/>
          <w:u w:val="single"/>
        </w:rPr>
      </w:pPr>
      <w:r>
        <w:rPr>
          <w:rFonts w:cs="Times New Roman" w:ascii="Times New Roman" w:hAnsi="Times New Roman"/>
          <w:sz w:val="24"/>
          <w:szCs w:val="24"/>
          <w:lang w:val="en-GB"/>
        </w:rPr>
        <w:t>13.Zhidebekkyzy A., Moldabekova A., Amangeldiyeva</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B., Streimikis J. Assessment of factors influencing pro-circular behavior of a population//Economics &amp; Sociology.</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 xml:space="preserve">2022.-Vol.15(3)-P. 202-215. </w:t>
      </w:r>
      <w:hyperlink r:id="rId382" w:tgtFrame="_new">
        <w:r>
          <w:rPr>
            <w:rStyle w:val="Style3"/>
            <w:rFonts w:cs="Times New Roman" w:ascii="Times New Roman" w:hAnsi="Times New Roman"/>
            <w:sz w:val="24"/>
            <w:szCs w:val="24"/>
            <w:lang w:val="en-GB"/>
          </w:rPr>
          <w:t>DOI</w:t>
        </w:r>
        <w:r>
          <w:rPr>
            <w:rStyle w:val="Style3"/>
            <w:rFonts w:cs="Times New Roman" w:ascii="Times New Roman" w:hAnsi="Times New Roman"/>
            <w:sz w:val="24"/>
            <w:szCs w:val="24"/>
          </w:rPr>
          <w:t xml:space="preserve"> 10.14254/2071-789</w:t>
        </w:r>
        <w:r>
          <w:rPr>
            <w:rStyle w:val="Style3"/>
            <w:rFonts w:cs="Times New Roman" w:ascii="Times New Roman" w:hAnsi="Times New Roman"/>
            <w:sz w:val="24"/>
            <w:szCs w:val="24"/>
            <w:lang w:val="en-GB"/>
          </w:rPr>
          <w:t>x</w:t>
        </w:r>
        <w:r>
          <w:rPr>
            <w:rStyle w:val="Style3"/>
            <w:rFonts w:cs="Times New Roman" w:ascii="Times New Roman" w:hAnsi="Times New Roman"/>
            <w:sz w:val="24"/>
            <w:szCs w:val="24"/>
          </w:rPr>
          <w:t>.2022/15-3/12</w:t>
        </w:r>
      </w:hyperlink>
      <w:r>
        <w:rPr>
          <w:rFonts w:cs="Times New Roman" w:ascii="Times New Roman" w:hAnsi="Times New Roman"/>
          <w:sz w:val="24"/>
          <w:szCs w:val="24"/>
        </w:rPr>
        <w:t>.</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14. Казинформ.  125  млн тонн мусора скопилось на казахстанских свалках: кто виноват, и что делать? </w:t>
      </w:r>
      <w:r>
        <w:rPr>
          <w:rFonts w:cs="Times New Roman" w:ascii="Times New Roman" w:hAnsi="Times New Roman"/>
          <w:sz w:val="24"/>
          <w:szCs w:val="24"/>
          <w:lang w:val="en-GB"/>
        </w:rPr>
        <w:t>URL</w:t>
      </w:r>
      <w:r>
        <w:rPr>
          <w:rFonts w:cs="Times New Roman" w:ascii="Times New Roman" w:hAnsi="Times New Roman"/>
          <w:sz w:val="24"/>
          <w:szCs w:val="24"/>
        </w:rPr>
        <w:t xml:space="preserve">: </w:t>
      </w:r>
      <w:hyperlink r:id="rId383">
        <w:r>
          <w:rPr>
            <w:rStyle w:val="Style3"/>
            <w:rFonts w:cs="Times New Roman" w:ascii="Times New Roman" w:hAnsi="Times New Roman"/>
            <w:sz w:val="24"/>
            <w:szCs w:val="24"/>
            <w:lang w:val="en-GB"/>
          </w:rPr>
          <w:t>https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www</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inform</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kz</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ru</w:t>
        </w:r>
        <w:r>
          <w:rPr>
            <w:rStyle w:val="Style3"/>
            <w:rFonts w:cs="Times New Roman" w:ascii="Times New Roman" w:hAnsi="Times New Roman"/>
            <w:sz w:val="24"/>
            <w:szCs w:val="24"/>
          </w:rPr>
          <w:t>/125-</w:t>
        </w:r>
        <w:r>
          <w:rPr>
            <w:rStyle w:val="Style3"/>
            <w:rFonts w:cs="Times New Roman" w:ascii="Times New Roman" w:hAnsi="Times New Roman"/>
            <w:sz w:val="24"/>
            <w:szCs w:val="24"/>
            <w:lang w:val="en-GB"/>
          </w:rPr>
          <w:t>mln</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tonn</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musora</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skopilos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na</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kazahstanskih</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svalkah</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kto</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vinovat</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i</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chto</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delat</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d</w:t>
        </w:r>
        <w:r>
          <w:rPr>
            <w:rStyle w:val="Style3"/>
            <w:rFonts w:cs="Times New Roman" w:ascii="Times New Roman" w:hAnsi="Times New Roman"/>
            <w:sz w:val="24"/>
            <w:szCs w:val="24"/>
          </w:rPr>
          <w:t>815</w:t>
        </w:r>
        <w:r>
          <w:rPr>
            <w:rStyle w:val="Style3"/>
            <w:rFonts w:cs="Times New Roman" w:ascii="Times New Roman" w:hAnsi="Times New Roman"/>
            <w:sz w:val="24"/>
            <w:szCs w:val="24"/>
            <w:lang w:val="en-GB"/>
          </w:rPr>
          <w:t>d</w:t>
        </w:r>
        <w:r>
          <w:rPr>
            <w:rStyle w:val="Style3"/>
            <w:rFonts w:cs="Times New Roman" w:ascii="Times New Roman" w:hAnsi="Times New Roman"/>
            <w:sz w:val="24"/>
            <w:szCs w:val="24"/>
          </w:rPr>
          <w:t>7-</w:t>
        </w:r>
      </w:hyperlink>
      <w:r>
        <w:rPr>
          <w:rFonts w:cs="Times New Roman" w:ascii="Times New Roman" w:hAnsi="Times New Roman"/>
          <w:sz w:val="24"/>
          <w:szCs w:val="24"/>
        </w:rPr>
        <w:t xml:space="preserve"> Дата обращения: 12.06.2025</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15. О концепции по переходу Республики Казахстан к «зеленой экономике» </w:t>
      </w:r>
      <w:r>
        <w:rPr>
          <w:rFonts w:cs="Times New Roman" w:ascii="Times New Roman" w:hAnsi="Times New Roman"/>
          <w:sz w:val="24"/>
          <w:szCs w:val="24"/>
          <w:lang w:val="en-GB"/>
        </w:rPr>
        <w:t>URL</w:t>
      </w:r>
      <w:r>
        <w:rPr>
          <w:rFonts w:cs="Times New Roman" w:ascii="Times New Roman" w:hAnsi="Times New Roman"/>
          <w:sz w:val="24"/>
          <w:szCs w:val="24"/>
        </w:rPr>
        <w:t xml:space="preserve">: </w:t>
      </w:r>
      <w:hyperlink r:id="rId384">
        <w:r>
          <w:rPr>
            <w:rStyle w:val="Style3"/>
            <w:rFonts w:cs="Times New Roman" w:ascii="Times New Roman" w:hAnsi="Times New Roman"/>
            <w:sz w:val="24"/>
            <w:szCs w:val="24"/>
            <w:lang w:val="en-GB"/>
          </w:rPr>
          <w:t>https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adilet</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zan</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kz</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rus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docs</w:t>
        </w:r>
        <w:r>
          <w:rPr>
            <w:rStyle w:val="Style3"/>
            <w:rFonts w:cs="Times New Roman" w:ascii="Times New Roman" w:hAnsi="Times New Roman"/>
            <w:sz w:val="24"/>
            <w:szCs w:val="24"/>
          </w:rPr>
          <w:t>/</w:t>
        </w:r>
        <w:r>
          <w:rPr>
            <w:rStyle w:val="Style3"/>
            <w:rFonts w:cs="Times New Roman" w:ascii="Times New Roman" w:hAnsi="Times New Roman"/>
            <w:sz w:val="24"/>
            <w:szCs w:val="24"/>
            <w:lang w:val="en-GB"/>
          </w:rPr>
          <w:t>U</w:t>
        </w:r>
        <w:r>
          <w:rPr>
            <w:rStyle w:val="Style3"/>
            <w:rFonts w:cs="Times New Roman" w:ascii="Times New Roman" w:hAnsi="Times New Roman"/>
            <w:sz w:val="24"/>
            <w:szCs w:val="24"/>
          </w:rPr>
          <w:t>1300000577-</w:t>
        </w:r>
      </w:hyperlink>
      <w:r>
        <w:rPr>
          <w:rFonts w:cs="Times New Roman" w:ascii="Times New Roman" w:hAnsi="Times New Roman"/>
          <w:sz w:val="24"/>
          <w:szCs w:val="24"/>
        </w:rPr>
        <w:t xml:space="preserve"> Дата обращения: 12.06.2025</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16.     Окружающая среда – Показатели «зеленой экономики. </w:t>
      </w:r>
      <w:r>
        <w:rPr>
          <w:rFonts w:cs="Times New Roman" w:ascii="Times New Roman" w:hAnsi="Times New Roman"/>
          <w:sz w:val="24"/>
          <w:szCs w:val="24"/>
          <w:lang w:val="en-US"/>
        </w:rPr>
        <w:t>https</w:t>
      </w:r>
      <w:r>
        <w:rPr>
          <w:rFonts w:cs="Times New Roman" w:ascii="Times New Roman" w:hAnsi="Times New Roman"/>
          <w:sz w:val="24"/>
          <w:szCs w:val="24"/>
        </w:rPr>
        <w:t>://</w:t>
      </w:r>
      <w:r>
        <w:rPr>
          <w:rFonts w:cs="Times New Roman" w:ascii="Times New Roman" w:hAnsi="Times New Roman"/>
          <w:sz w:val="24"/>
          <w:szCs w:val="24"/>
          <w:lang w:val="en-US"/>
        </w:rPr>
        <w:t>stat</w:t>
      </w:r>
      <w:r>
        <w:rPr>
          <w:rFonts w:cs="Times New Roman" w:ascii="Times New Roman" w:hAnsi="Times New Roman"/>
          <w:sz w:val="24"/>
          <w:szCs w:val="24"/>
        </w:rPr>
        <w:t>.</w:t>
      </w:r>
      <w:r>
        <w:rPr>
          <w:rFonts w:cs="Times New Roman" w:ascii="Times New Roman" w:hAnsi="Times New Roman"/>
          <w:sz w:val="24"/>
          <w:szCs w:val="24"/>
          <w:lang w:val="en-US"/>
        </w:rPr>
        <w:t>gov</w:t>
      </w:r>
      <w:r>
        <w:rPr>
          <w:rFonts w:cs="Times New Roman" w:ascii="Times New Roman" w:hAnsi="Times New Roman"/>
          <w:sz w:val="24"/>
          <w:szCs w:val="24"/>
        </w:rPr>
        <w:t>.</w:t>
      </w:r>
      <w:r>
        <w:rPr>
          <w:rFonts w:cs="Times New Roman" w:ascii="Times New Roman" w:hAnsi="Times New Roman"/>
          <w:sz w:val="24"/>
          <w:szCs w:val="24"/>
          <w:lang w:val="en-US"/>
        </w:rPr>
        <w:t>kz</w:t>
      </w:r>
      <w:r>
        <w:rPr>
          <w:rFonts w:cs="Times New Roman" w:ascii="Times New Roman" w:hAnsi="Times New Roman"/>
          <w:sz w:val="24"/>
          <w:szCs w:val="24"/>
        </w:rPr>
        <w:t>/</w:t>
      </w:r>
      <w:r>
        <w:rPr>
          <w:rFonts w:cs="Times New Roman" w:ascii="Times New Roman" w:hAnsi="Times New Roman"/>
          <w:sz w:val="24"/>
          <w:szCs w:val="24"/>
          <w:lang w:val="en-US"/>
        </w:rPr>
        <w:t>ru</w:t>
      </w:r>
      <w:r>
        <w:rPr>
          <w:rFonts w:cs="Times New Roman" w:ascii="Times New Roman" w:hAnsi="Times New Roman"/>
          <w:sz w:val="24"/>
          <w:szCs w:val="24"/>
        </w:rPr>
        <w:t>/</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17.  Таскин Ф.А. Реализация концепции экономики замкнутого цикла в Германии// научно-Концепт. -2024. -№ 03. - С.193-199.</w:t>
      </w:r>
      <w:r>
        <w:rPr>
          <w:rFonts w:cs="Times New Roman" w:ascii="Times New Roman" w:hAnsi="Times New Roman"/>
          <w:sz w:val="24"/>
          <w:szCs w:val="24"/>
          <w:lang w:val="en-US"/>
        </w:rPr>
        <w:t>DOI</w:t>
      </w:r>
      <w:r>
        <w:rPr>
          <w:rFonts w:cs="Times New Roman" w:ascii="Times New Roman" w:hAnsi="Times New Roman"/>
          <w:sz w:val="24"/>
          <w:szCs w:val="24"/>
        </w:rPr>
        <w:t xml:space="preserve"> 10/24412/2304-120</w:t>
      </w:r>
      <w:r>
        <w:rPr>
          <w:rFonts w:cs="Times New Roman" w:ascii="Times New Roman" w:hAnsi="Times New Roman"/>
          <w:sz w:val="24"/>
          <w:szCs w:val="24"/>
          <w:lang w:val="en-US"/>
        </w:rPr>
        <w:t>X</w:t>
      </w:r>
      <w:r>
        <w:rPr>
          <w:rFonts w:cs="Times New Roman" w:ascii="Times New Roman" w:hAnsi="Times New Roman"/>
          <w:sz w:val="24"/>
          <w:szCs w:val="24"/>
        </w:rPr>
        <w:t>-2024-13001.</w:t>
      </w:r>
    </w:p>
    <w:p>
      <w:pPr>
        <w:pStyle w:val="Normal"/>
        <w:shd w:val="clear" w:color="auto" w:fill="FFFFFF"/>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hd w:val="clear" w:color="auto" w:fill="FFFFFF"/>
        <w:spacing w:lineRule="auto" w:line="240" w:before="0" w:after="0"/>
        <w:contextualSpacing/>
        <w:jc w:val="center"/>
        <w:rPr>
          <w:rFonts w:ascii="Times New Roman" w:hAnsi="Times New Roman" w:eastAsia="Times New Roman" w:cs="Times New Roman"/>
          <w:b/>
          <w:bCs/>
          <w:color w:val="000000"/>
          <w:sz w:val="24"/>
          <w:szCs w:val="24"/>
          <w:lang w:val="en-US" w:eastAsia="ru-RU"/>
        </w:rPr>
      </w:pPr>
      <w:r>
        <w:rPr>
          <w:rFonts w:eastAsia="Times New Roman" w:cs="Times New Roman" w:ascii="Times New Roman" w:hAnsi="Times New Roman"/>
          <w:b/>
          <w:bCs/>
          <w:color w:val="000000"/>
          <w:sz w:val="24"/>
          <w:szCs w:val="24"/>
          <w:lang w:val="en-US" w:eastAsia="ru-RU"/>
        </w:rPr>
        <w:t>References</w:t>
      </w:r>
    </w:p>
    <w:p>
      <w:pPr>
        <w:pStyle w:val="Normal"/>
        <w:shd w:val="clear" w:color="auto" w:fill="FFFFFF"/>
        <w:spacing w:lineRule="auto" w:line="240" w:before="0" w:after="0"/>
        <w:contextualSpacing/>
        <w:jc w:val="center"/>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r>
    </w:p>
    <w:p>
      <w:pPr>
        <w:pStyle w:val="Normal"/>
        <w:shd w:val="clear" w:color="auto" w:fill="FFFFFF"/>
        <w:spacing w:lineRule="auto" w:line="240" w:before="0" w:after="0"/>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1.Rynok krugovoj jekonomiki 2024-2031. URL: https://www.kingsresearch.com/ru/circular-economy-market-1046.- Data obrashhenija: 12.06.2025. [in Russian]</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2. Rjazanova O.E., Zolotareva V.P. Cirkuljarnaja jekonomika: M.: KNORUS, 2025.-117 s. ISBN 978-5-406-01345-8. [in Russian]</w:t>
      </w:r>
    </w:p>
    <w:p>
      <w:pPr>
        <w:pStyle w:val="Normal"/>
        <w:shd w:val="clear" w:color="auto" w:fill="FFFFFF"/>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3. Zhidebekkyzy A., Temirbulatova Zh., Amangel'dieva B., Saharieva A. Na puti k jekonomike</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zamknutogo cikla: analiz situacii v Kazahstane// Zhurnal jekonomicheskih issledovanij i delovogo administrirovanija. - 2023.- № 143(1).- S.16-32. DOI 10.26577/be.2023.v143.i1.02. [in Russian]</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GB"/>
        </w:rPr>
        <w:t>4.</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 xml:space="preserve">Zhidebekkyzy, A., Temerbulatova, Z., Bilan, Y. The Improvement Of The Waste Management System In Kazakhstan: Impact Evaluation//Polish Journal of Management Studies, 25(2), 423–439. </w:t>
      </w:r>
      <w:hyperlink r:id="rId385" w:tgtFrame="_new">
        <w:r>
          <w:rPr>
            <w:rStyle w:val="Style3"/>
            <w:rFonts w:cs="Times New Roman" w:ascii="Times New Roman" w:hAnsi="Times New Roman"/>
            <w:sz w:val="24"/>
            <w:szCs w:val="24"/>
            <w:lang w:val="en-GB"/>
          </w:rPr>
          <w:t>https</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doi</w:t>
        </w:r>
        <w:r>
          <w:rPr>
            <w:rStyle w:val="Style3"/>
            <w:rFonts w:cs="Times New Roman" w:ascii="Times New Roman" w:hAnsi="Times New Roman"/>
            <w:sz w:val="24"/>
            <w:szCs w:val="24"/>
            <w:lang w:val="en-US"/>
          </w:rPr>
          <w:t>:10.17512/</w:t>
        </w:r>
        <w:r>
          <w:rPr>
            <w:rStyle w:val="Style3"/>
            <w:rFonts w:cs="Times New Roman" w:ascii="Times New Roman" w:hAnsi="Times New Roman"/>
            <w:sz w:val="24"/>
            <w:szCs w:val="24"/>
            <w:lang w:val="en-GB"/>
          </w:rPr>
          <w:t>pjms</w:t>
        </w:r>
        <w:r>
          <w:rPr>
            <w:rStyle w:val="Style3"/>
            <w:rFonts w:cs="Times New Roman" w:ascii="Times New Roman" w:hAnsi="Times New Roman"/>
            <w:sz w:val="24"/>
            <w:szCs w:val="24"/>
            <w:lang w:val="en-US"/>
          </w:rPr>
          <w:t>.2022.25.2.27</w:t>
        </w:r>
      </w:hyperlink>
      <w:r>
        <w:rPr>
          <w:rFonts w:cs="Times New Roman" w:ascii="Times New Roman" w:hAnsi="Times New Roman"/>
          <w:sz w:val="24"/>
          <w:szCs w:val="24"/>
          <w:lang w:val="en-US"/>
        </w:rPr>
        <w:t>.</w:t>
      </w:r>
      <w:r>
        <w:rPr>
          <w:rFonts w:eastAsia="Times New Roman" w:cs="Times New Roman" w:ascii="Times New Roman" w:hAnsi="Times New Roman"/>
          <w:bCs/>
          <w:color w:val="000000"/>
          <w:sz w:val="24"/>
          <w:szCs w:val="24"/>
          <w:lang w:val="en-US" w:eastAsia="ru-RU"/>
        </w:rPr>
        <w:t xml:space="preserve"> [in Russian]</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5. Orazbekov E. Otchet «Faktory, sposobstvujushhie jeffektivnomu ROP v Aziatsko-Tihookeanskom regione: uroki razvityh i razvivajushhih stran ES i Azii. Kazahstan. – 2025- 53 s. URL www.switch-asia.eu/site/assets/files/4420/epr_kazakhstan_report_ru.pdf.-Data</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obrashhenija:12.06.2025. [in Russian]</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 xml:space="preserve">6. Ausharipova D.E., Kulumbetova Cirkuljarnaja jekonomika kak instrument razvitija «zelenogo» biznesa v Kazahstane// Vestnik universiteta «Turan»- 2020. - № 3. - S.190-196, </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DOI 10.46914/1562-2959-2020-1-3-190-196. [in Russian]</w:t>
      </w:r>
    </w:p>
    <w:p>
      <w:pPr>
        <w:pStyle w:val="Normal"/>
        <w:shd w:val="clear" w:color="auto" w:fill="FFFFFF"/>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7. Ausharipova D.E., Kulumbetova L.B., Tankova E. Innovacionnye biznes-modeli dlja razvitija jekologicheskogo predprinimatel'stva v sfere othodov Kazahstana// Vestnik universiteta «Turan»- 2023. - № 4. - S.174-185.DOI 10.469/1562-2959-2023-1-4-174-187. [in Russian]</w:t>
      </w:r>
    </w:p>
    <w:p>
      <w:pPr>
        <w:pStyle w:val="Normal"/>
        <w:shd w:val="clear" w:color="auto" w:fill="FFFFFF"/>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US"/>
        </w:rPr>
        <w:t xml:space="preserve">8. </w:t>
      </w:r>
      <w:r>
        <w:rPr>
          <w:rFonts w:cs="Times New Roman" w:ascii="Times New Roman" w:hAnsi="Times New Roman"/>
          <w:sz w:val="24"/>
          <w:szCs w:val="24"/>
          <w:lang w:val="en-GB"/>
        </w:rPr>
        <w:t>Zhaksybayeva, N., Serikkyzy, A., Baktymbet, A., Yousafzai, S. Circular shifts: insights into Kazakhstan’s circular business ecosystem</w:t>
      </w:r>
      <w:r>
        <w:rPr>
          <w:rFonts w:cs="Times New Roman" w:ascii="Times New Roman" w:hAnsi="Times New Roman"/>
          <w:sz w:val="24"/>
          <w:szCs w:val="24"/>
          <w:lang w:val="en-US"/>
        </w:rPr>
        <w:t>//</w:t>
      </w:r>
      <w:r>
        <w:rPr>
          <w:rFonts w:cs="Times New Roman" w:ascii="Times New Roman" w:hAnsi="Times New Roman"/>
          <w:sz w:val="24"/>
          <w:szCs w:val="24"/>
          <w:lang w:val="en-GB"/>
        </w:rPr>
        <w:t>Cogent Business &amp; Management</w:t>
      </w:r>
      <w:r>
        <w:rPr>
          <w:rFonts w:cs="Times New Roman" w:ascii="Times New Roman" w:hAnsi="Times New Roman"/>
          <w:sz w:val="24"/>
          <w:szCs w:val="24"/>
        </w:rPr>
        <w:t>ю</w:t>
      </w:r>
      <w:r>
        <w:rPr>
          <w:rFonts w:cs="Times New Roman" w:ascii="Times New Roman" w:hAnsi="Times New Roman"/>
          <w:sz w:val="24"/>
          <w:szCs w:val="24"/>
          <w:lang w:val="en-US"/>
        </w:rPr>
        <w:t>-2024.-Vol.11(1)</w:t>
      </w:r>
      <w:r>
        <w:rPr>
          <w:rFonts w:cs="Times New Roman" w:ascii="Times New Roman" w:hAnsi="Times New Roman"/>
          <w:sz w:val="24"/>
          <w:szCs w:val="24"/>
          <w:lang w:val="en-GB"/>
        </w:rPr>
        <w:t xml:space="preserve"> 11(1):2431652. </w:t>
      </w:r>
      <w:hyperlink r:id="rId386" w:tgtFrame="_new">
        <w:r>
          <w:rPr>
            <w:rStyle w:val="Style3"/>
            <w:rFonts w:cs="Times New Roman" w:ascii="Times New Roman" w:hAnsi="Times New Roman"/>
            <w:sz w:val="24"/>
            <w:szCs w:val="24"/>
            <w:lang w:val="en-GB"/>
          </w:rPr>
          <w:t>DOI 10.1080/23311975.2024.2431652</w:t>
        </w:r>
      </w:hyperlink>
      <w:r>
        <w:rPr>
          <w:rFonts w:cs="Times New Roman" w:ascii="Times New Roman" w:hAnsi="Times New Roman"/>
          <w:sz w:val="24"/>
          <w:szCs w:val="24"/>
          <w:lang w:val="en-GB"/>
        </w:rPr>
        <w:t>.</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9. </w:t>
      </w:r>
      <w:r>
        <w:rPr>
          <w:rFonts w:cs="Times New Roman" w:ascii="Times New Roman" w:hAnsi="Times New Roman"/>
          <w:sz w:val="24"/>
          <w:szCs w:val="24"/>
          <w:lang w:val="en-GB"/>
        </w:rPr>
        <w:t xml:space="preserve">World Bank. Circular Economy as an Opportunity for Central Asia </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 xml:space="preserve"> Summary Report (English). Washington, D.C.: World Bank Group. </w:t>
      </w:r>
      <w:hyperlink r:id="rId387" w:tgtFrame="_new">
        <w:r>
          <w:rPr>
            <w:rStyle w:val="Style3"/>
            <w:rFonts w:cs="Times New Roman" w:ascii="Times New Roman" w:hAnsi="Times New Roman"/>
            <w:sz w:val="24"/>
            <w:szCs w:val="24"/>
            <w:lang w:val="en-GB"/>
          </w:rPr>
          <w:t>http</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documents</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worldbank</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org</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curated</w:t>
        </w:r>
        <w:r>
          <w:rPr>
            <w:rStyle w:val="Style3"/>
            <w:rFonts w:cs="Times New Roman" w:ascii="Times New Roman" w:hAnsi="Times New Roman"/>
            <w:sz w:val="24"/>
            <w:szCs w:val="24"/>
            <w:lang w:val="en-US"/>
          </w:rPr>
          <w:t>/</w:t>
        </w:r>
        <w:r>
          <w:rPr>
            <w:rStyle w:val="Style3"/>
            <w:rFonts w:cs="Times New Roman" w:ascii="Times New Roman" w:hAnsi="Times New Roman"/>
            <w:sz w:val="24"/>
            <w:szCs w:val="24"/>
            <w:lang w:val="en-GB"/>
          </w:rPr>
          <w:t>en</w:t>
        </w:r>
        <w:r>
          <w:rPr>
            <w:rStyle w:val="Style3"/>
            <w:rFonts w:cs="Times New Roman" w:ascii="Times New Roman" w:hAnsi="Times New Roman"/>
            <w:sz w:val="24"/>
            <w:szCs w:val="24"/>
            <w:lang w:val="en-US"/>
          </w:rPr>
          <w:t>/099052024074569900</w:t>
        </w:r>
      </w:hyperlink>
      <w:r>
        <w:rPr>
          <w:rFonts w:cs="Times New Roman" w:ascii="Times New Roman" w:hAnsi="Times New Roman"/>
          <w:sz w:val="24"/>
          <w:szCs w:val="24"/>
          <w:lang w:val="en-US"/>
        </w:rPr>
        <w:t>.-</w:t>
      </w:r>
      <w:r>
        <w:rPr>
          <w:rFonts w:cs="Times New Roman" w:ascii="Times New Roman" w:hAnsi="Times New Roman"/>
          <w:sz w:val="28"/>
          <w:lang w:val="en-US"/>
        </w:rPr>
        <w:t xml:space="preserve"> </w:t>
      </w:r>
      <w:r>
        <w:rPr>
          <w:rFonts w:cs="Times New Roman" w:ascii="Times New Roman" w:hAnsi="Times New Roman"/>
          <w:sz w:val="24"/>
          <w:szCs w:val="24"/>
          <w:lang w:val="en-US"/>
        </w:rPr>
        <w:t>accessed on 23.08.2025</w:t>
      </w:r>
      <w:r>
        <w:rPr>
          <w:rFonts w:cs="Times New Roman" w:ascii="Times New Roman" w:hAnsi="Times New Roman"/>
          <w:sz w:val="28"/>
          <w:lang w:val="en-US"/>
        </w:rPr>
        <w:t>.</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10. Dolgushin A.B. Osobennosti gosudarstvennogo regulirovanija perehoda na jekonomiku zamknutogo cikla v otnoshenii othodov v stranah Azii// Vestnik rossijskogo universiteta kooperacii//Central Asian Economic Review. - 2022.- № 4(50).- S. 21-28. [in Russian]</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11. Varavin E.V., Kozlova M.V., M.Ju. Makoveckij Razvitie jekologicheski otvetstvennogo investirovanija: implementacija zarubezhnogo opyta dlja Kazahstana// Central Asian Economic Review. - 2021.-№ 4.- S.52-63. DOI 10.52821/2789-4401-2021-4-52-63. [in Russian]</w:t>
      </w:r>
    </w:p>
    <w:p>
      <w:pPr>
        <w:pStyle w:val="Normal"/>
        <w:shd w:val="clear" w:color="auto" w:fill="FFFFFF"/>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12. Zhidebekkyzy A., Moldabekova A., Amangeldiyeva B., Šanova P. Transition to a circular economy: Exploring stakeholder perspectives in Kazakhstan//Journal of International Studies.</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-2023.-Vol.16(3).- P.144-158. DOI 10.14254/2071-8330.2023/16-3/8.</w:t>
      </w:r>
    </w:p>
    <w:p>
      <w:pPr>
        <w:pStyle w:val="Normal"/>
        <w:shd w:val="clear" w:color="auto" w:fill="FFFFFF"/>
        <w:spacing w:lineRule="auto" w:line="240" w:before="0" w:after="0"/>
        <w:contextualSpacing/>
        <w:jc w:val="both"/>
        <w:rPr>
          <w:rFonts w:ascii="Times New Roman" w:hAnsi="Times New Roman" w:cs="Times New Roman"/>
          <w:color w:themeColor="hyperlink" w:val="0563C1"/>
          <w:sz w:val="24"/>
          <w:szCs w:val="24"/>
          <w:u w:val="single"/>
          <w:lang w:val="en-US"/>
        </w:rPr>
      </w:pPr>
      <w:r>
        <w:rPr>
          <w:rFonts w:cs="Times New Roman" w:ascii="Times New Roman" w:hAnsi="Times New Roman"/>
          <w:sz w:val="24"/>
          <w:szCs w:val="24"/>
          <w:lang w:val="en-GB"/>
        </w:rPr>
        <w:t>13.Zhidebekkyzy A., Moldabekova A., Amangeldiyeva</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B., Streimikis J. Assessment of factors influencing pro-circular behavior of a population//Economics &amp; Sociology.</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w:t>
      </w:r>
      <w:r>
        <w:rPr>
          <w:rFonts w:cs="Times New Roman" w:ascii="Times New Roman" w:hAnsi="Times New Roman"/>
          <w:sz w:val="24"/>
          <w:szCs w:val="24"/>
          <w:lang w:val="en-US"/>
        </w:rPr>
        <w:t xml:space="preserve"> </w:t>
      </w:r>
      <w:r>
        <w:rPr>
          <w:rFonts w:cs="Times New Roman" w:ascii="Times New Roman" w:hAnsi="Times New Roman"/>
          <w:sz w:val="24"/>
          <w:szCs w:val="24"/>
          <w:lang w:val="en-GB"/>
        </w:rPr>
        <w:t xml:space="preserve">2022.-Vol.15(3)-P. 202-215. </w:t>
      </w:r>
      <w:hyperlink r:id="rId388" w:tgtFrame="_new">
        <w:r>
          <w:rPr>
            <w:rStyle w:val="Style3"/>
            <w:rFonts w:cs="Times New Roman" w:ascii="Times New Roman" w:hAnsi="Times New Roman"/>
            <w:sz w:val="24"/>
            <w:szCs w:val="24"/>
            <w:lang w:val="en-GB"/>
          </w:rPr>
          <w:t>DOI</w:t>
        </w:r>
        <w:r>
          <w:rPr>
            <w:rStyle w:val="Style3"/>
            <w:rFonts w:cs="Times New Roman" w:ascii="Times New Roman" w:hAnsi="Times New Roman"/>
            <w:sz w:val="24"/>
            <w:szCs w:val="24"/>
            <w:lang w:val="en-US"/>
          </w:rPr>
          <w:t xml:space="preserve"> 10.14254/2071-789</w:t>
        </w:r>
        <w:r>
          <w:rPr>
            <w:rStyle w:val="Style3"/>
            <w:rFonts w:cs="Times New Roman" w:ascii="Times New Roman" w:hAnsi="Times New Roman"/>
            <w:sz w:val="24"/>
            <w:szCs w:val="24"/>
            <w:lang w:val="en-GB"/>
          </w:rPr>
          <w:t>x</w:t>
        </w:r>
        <w:r>
          <w:rPr>
            <w:rStyle w:val="Style3"/>
            <w:rFonts w:cs="Times New Roman" w:ascii="Times New Roman" w:hAnsi="Times New Roman"/>
            <w:sz w:val="24"/>
            <w:szCs w:val="24"/>
            <w:lang w:val="en-US"/>
          </w:rPr>
          <w:t>.2022/15-3/12</w:t>
        </w:r>
      </w:hyperlink>
      <w:r>
        <w:rPr>
          <w:rFonts w:cs="Times New Roman" w:ascii="Times New Roman" w:hAnsi="Times New Roman"/>
          <w:sz w:val="24"/>
          <w:szCs w:val="24"/>
          <w:lang w:val="en-US"/>
        </w:rPr>
        <w:t>.</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14. Kazinform.  125  mln tonn musora skopilos' na kazahstanskih svalkah: kto vinovat, i chto delat'? URL: https://www.inform.kz/ru/125-mln-tonn-musora-skopilos-na-kazahstanskih-svalkah-kto-vinovat-i-chto-delat-d815d7- Data obrashhenija: 12.06.2025. [in Russian]</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15. O koncepcii po perehodu Respubliki Kazahstan k «zelenoj jekonomike» URL: https://adilet.zan.kz/rus/docs/U1300000577- Data obrashhenija: 12.06.2025. [in Russian]</w:t>
      </w:r>
    </w:p>
    <w:p>
      <w:pPr>
        <w:pStyle w:val="Normal"/>
        <w:shd w:val="clear" w:color="auto" w:fill="FFFFFF"/>
        <w:spacing w:lineRule="auto" w:line="240" w:before="0" w:after="0"/>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16. Okruzhajushhaja sreda – Pokazateli «zelenoj jekonomiki. https://stat.gov.kz/ru/</w:t>
      </w:r>
    </w:p>
    <w:p>
      <w:pPr>
        <w:pStyle w:val="Normal"/>
        <w:shd w:val="clear" w:color="auto" w:fill="FFFFFF"/>
        <w:spacing w:lineRule="auto" w:line="240" w:before="0" w:after="0"/>
        <w:contextualSpacing/>
        <w:jc w:val="both"/>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17. Taskin F.A. Realizacija koncepcii jekonomiki zamknutogo cikla v Germanii// nauchno-Koncept. -2024. -№ 03. - S.193-199.DOI 10/24412/2304-120X-2024-13001. [in Russian]</w:t>
      </w:r>
    </w:p>
    <w:p>
      <w:pPr>
        <w:pStyle w:val="Normal"/>
        <w:shd w:val="clear" w:color="auto" w:fill="FFFFFF"/>
        <w:spacing w:lineRule="auto" w:line="240"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hd w:val="clear" w:color="auto" w:fill="FFFFFF"/>
        <w:tabs>
          <w:tab w:val="clear" w:pos="708"/>
          <w:tab w:val="left" w:pos="1276" w:leader="none"/>
        </w:tabs>
        <w:spacing w:lineRule="auto" w:line="240" w:before="0" w:after="0"/>
        <w:ind w:firstLine="567"/>
        <w:contextualSpacing/>
        <w:jc w:val="both"/>
        <w:rPr>
          <w:rFonts w:ascii="Times New Roman" w:hAnsi="Times New Roman" w:eastAsia="Times New Roman" w:cs="Times New Roman"/>
          <w:b/>
          <w:bCs/>
          <w:i/>
          <w:i/>
          <w:iCs/>
          <w:sz w:val="20"/>
          <w:szCs w:val="20"/>
          <w:lang w:val="en-US" w:eastAsia="ru-RU"/>
        </w:rPr>
      </w:pPr>
      <w:r>
        <w:rPr>
          <w:rFonts w:eastAsia="Times New Roman" w:cs="Times New Roman" w:ascii="Times New Roman" w:hAnsi="Times New Roman"/>
          <w:b/>
          <w:bCs/>
          <w:i/>
          <w:iCs/>
          <w:sz w:val="20"/>
          <w:szCs w:val="20"/>
          <w:lang w:val="en-US" w:eastAsia="ru-RU"/>
        </w:rPr>
        <w:t>Information</w:t>
      </w:r>
      <w:r>
        <w:rPr>
          <w:rFonts w:eastAsia="Times New Roman" w:cs="Times New Roman" w:ascii="Times New Roman" w:hAnsi="Times New Roman"/>
          <w:b/>
          <w:bCs/>
          <w:i/>
          <w:iCs/>
          <w:sz w:val="20"/>
          <w:szCs w:val="20"/>
          <w:lang w:val="en-GB" w:eastAsia="ru-RU"/>
        </w:rPr>
        <w:t xml:space="preserve"> </w:t>
      </w:r>
      <w:r>
        <w:rPr>
          <w:rFonts w:eastAsia="Times New Roman" w:cs="Times New Roman" w:ascii="Times New Roman" w:hAnsi="Times New Roman"/>
          <w:b/>
          <w:bCs/>
          <w:i/>
          <w:iCs/>
          <w:sz w:val="20"/>
          <w:szCs w:val="20"/>
          <w:lang w:val="en-US" w:eastAsia="ru-RU"/>
        </w:rPr>
        <w:t>about</w:t>
      </w:r>
      <w:r>
        <w:rPr>
          <w:rFonts w:eastAsia="Times New Roman" w:cs="Times New Roman" w:ascii="Times New Roman" w:hAnsi="Times New Roman"/>
          <w:b/>
          <w:bCs/>
          <w:i/>
          <w:iCs/>
          <w:sz w:val="20"/>
          <w:szCs w:val="20"/>
          <w:lang w:val="en-GB" w:eastAsia="ru-RU"/>
        </w:rPr>
        <w:t xml:space="preserve"> </w:t>
      </w:r>
      <w:r>
        <w:rPr>
          <w:rFonts w:eastAsia="Times New Roman" w:cs="Times New Roman" w:ascii="Times New Roman" w:hAnsi="Times New Roman"/>
          <w:b/>
          <w:bCs/>
          <w:i/>
          <w:iCs/>
          <w:sz w:val="20"/>
          <w:szCs w:val="20"/>
          <w:lang w:val="en-US" w:eastAsia="ru-RU"/>
        </w:rPr>
        <w:t>the</w:t>
      </w:r>
      <w:r>
        <w:rPr>
          <w:rFonts w:eastAsia="Times New Roman" w:cs="Times New Roman" w:ascii="Times New Roman" w:hAnsi="Times New Roman"/>
          <w:b/>
          <w:bCs/>
          <w:i/>
          <w:iCs/>
          <w:sz w:val="20"/>
          <w:szCs w:val="20"/>
          <w:lang w:val="en-GB" w:eastAsia="ru-RU"/>
        </w:rPr>
        <w:t xml:space="preserve"> </w:t>
      </w:r>
      <w:r>
        <w:rPr>
          <w:rFonts w:eastAsia="Times New Roman" w:cs="Times New Roman" w:ascii="Times New Roman" w:hAnsi="Times New Roman"/>
          <w:b/>
          <w:bCs/>
          <w:i/>
          <w:iCs/>
          <w:sz w:val="20"/>
          <w:szCs w:val="20"/>
          <w:lang w:val="en-US" w:eastAsia="ru-RU"/>
        </w:rPr>
        <w:t>authors</w:t>
      </w:r>
    </w:p>
    <w:p>
      <w:pPr>
        <w:pStyle w:val="Normal"/>
        <w:shd w:val="clear" w:color="auto" w:fill="FFFFFF"/>
        <w:tabs>
          <w:tab w:val="clear" w:pos="708"/>
          <w:tab w:val="left" w:pos="1276" w:leader="none"/>
        </w:tabs>
        <w:spacing w:lineRule="auto" w:line="240" w:before="0" w:after="0"/>
        <w:ind w:firstLine="567"/>
        <w:contextualSpacing/>
        <w:jc w:val="both"/>
        <w:rPr>
          <w:rFonts w:ascii="Times New Roman" w:hAnsi="Times New Roman" w:eastAsia="Times New Roman" w:cs="Times New Roman"/>
          <w:b/>
          <w:bCs/>
          <w:i/>
          <w:i/>
          <w:iCs/>
          <w:sz w:val="20"/>
          <w:szCs w:val="20"/>
          <w:lang w:val="en-GB" w:eastAsia="ru-RU"/>
        </w:rPr>
      </w:pPr>
      <w:r>
        <w:rPr>
          <w:rFonts w:eastAsia="Times New Roman" w:cs="Times New Roman" w:ascii="Times New Roman" w:hAnsi="Times New Roman"/>
          <w:b/>
          <w:bCs/>
          <w:i/>
          <w:iCs/>
          <w:sz w:val="20"/>
          <w:szCs w:val="20"/>
          <w:lang w:val="en-GB" w:eastAsia="ru-RU"/>
        </w:rPr>
      </w:r>
    </w:p>
    <w:p>
      <w:pPr>
        <w:pStyle w:val="Normal"/>
        <w:shd w:val="clear" w:color="auto" w:fill="FFFFFF"/>
        <w:tabs>
          <w:tab w:val="clear" w:pos="708"/>
          <w:tab w:val="left" w:pos="1276" w:leader="none"/>
        </w:tabs>
        <w:spacing w:lineRule="auto" w:line="240" w:before="0" w:after="0"/>
        <w:contextualSpacing/>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Linok Y.N. - student, Kazakh-American Free University, Oskemen, Kazakhstan, e-mail: linok_yana@bk.ru;</w:t>
      </w:r>
    </w:p>
    <w:p>
      <w:pPr>
        <w:pStyle w:val="Normal"/>
        <w:shd w:val="clear" w:color="auto" w:fill="FFFFFF"/>
        <w:tabs>
          <w:tab w:val="clear" w:pos="708"/>
          <w:tab w:val="left" w:pos="1276" w:leader="none"/>
        </w:tabs>
        <w:spacing w:lineRule="auto" w:line="240" w:before="0" w:after="0"/>
        <w:contextualSpacing/>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 xml:space="preserve">Mubarakov Y.Y. - PhD student, Kazakh-American Free University, Oskemen, Kazakhstan, e-mail: </w:t>
      </w:r>
      <w:hyperlink r:id="rId389">
        <w:r>
          <w:rPr>
            <w:rStyle w:val="Style3"/>
            <w:rFonts w:eastAsia="Times New Roman" w:cs="Times New Roman" w:ascii="Times New Roman" w:hAnsi="Times New Roman"/>
            <w:sz w:val="20"/>
            <w:szCs w:val="20"/>
            <w:lang w:val="en-US" w:eastAsia="ru-RU"/>
          </w:rPr>
          <w:t>mubarakovyeldar@gmail.com</w:t>
        </w:r>
      </w:hyperlink>
      <w:r>
        <w:rPr>
          <w:rFonts w:eastAsia="Times New Roman" w:cs="Times New Roman" w:ascii="Times New Roman" w:hAnsi="Times New Roman"/>
          <w:sz w:val="20"/>
          <w:szCs w:val="20"/>
          <w:lang w:val="en-US" w:eastAsia="ru-RU"/>
        </w:rPr>
        <w:t>;</w:t>
      </w:r>
    </w:p>
    <w:p>
      <w:pPr>
        <w:pStyle w:val="Normal"/>
        <w:tabs>
          <w:tab w:val="clear" w:pos="708"/>
          <w:tab w:val="left" w:pos="284" w:leader="none"/>
        </w:tabs>
        <w:spacing w:lineRule="auto" w:line="240" w:before="0" w:after="0"/>
        <w:contextualSpacing/>
        <w:jc w:val="both"/>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Zirkler</w:t>
      </w:r>
      <w:r>
        <w:rPr>
          <w:rFonts w:cs="Times New Roman" w:ascii="Times New Roman" w:hAnsi="Times New Roman"/>
          <w:sz w:val="20"/>
          <w:szCs w:val="20"/>
          <w:lang w:val="en-US"/>
        </w:rPr>
        <w:t xml:space="preserve"> </w:t>
      </w:r>
      <w:r>
        <w:rPr>
          <w:rFonts w:eastAsia="Times New Roman" w:cs="Times New Roman" w:ascii="Times New Roman" w:hAnsi="Times New Roman"/>
          <w:color w:val="000000"/>
          <w:sz w:val="20"/>
          <w:szCs w:val="20"/>
          <w:lang w:val="en-US"/>
        </w:rPr>
        <w:t>B.</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b/>
          <w:color w:val="000000"/>
          <w:sz w:val="20"/>
          <w:szCs w:val="20"/>
          <w:lang w:val="kk-KZ"/>
        </w:rPr>
        <w:t xml:space="preserve"> </w:t>
      </w:r>
      <w:r>
        <w:rPr>
          <w:rFonts w:eastAsia="Times New Roman" w:cs="Times New Roman" w:ascii="Times New Roman" w:hAnsi="Times New Roman"/>
          <w:color w:val="000000"/>
          <w:sz w:val="20"/>
          <w:szCs w:val="20"/>
          <w:lang w:val="en-US"/>
        </w:rPr>
        <w:t>PhD, professor, Westsächsische Hochschule Zwickau – University of Applied Sciences, Zwickau,</w:t>
      </w:r>
      <w:r>
        <w:rPr>
          <w:rFonts w:eastAsia="Times New Roman" w:cs="Times New Roman" w:ascii="Times New Roman" w:hAnsi="Times New Roman"/>
          <w:color w:val="000000"/>
          <w:sz w:val="20"/>
          <w:szCs w:val="20"/>
          <w:lang w:val="kk-KZ"/>
        </w:rPr>
        <w:t xml:space="preserve"> </w:t>
      </w:r>
      <w:r>
        <w:rPr>
          <w:rFonts w:eastAsia="Times New Roman" w:cs="Times New Roman" w:ascii="Times New Roman" w:hAnsi="Times New Roman"/>
          <w:color w:val="000000"/>
          <w:sz w:val="20"/>
          <w:szCs w:val="20"/>
          <w:lang w:val="en-US"/>
        </w:rPr>
        <w:t>Germany; e-mail: bernd.zirkler@fh-zwickau.de;</w:t>
      </w:r>
      <w:r>
        <w:rPr>
          <w:rFonts w:eastAsia="Calibri" w:cs="Times New Roman" w:ascii="Times New Roman" w:hAnsi="Times New Roman"/>
          <w:sz w:val="20"/>
          <w:szCs w:val="20"/>
          <w:lang w:val="en-US"/>
        </w:rPr>
        <w:t xml:space="preserve"> </w:t>
      </w:r>
    </w:p>
    <w:p>
      <w:pPr>
        <w:pStyle w:val="Normal"/>
        <w:tabs>
          <w:tab w:val="clear" w:pos="708"/>
          <w:tab w:val="left" w:pos="284" w:leader="none"/>
        </w:tabs>
        <w:spacing w:lineRule="auto" w:line="240" w:before="0" w:after="0"/>
        <w:contextualSpacing/>
        <w:jc w:val="both"/>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Sumareva Y.Y. - senior lecturer-researcher of the Business Department, Kazakh-American Free University, </w:t>
      </w:r>
      <w:r>
        <w:rPr>
          <w:rFonts w:eastAsia="Times New Roman" w:cs="Times New Roman" w:ascii="Times New Roman" w:hAnsi="Times New Roman"/>
          <w:color w:val="000000"/>
          <w:sz w:val="20"/>
          <w:szCs w:val="20"/>
          <w:lang w:val="en-US"/>
        </w:rPr>
        <w:t>Oskemen</w:t>
      </w:r>
      <w:r>
        <w:rPr>
          <w:rFonts w:eastAsia="Times New Roman" w:cs="Times New Roman" w:ascii="Times New Roman" w:hAnsi="Times New Roman"/>
          <w:sz w:val="20"/>
          <w:szCs w:val="20"/>
          <w:lang w:val="en-US"/>
        </w:rPr>
        <w:t>,</w:t>
      </w:r>
      <w:r>
        <w:rPr>
          <w:rFonts w:eastAsia="Times New Roman" w:cs="Times New Roman" w:ascii="Times New Roman" w:hAnsi="Times New Roman"/>
          <w:color w:val="000000"/>
          <w:sz w:val="20"/>
          <w:szCs w:val="20"/>
          <w:lang w:val="en-US"/>
        </w:rPr>
        <w:t xml:space="preserve"> Kazakhstan, </w:t>
      </w:r>
      <w:r>
        <w:rPr>
          <w:rFonts w:eastAsia="Times New Roman" w:cs="Times New Roman" w:ascii="Times New Roman" w:hAnsi="Times New Roman"/>
          <w:sz w:val="20"/>
          <w:szCs w:val="20"/>
          <w:lang w:val="en-US"/>
        </w:rPr>
        <w:t>e-mail: xee_89@mail.ru;</w:t>
      </w:r>
    </w:p>
    <w:p>
      <w:pPr>
        <w:pStyle w:val="Normal"/>
        <w:tabs>
          <w:tab w:val="clear" w:pos="708"/>
          <w:tab w:val="left" w:pos="284" w:leader="none"/>
        </w:tabs>
        <w:spacing w:lineRule="auto" w:line="240" w:before="0" w:after="0"/>
        <w:contextualSpacing/>
        <w:jc w:val="both"/>
        <w:rPr>
          <w:rFonts w:ascii="Times New Roman" w:hAnsi="Times New Roman" w:eastAsia="Times New Roman" w:cs="Times New Roman"/>
          <w:sz w:val="20"/>
          <w:szCs w:val="20"/>
          <w:lang w:val="kk-KZ"/>
        </w:rPr>
      </w:pPr>
      <w:r>
        <w:rPr>
          <w:rFonts w:eastAsia="Times New Roman" w:cs="Times New Roman" w:ascii="Times New Roman" w:hAnsi="Times New Roman"/>
          <w:sz w:val="20"/>
          <w:szCs w:val="20"/>
          <w:lang w:val="en-US"/>
        </w:rPr>
        <w:t>Bukhryakova A.S.</w:t>
      </w:r>
      <w:r>
        <w:rPr>
          <w:rFonts w:eastAsia="Times New Roman" w:cs="Times New Roman" w:ascii="Times New Roman" w:hAnsi="Times New Roman"/>
          <w:sz w:val="20"/>
          <w:szCs w:val="20"/>
          <w:lang w:val="kk-KZ"/>
        </w:rPr>
        <w:t xml:space="preserve"> </w:t>
      </w:r>
      <w:r>
        <w:rPr>
          <w:rFonts w:eastAsia="Times New Roman" w:cs="Times New Roman" w:ascii="Times New Roman" w:hAnsi="Times New Roman"/>
          <w:sz w:val="20"/>
          <w:szCs w:val="20"/>
          <w:lang w:val="en-US"/>
        </w:rPr>
        <w:t>– master’s student</w:t>
      </w:r>
      <w:r>
        <w:rPr>
          <w:rFonts w:eastAsia="Times New Roman" w:cs="Times New Roman" w:ascii="Times New Roman" w:hAnsi="Times New Roman"/>
          <w:sz w:val="20"/>
          <w:szCs w:val="20"/>
          <w:lang w:val="kk-KZ"/>
        </w:rPr>
        <w:t>,</w:t>
      </w:r>
      <w:r>
        <w:rPr>
          <w:rFonts w:eastAsia="Times New Roman" w:cs="Times New Roman" w:ascii="Times New Roman" w:hAnsi="Times New Roman"/>
          <w:color w:val="000000"/>
          <w:sz w:val="20"/>
          <w:szCs w:val="20"/>
          <w:lang w:val="en-US"/>
        </w:rPr>
        <w:t xml:space="preserve"> Kazakh-American Free University, Oskemen, Kazakhstan</w:t>
      </w:r>
      <w:r>
        <w:rPr>
          <w:rFonts w:eastAsia="Times New Roman" w:cs="Times New Roman" w:ascii="Times New Roman" w:hAnsi="Times New Roman"/>
          <w:sz w:val="20"/>
          <w:szCs w:val="20"/>
          <w:lang w:val="en-US"/>
        </w:rPr>
        <w:t>, e-mail: aminabukhryakova@gmail.com.</w:t>
      </w:r>
    </w:p>
    <w:p>
      <w:pPr>
        <w:pStyle w:val="Normal"/>
        <w:shd w:val="clear" w:color="auto" w:fill="FFFFFF"/>
        <w:tabs>
          <w:tab w:val="clear" w:pos="708"/>
          <w:tab w:val="left" w:pos="1276" w:leader="none"/>
        </w:tabs>
        <w:spacing w:lineRule="auto" w:line="240" w:before="0" w:after="0"/>
        <w:contextualSpacing/>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hd w:val="clear" w:color="auto" w:fill="FFFFFF"/>
        <w:tabs>
          <w:tab w:val="clear" w:pos="708"/>
          <w:tab w:val="left" w:pos="1276" w:leader="none"/>
        </w:tabs>
        <w:spacing w:lineRule="auto" w:line="240" w:before="0" w:after="0"/>
        <w:ind w:firstLine="567"/>
        <w:contextualSpacing/>
        <w:jc w:val="both"/>
        <w:rPr>
          <w:rFonts w:ascii="Times New Roman" w:hAnsi="Times New Roman" w:eastAsia="Times New Roman" w:cs="Times New Roman"/>
          <w:b/>
          <w:bCs/>
          <w:i/>
          <w:i/>
          <w:iCs/>
          <w:sz w:val="24"/>
          <w:szCs w:val="24"/>
          <w:lang w:val="kk-KZ" w:eastAsia="ru-RU"/>
        </w:rPr>
      </w:pPr>
      <w:r>
        <w:rPr>
          <w:rFonts w:eastAsia="Times New Roman" w:cs="Times New Roman" w:ascii="Times New Roman" w:hAnsi="Times New Roman"/>
          <w:b/>
          <w:bCs/>
          <w:i/>
          <w:iCs/>
          <w:sz w:val="24"/>
          <w:szCs w:val="24"/>
          <w:lang w:val="kk-KZ" w:eastAsia="ru-RU"/>
        </w:rPr>
      </w:r>
    </w:p>
    <w:p>
      <w:pPr>
        <w:pStyle w:val="Normal"/>
        <w:shd w:val="clear" w:color="auto" w:fill="FFFFFF"/>
        <w:tabs>
          <w:tab w:val="clear" w:pos="708"/>
          <w:tab w:val="left" w:pos="1276" w:leader="none"/>
        </w:tabs>
        <w:spacing w:lineRule="auto" w:line="240" w:before="0" w:after="0"/>
        <w:ind w:firstLine="567"/>
        <w:contextualSpacing/>
        <w:jc w:val="both"/>
        <w:rPr>
          <w:rFonts w:ascii="Times New Roman" w:hAnsi="Times New Roman" w:eastAsia="Times New Roman" w:cs="Times New Roman"/>
          <w:b/>
          <w:bCs/>
          <w:i/>
          <w:i/>
          <w:iCs/>
          <w:sz w:val="20"/>
          <w:szCs w:val="20"/>
          <w:lang w:eastAsia="ru-RU"/>
        </w:rPr>
      </w:pPr>
      <w:r>
        <w:rPr>
          <w:rFonts w:eastAsia="Times New Roman" w:cs="Times New Roman" w:ascii="Times New Roman" w:hAnsi="Times New Roman"/>
          <w:b/>
          <w:bCs/>
          <w:i/>
          <w:iCs/>
          <w:sz w:val="20"/>
          <w:szCs w:val="20"/>
          <w:lang w:eastAsia="ru-RU"/>
        </w:rPr>
        <w:t>Сведения об авторах</w:t>
      </w:r>
    </w:p>
    <w:p>
      <w:pPr>
        <w:pStyle w:val="Normal"/>
        <w:shd w:val="clear" w:color="auto" w:fill="FFFFFF"/>
        <w:tabs>
          <w:tab w:val="clear" w:pos="708"/>
          <w:tab w:val="left" w:pos="1276" w:leader="none"/>
        </w:tabs>
        <w:spacing w:lineRule="auto" w:line="240" w:before="0" w:after="0"/>
        <w:ind w:firstLine="567"/>
        <w:contextualSpacing/>
        <w:jc w:val="both"/>
        <w:rPr>
          <w:rFonts w:ascii="Times New Roman" w:hAnsi="Times New Roman" w:eastAsia="Times New Roman" w:cs="Times New Roman"/>
          <w:b/>
          <w:bCs/>
          <w:i/>
          <w:i/>
          <w:iCs/>
          <w:sz w:val="20"/>
          <w:szCs w:val="20"/>
          <w:lang w:eastAsia="ru-RU"/>
        </w:rPr>
      </w:pPr>
      <w:r>
        <w:rPr>
          <w:rFonts w:eastAsia="Times New Roman" w:cs="Times New Roman" w:ascii="Times New Roman" w:hAnsi="Times New Roman"/>
          <w:b/>
          <w:bCs/>
          <w:i/>
          <w:iCs/>
          <w:sz w:val="20"/>
          <w:szCs w:val="20"/>
          <w:lang w:eastAsia="ru-RU"/>
        </w:rPr>
      </w:r>
    </w:p>
    <w:p>
      <w:pPr>
        <w:pStyle w:val="Normal"/>
        <w:shd w:val="clear" w:color="auto" w:fill="FFFFFF"/>
        <w:tabs>
          <w:tab w:val="clear" w:pos="708"/>
          <w:tab w:val="left" w:pos="1276"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Линок Я.Н.- </w:t>
      </w:r>
      <w:r>
        <w:rPr>
          <w:rFonts w:eastAsia="Times New Roman" w:cs="Times New Roman" w:ascii="Times New Roman" w:hAnsi="Times New Roman"/>
          <w:sz w:val="20"/>
          <w:szCs w:val="20"/>
          <w:lang w:val="en-US" w:eastAsia="ru-RU"/>
        </w:rPr>
        <w:t>c</w:t>
      </w:r>
      <w:r>
        <w:rPr>
          <w:rFonts w:eastAsia="Times New Roman" w:cs="Times New Roman" w:ascii="Times New Roman" w:hAnsi="Times New Roman"/>
          <w:sz w:val="20"/>
          <w:szCs w:val="20"/>
          <w:lang w:eastAsia="ru-RU"/>
        </w:rPr>
        <w:t xml:space="preserve">тудент, Казахстанско-Американский свободный университет, Усть-Каменогорск, Казахстан, </w:t>
      </w:r>
      <w:r>
        <w:rPr>
          <w:rFonts w:eastAsia="Times New Roman" w:cs="Times New Roman" w:ascii="Times New Roman" w:hAnsi="Times New Roman"/>
          <w:sz w:val="20"/>
          <w:szCs w:val="20"/>
          <w:lang w:val="en-US" w:eastAsia="ru-RU"/>
        </w:rPr>
        <w:t>e</w:t>
      </w:r>
      <w:r>
        <w:rPr>
          <w:rFonts w:eastAsia="Times New Roman" w:cs="Times New Roman" w:ascii="Times New Roman" w:hAnsi="Times New Roman"/>
          <w:sz w:val="20"/>
          <w:szCs w:val="20"/>
          <w:lang w:eastAsia="ru-RU"/>
        </w:rPr>
        <w:t>-</w:t>
      </w:r>
      <w:r>
        <w:rPr>
          <w:rFonts w:eastAsia="Times New Roman" w:cs="Times New Roman" w:ascii="Times New Roman" w:hAnsi="Times New Roman"/>
          <w:sz w:val="20"/>
          <w:szCs w:val="20"/>
          <w:lang w:val="en-US" w:eastAsia="ru-RU"/>
        </w:rPr>
        <w:t>mail</w:t>
      </w: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val="en-US" w:eastAsia="ru-RU"/>
        </w:rPr>
        <w:t>linok</w:t>
      </w:r>
      <w:r>
        <w:rPr>
          <w:rFonts w:eastAsia="Times New Roman" w:cs="Times New Roman" w:ascii="Times New Roman" w:hAnsi="Times New Roman"/>
          <w:sz w:val="20"/>
          <w:szCs w:val="20"/>
          <w:lang w:eastAsia="ru-RU"/>
        </w:rPr>
        <w:t>_</w:t>
      </w:r>
      <w:r>
        <w:rPr>
          <w:rFonts w:eastAsia="Times New Roman" w:cs="Times New Roman" w:ascii="Times New Roman" w:hAnsi="Times New Roman"/>
          <w:sz w:val="20"/>
          <w:szCs w:val="20"/>
          <w:lang w:val="en-US" w:eastAsia="ru-RU"/>
        </w:rPr>
        <w:t>yana</w:t>
      </w:r>
      <w:r>
        <w:rPr>
          <w:rFonts w:eastAsia="Times New Roman" w:cs="Times New Roman" w:ascii="Times New Roman" w:hAnsi="Times New Roman"/>
          <w:sz w:val="20"/>
          <w:szCs w:val="20"/>
          <w:lang w:eastAsia="ru-RU"/>
        </w:rPr>
        <w:t>@</w:t>
      </w:r>
      <w:r>
        <w:rPr>
          <w:rFonts w:eastAsia="Times New Roman" w:cs="Times New Roman" w:ascii="Times New Roman" w:hAnsi="Times New Roman"/>
          <w:sz w:val="20"/>
          <w:szCs w:val="20"/>
          <w:lang w:val="en-US" w:eastAsia="ru-RU"/>
        </w:rPr>
        <w:t>bk</w:t>
      </w:r>
      <w:r>
        <w:rPr>
          <w:rFonts w:eastAsia="Times New Roman" w:cs="Times New Roman" w:ascii="Times New Roman" w:hAnsi="Times New Roman"/>
          <w:sz w:val="20"/>
          <w:szCs w:val="20"/>
          <w:lang w:eastAsia="ru-RU"/>
        </w:rPr>
        <w:t>.</w:t>
      </w:r>
      <w:r>
        <w:rPr>
          <w:rFonts w:eastAsia="Times New Roman" w:cs="Times New Roman" w:ascii="Times New Roman" w:hAnsi="Times New Roman"/>
          <w:sz w:val="20"/>
          <w:szCs w:val="20"/>
          <w:lang w:val="en-US" w:eastAsia="ru-RU"/>
        </w:rPr>
        <w:t>ru</w:t>
      </w:r>
      <w:r>
        <w:rPr>
          <w:rFonts w:eastAsia="Times New Roman" w:cs="Times New Roman" w:ascii="Times New Roman" w:hAnsi="Times New Roman"/>
          <w:sz w:val="20"/>
          <w:szCs w:val="20"/>
          <w:lang w:eastAsia="ru-RU"/>
        </w:rPr>
        <w:t>;</w:t>
      </w:r>
    </w:p>
    <w:p>
      <w:pPr>
        <w:pStyle w:val="Normal"/>
        <w:shd w:val="clear" w:color="auto" w:fill="FFFFFF"/>
        <w:tabs>
          <w:tab w:val="clear" w:pos="708"/>
          <w:tab w:val="left" w:pos="1276"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Мубараков Е.Е. - </w:t>
      </w:r>
      <w:r>
        <w:rPr>
          <w:rFonts w:eastAsia="Times New Roman" w:cs="Times New Roman" w:ascii="Times New Roman" w:hAnsi="Times New Roman"/>
          <w:color w:val="000000"/>
          <w:spacing w:val="-1"/>
          <w:sz w:val="20"/>
          <w:szCs w:val="20"/>
          <w:lang w:val="kk-KZ" w:eastAsia="ru-RU"/>
        </w:rPr>
        <w:t>PhD</w:t>
      </w:r>
      <w:r>
        <w:rPr>
          <w:rFonts w:eastAsia="Times New Roman" w:cs="Times New Roman" w:ascii="Times New Roman" w:hAnsi="Times New Roman"/>
          <w:sz w:val="20"/>
          <w:szCs w:val="20"/>
          <w:lang w:val="kk-KZ" w:eastAsia="ru-RU"/>
        </w:rPr>
        <w:t xml:space="preserve"> докторант</w:t>
      </w:r>
      <w:r>
        <w:rPr>
          <w:rFonts w:eastAsia="Times New Roman" w:cs="Times New Roman" w:ascii="Times New Roman" w:hAnsi="Times New Roman"/>
          <w:sz w:val="20"/>
          <w:szCs w:val="20"/>
          <w:lang w:eastAsia="ru-RU"/>
        </w:rPr>
        <w:t xml:space="preserve">, Казахстанско-Американский свободный университет, Усть-Каменогорск, Казахстан, </w:t>
      </w:r>
      <w:r>
        <w:rPr>
          <w:rFonts w:eastAsia="Times New Roman" w:cs="Times New Roman" w:ascii="Times New Roman" w:hAnsi="Times New Roman"/>
          <w:sz w:val="20"/>
          <w:szCs w:val="20"/>
          <w:lang w:val="en-US" w:eastAsia="ru-RU"/>
        </w:rPr>
        <w:t>e</w:t>
      </w:r>
      <w:r>
        <w:rPr>
          <w:rFonts w:eastAsia="Times New Roman" w:cs="Times New Roman" w:ascii="Times New Roman" w:hAnsi="Times New Roman"/>
          <w:sz w:val="20"/>
          <w:szCs w:val="20"/>
          <w:lang w:eastAsia="ru-RU"/>
        </w:rPr>
        <w:t>-</w:t>
      </w:r>
      <w:r>
        <w:rPr>
          <w:rFonts w:eastAsia="Times New Roman" w:cs="Times New Roman" w:ascii="Times New Roman" w:hAnsi="Times New Roman"/>
          <w:sz w:val="20"/>
          <w:szCs w:val="20"/>
          <w:lang w:val="en-US" w:eastAsia="ru-RU"/>
        </w:rPr>
        <w:t>mail</w:t>
      </w:r>
      <w:r>
        <w:rPr>
          <w:rFonts w:eastAsia="Times New Roman" w:cs="Times New Roman" w:ascii="Times New Roman" w:hAnsi="Times New Roman"/>
          <w:sz w:val="20"/>
          <w:szCs w:val="20"/>
          <w:lang w:eastAsia="ru-RU"/>
        </w:rPr>
        <w:t xml:space="preserve">: </w:t>
      </w:r>
      <w:hyperlink r:id="rId390">
        <w:r>
          <w:rPr>
            <w:rStyle w:val="Style3"/>
            <w:rFonts w:eastAsia="Times New Roman" w:cs="Times New Roman" w:ascii="Times New Roman" w:hAnsi="Times New Roman"/>
            <w:sz w:val="20"/>
            <w:szCs w:val="20"/>
            <w:lang w:val="en-US" w:eastAsia="ru-RU"/>
          </w:rPr>
          <w:t>mubarakovyeldar</w:t>
        </w:r>
        <w:r>
          <w:rPr>
            <w:rStyle w:val="Style3"/>
            <w:rFonts w:eastAsia="Times New Roman" w:cs="Times New Roman" w:ascii="Times New Roman" w:hAnsi="Times New Roman"/>
            <w:sz w:val="20"/>
            <w:szCs w:val="20"/>
            <w:lang w:eastAsia="ru-RU"/>
          </w:rPr>
          <w:t>@</w:t>
        </w:r>
        <w:r>
          <w:rPr>
            <w:rStyle w:val="Style3"/>
            <w:rFonts w:eastAsia="Times New Roman" w:cs="Times New Roman" w:ascii="Times New Roman" w:hAnsi="Times New Roman"/>
            <w:sz w:val="20"/>
            <w:szCs w:val="20"/>
            <w:lang w:val="en-US" w:eastAsia="ru-RU"/>
          </w:rPr>
          <w:t>gmail</w:t>
        </w:r>
        <w:r>
          <w:rPr>
            <w:rStyle w:val="Style3"/>
            <w:rFonts w:eastAsia="Times New Roman" w:cs="Times New Roman" w:ascii="Times New Roman" w:hAnsi="Times New Roman"/>
            <w:sz w:val="20"/>
            <w:szCs w:val="20"/>
            <w:lang w:eastAsia="ru-RU"/>
          </w:rPr>
          <w:t>.</w:t>
        </w:r>
        <w:r>
          <w:rPr>
            <w:rStyle w:val="Style3"/>
            <w:rFonts w:eastAsia="Times New Roman" w:cs="Times New Roman" w:ascii="Times New Roman" w:hAnsi="Times New Roman"/>
            <w:sz w:val="20"/>
            <w:szCs w:val="20"/>
            <w:lang w:val="en-US" w:eastAsia="ru-RU"/>
          </w:rPr>
          <w:t>com</w:t>
        </w:r>
      </w:hyperlink>
      <w:r>
        <w:rPr>
          <w:rFonts w:eastAsia="Times New Roman" w:cs="Times New Roman" w:ascii="Times New Roman" w:hAnsi="Times New Roman"/>
          <w:sz w:val="20"/>
          <w:szCs w:val="20"/>
          <w:lang w:eastAsia="ru-RU"/>
        </w:rPr>
        <w:t>;</w:t>
      </w:r>
    </w:p>
    <w:p>
      <w:pPr>
        <w:pStyle w:val="Normal"/>
        <w:widowControl w:val="false"/>
        <w:spacing w:lineRule="auto" w:line="240" w:before="0" w:after="0"/>
        <w:contextualSpacing/>
        <w:jc w:val="both"/>
        <w:rPr>
          <w:rFonts w:ascii="Times New Roman" w:hAnsi="Times New Roman" w:eastAsia="Times New Roman" w:cs="Times New Roman"/>
          <w:color w:val="000000"/>
          <w:sz w:val="20"/>
          <w:szCs w:val="20"/>
        </w:rPr>
      </w:pPr>
      <w:r>
        <w:rPr>
          <w:rFonts w:eastAsia="Times New Roman" w:cs="Times New Roman" w:ascii="Times New Roman" w:hAnsi="Times New Roman"/>
          <w:color w:val="000000"/>
          <w:spacing w:val="-1"/>
          <w:sz w:val="20"/>
          <w:szCs w:val="20"/>
          <w:lang w:val="kk-KZ"/>
        </w:rPr>
        <w:t xml:space="preserve">Цирклер Б. </w:t>
      </w:r>
      <w:r>
        <w:rPr>
          <w:rFonts w:eastAsia="Times New Roman" w:cs="Times New Roman" w:ascii="Times New Roman" w:hAnsi="Times New Roman"/>
          <w:color w:val="000000"/>
          <w:sz w:val="20"/>
          <w:szCs w:val="20"/>
        </w:rPr>
        <w:t>-</w:t>
      </w:r>
      <w:r>
        <w:rPr>
          <w:rFonts w:eastAsia="Times New Roman" w:cs="Times New Roman" w:ascii="Times New Roman" w:hAnsi="Times New Roman"/>
          <w:color w:val="000000"/>
          <w:sz w:val="20"/>
          <w:szCs w:val="20"/>
          <w:lang w:val="kk-KZ"/>
        </w:rPr>
        <w:t xml:space="preserve"> </w:t>
      </w:r>
      <w:r>
        <w:rPr>
          <w:rFonts w:eastAsia="Times New Roman" w:cs="Times New Roman" w:ascii="Times New Roman" w:hAnsi="Times New Roman"/>
          <w:color w:val="000000"/>
          <w:spacing w:val="-1"/>
          <w:sz w:val="20"/>
          <w:szCs w:val="20"/>
          <w:lang w:val="kk-KZ"/>
        </w:rPr>
        <w:t>PhD,</w:t>
      </w:r>
      <w:r>
        <w:rPr>
          <w:rFonts w:eastAsia="Times New Roman" w:cs="Times New Roman" w:ascii="Times New Roman" w:hAnsi="Times New Roman"/>
          <w:color w:val="000000"/>
          <w:sz w:val="20"/>
          <w:szCs w:val="20"/>
          <w:lang w:val="kk-KZ"/>
        </w:rPr>
        <w:t xml:space="preserve"> </w:t>
      </w:r>
      <w:r>
        <w:rPr>
          <w:rFonts w:eastAsia="Times New Roman" w:cs="Times New Roman" w:ascii="Times New Roman" w:hAnsi="Times New Roman"/>
          <w:color w:val="000000"/>
          <w:spacing w:val="-1"/>
          <w:sz w:val="20"/>
          <w:szCs w:val="20"/>
          <w:lang w:val="kk-KZ"/>
        </w:rPr>
        <w:t xml:space="preserve">профессор, Westsächsische Hochschule Zwickau </w:t>
      </w:r>
      <w:r>
        <w:rPr>
          <w:rFonts w:eastAsia="Times New Roman" w:cs="Times New Roman" w:ascii="Times New Roman" w:hAnsi="Times New Roman"/>
          <w:color w:val="000000"/>
          <w:spacing w:val="-1"/>
          <w:sz w:val="20"/>
          <w:szCs w:val="20"/>
        </w:rPr>
        <w:t>-</w:t>
      </w:r>
      <w:r>
        <w:rPr>
          <w:rFonts w:eastAsia="Times New Roman" w:cs="Times New Roman" w:ascii="Times New Roman" w:hAnsi="Times New Roman"/>
          <w:color w:val="000000"/>
          <w:spacing w:val="-1"/>
          <w:sz w:val="20"/>
          <w:szCs w:val="20"/>
          <w:lang w:val="kk-KZ"/>
        </w:rPr>
        <w:t>Университет прикладных наук, Цвиккау, Германия</w:t>
      </w:r>
      <w:r>
        <w:rPr>
          <w:rFonts w:eastAsia="Times New Roman" w:cs="Times New Roman" w:ascii="Times New Roman" w:hAnsi="Times New Roman"/>
          <w:color w:val="000000"/>
          <w:sz w:val="20"/>
          <w:szCs w:val="20"/>
          <w:lang w:val="kk-KZ"/>
        </w:rPr>
        <w:t>, е-mail:</w:t>
      </w:r>
      <w:r>
        <w:rPr>
          <w:rFonts w:eastAsia="Times New Roman" w:cs="Times New Roman" w:ascii="Times New Roman" w:hAnsi="Times New Roman"/>
          <w:color w:val="000000"/>
          <w:sz w:val="20"/>
          <w:szCs w:val="20"/>
          <w:lang w:val="kk-KZ" w:eastAsia="ru-RU"/>
        </w:rPr>
        <w:t xml:space="preserve"> </w:t>
      </w:r>
      <w:r>
        <w:rPr>
          <w:rFonts w:eastAsia="Calibri" w:cs="Times New Roman" w:ascii="Times New Roman" w:hAnsi="Times New Roman"/>
          <w:sz w:val="20"/>
          <w:szCs w:val="20"/>
          <w:lang w:val="kk-KZ"/>
        </w:rPr>
        <w:t>bernd.zirkler@fh-zwickau.de</w:t>
      </w:r>
      <w:r>
        <w:rPr>
          <w:rFonts w:eastAsia="Calibri" w:cs="Times New Roman" w:ascii="Times New Roman" w:hAnsi="Times New Roman"/>
          <w:sz w:val="20"/>
          <w:szCs w:val="20"/>
        </w:rPr>
        <w:t>;</w:t>
      </w:r>
    </w:p>
    <w:p>
      <w:pPr>
        <w:pStyle w:val="Normal"/>
        <w:widowControl w:val="false"/>
        <w:spacing w:lineRule="auto" w:line="240" w:before="0" w:after="0"/>
        <w:contextualSpacing/>
        <w:jc w:val="both"/>
        <w:rPr>
          <w:rFonts w:ascii="Times New Roman" w:hAnsi="Times New Roman" w:eastAsia="Times New Roman" w:cs="Times New Roman"/>
          <w:color w:val="000000"/>
          <w:spacing w:val="-1"/>
          <w:sz w:val="20"/>
          <w:szCs w:val="20"/>
          <w:lang w:val="kk-KZ"/>
        </w:rPr>
      </w:pPr>
      <w:r>
        <w:rPr>
          <w:rFonts w:eastAsia="Times New Roman" w:cs="Times New Roman" w:ascii="Times New Roman" w:hAnsi="Times New Roman"/>
          <w:sz w:val="20"/>
          <w:szCs w:val="20"/>
          <w:lang w:val="kk-KZ"/>
        </w:rPr>
        <w:t xml:space="preserve">Сумарева Е.Е. </w:t>
      </w:r>
      <w:r>
        <w:rPr>
          <w:rFonts w:eastAsia="Times New Roman" w:cs="Times New Roman" w:ascii="Times New Roman" w:hAnsi="Times New Roman"/>
          <w:b/>
          <w:color w:val="000000"/>
          <w:sz w:val="20"/>
          <w:szCs w:val="20"/>
        </w:rPr>
        <w:t xml:space="preserve">- </w:t>
      </w:r>
      <w:r>
        <w:rPr>
          <w:rFonts w:eastAsia="Times New Roman" w:cs="Times New Roman" w:ascii="Times New Roman" w:hAnsi="Times New Roman"/>
          <w:color w:val="000000"/>
          <w:spacing w:val="-1"/>
          <w:sz w:val="20"/>
          <w:szCs w:val="20"/>
          <w:lang w:val="kk-KZ"/>
        </w:rPr>
        <w:t>старший преподаватель-исследователь кафедры «Бизнеса», Казахстанско-Американский свободный университет,</w:t>
      </w:r>
      <w:r>
        <w:rPr>
          <w:rFonts w:eastAsia="Times New Roman" w:cs="Times New Roman" w:ascii="Times New Roman" w:hAnsi="Times New Roman"/>
          <w:color w:val="000000"/>
          <w:sz w:val="20"/>
          <w:szCs w:val="20"/>
          <w:lang w:val="kk-KZ"/>
        </w:rPr>
        <w:t xml:space="preserve"> Усть-Каменогорск</w:t>
      </w:r>
      <w:r>
        <w:rPr>
          <w:rFonts w:eastAsia="Times New Roman" w:cs="Times New Roman" w:ascii="Times New Roman" w:hAnsi="Times New Roman"/>
          <w:color w:val="000000"/>
          <w:sz w:val="20"/>
          <w:szCs w:val="20"/>
        </w:rPr>
        <w:t>, Казахстан</w:t>
      </w:r>
      <w:r>
        <w:rPr>
          <w:rFonts w:eastAsia="Times New Roman" w:cs="Times New Roman" w:ascii="Times New Roman" w:hAnsi="Times New Roman"/>
          <w:color w:val="000000"/>
          <w:spacing w:val="-1"/>
          <w:sz w:val="20"/>
          <w:szCs w:val="20"/>
          <w:lang w:val="kk-KZ"/>
        </w:rPr>
        <w:t xml:space="preserve">, </w:t>
      </w:r>
      <w:r>
        <w:rPr>
          <w:rFonts w:eastAsia="Times New Roman" w:cs="Times New Roman" w:ascii="Times New Roman" w:hAnsi="Times New Roman"/>
          <w:sz w:val="20"/>
          <w:szCs w:val="20"/>
          <w:lang w:val="kk-KZ"/>
        </w:rPr>
        <w:t>е</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fr-FR"/>
        </w:rPr>
        <w:t>mail</w:t>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lang w:val="fr-FR"/>
        </w:rPr>
        <w:t>xee</w:t>
      </w:r>
      <w:r>
        <w:rPr>
          <w:rFonts w:eastAsia="Times New Roman" w:cs="Times New Roman" w:ascii="Times New Roman" w:hAnsi="Times New Roman"/>
          <w:sz w:val="20"/>
          <w:szCs w:val="20"/>
        </w:rPr>
        <w:t>_89@</w:t>
      </w:r>
      <w:r>
        <w:rPr>
          <w:rFonts w:eastAsia="Times New Roman" w:cs="Times New Roman" w:ascii="Times New Roman" w:hAnsi="Times New Roman"/>
          <w:sz w:val="20"/>
          <w:szCs w:val="20"/>
          <w:lang w:val="fr-FR"/>
        </w:rPr>
        <w:t>mail</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fr-FR"/>
        </w:rPr>
        <w:t>ru;</w:t>
      </w:r>
    </w:p>
    <w:p>
      <w:pPr>
        <w:pStyle w:val="Normal"/>
        <w:widowControl w:val="false"/>
        <w:spacing w:lineRule="auto" w:line="240" w:before="0" w:after="0"/>
        <w:contextualSpacing/>
        <w:jc w:val="both"/>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lang w:val="kk-KZ"/>
        </w:rPr>
        <w:t xml:space="preserve">Бухрякова А.С. </w:t>
      </w:r>
      <w:r>
        <w:rPr>
          <w:rFonts w:eastAsia="Times New Roman" w:cs="Times New Roman" w:ascii="Times New Roman" w:hAnsi="Times New Roman"/>
          <w:color w:val="000000"/>
          <w:sz w:val="20"/>
          <w:szCs w:val="20"/>
        </w:rPr>
        <w:t>-</w:t>
      </w:r>
      <w:r>
        <w:rPr>
          <w:rFonts w:eastAsia="Times New Roman" w:cs="Times New Roman" w:ascii="Times New Roman" w:hAnsi="Times New Roman"/>
          <w:color w:val="000000"/>
          <w:sz w:val="20"/>
          <w:szCs w:val="20"/>
          <w:lang w:val="kk-KZ"/>
        </w:rPr>
        <w:t xml:space="preserve"> магистрант,</w:t>
      </w:r>
      <w:r>
        <w:rPr>
          <w:rFonts w:eastAsia="Times New Roman" w:cs="Times New Roman" w:ascii="Times New Roman" w:hAnsi="Times New Roman"/>
          <w:b/>
          <w:color w:val="000000"/>
          <w:sz w:val="20"/>
          <w:szCs w:val="20"/>
          <w:lang w:val="kk-KZ"/>
        </w:rPr>
        <w:t xml:space="preserve"> </w:t>
      </w:r>
      <w:r>
        <w:rPr>
          <w:rFonts w:eastAsia="Times New Roman" w:cs="Times New Roman" w:ascii="Times New Roman" w:hAnsi="Times New Roman"/>
          <w:color w:val="000000"/>
          <w:spacing w:val="-1"/>
          <w:sz w:val="20"/>
          <w:szCs w:val="20"/>
          <w:lang w:val="kk-KZ"/>
        </w:rPr>
        <w:t>Казахстанско-Американский свободный университет,</w:t>
      </w:r>
      <w:r>
        <w:rPr>
          <w:rFonts w:eastAsia="Times New Roman" w:cs="Times New Roman" w:ascii="Times New Roman" w:hAnsi="Times New Roman"/>
          <w:color w:val="000000"/>
          <w:sz w:val="20"/>
          <w:szCs w:val="20"/>
          <w:lang w:val="kk-KZ"/>
        </w:rPr>
        <w:t xml:space="preserve"> Усть-Каменогорск</w:t>
      </w:r>
      <w:r>
        <w:rPr>
          <w:rFonts w:eastAsia="Times New Roman" w:cs="Times New Roman" w:ascii="Times New Roman" w:hAnsi="Times New Roman"/>
          <w:color w:val="000000"/>
          <w:sz w:val="20"/>
          <w:szCs w:val="20"/>
        </w:rPr>
        <w:t>, Казахстан</w:t>
      </w:r>
      <w:r>
        <w:rPr>
          <w:rFonts w:eastAsia="Times New Roman" w:cs="Times New Roman" w:ascii="Times New Roman" w:hAnsi="Times New Roman"/>
          <w:color w:val="000000"/>
          <w:sz w:val="20"/>
          <w:szCs w:val="20"/>
          <w:lang w:val="kk-KZ"/>
        </w:rPr>
        <w:t xml:space="preserve">, </w:t>
      </w:r>
      <w:r>
        <w:rPr>
          <w:rFonts w:eastAsia="Times New Roman" w:cs="Times New Roman" w:ascii="Times New Roman" w:hAnsi="Times New Roman"/>
          <w:sz w:val="20"/>
          <w:szCs w:val="20"/>
          <w:lang w:val="kk-KZ"/>
        </w:rPr>
        <w:t>е</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fr-FR"/>
        </w:rPr>
        <w:t>mail</w:t>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lang w:val="fr-FR"/>
        </w:rPr>
        <w:t>aminabukhryakova</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fr-FR"/>
        </w:rPr>
        <w:t>gmail</w:t>
      </w:r>
      <w:r>
        <w:rPr>
          <w:rFonts w:eastAsia="Times New Roman" w:cs="Times New Roman" w:ascii="Times New Roman" w:hAnsi="Times New Roman"/>
          <w:sz w:val="20"/>
          <w:szCs w:val="20"/>
        </w:rPr>
        <w:t>.</w:t>
      </w:r>
      <w:r>
        <w:rPr>
          <w:rFonts w:eastAsia="Times New Roman" w:cs="Times New Roman" w:ascii="Times New Roman" w:hAnsi="Times New Roman"/>
          <w:sz w:val="20"/>
          <w:szCs w:val="20"/>
          <w:lang w:val="fr-FR"/>
        </w:rPr>
        <w:t>com.</w:t>
      </w:r>
    </w:p>
    <w:p>
      <w:pPr>
        <w:pStyle w:val="Normal"/>
        <w:shd w:val="clear" w:color="auto" w:fill="FFFFFF"/>
        <w:tabs>
          <w:tab w:val="clear" w:pos="708"/>
          <w:tab w:val="left" w:pos="1276" w:leader="none"/>
        </w:tabs>
        <w:spacing w:lineRule="auto" w:line="240" w:before="0" w:after="0"/>
        <w:contextualSpacing/>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BodyText"/>
        <w:tabs>
          <w:tab w:val="clear" w:pos="708"/>
          <w:tab w:val="left" w:pos="2125" w:leader="none"/>
        </w:tabs>
        <w:ind w:right="-1"/>
        <w:jc w:val="both"/>
        <w:rPr>
          <w:iCs/>
          <w:kern w:val="2"/>
          <w:lang w:val="kk-KZ" w:eastAsia="ru-RU"/>
          <w14:ligatures w14:val="standardContextual"/>
        </w:rPr>
      </w:pPr>
      <w:r>
        <w:rPr>
          <w:iCs/>
          <w:kern w:val="2"/>
          <w:lang w:val="kk-KZ" w:eastAsia="ru-RU"/>
          <w14:ligatures w14:val="standardContextual"/>
        </w:rPr>
      </w:r>
    </w:p>
    <w:p>
      <w:pPr>
        <w:pStyle w:val="Normal"/>
        <w:spacing w:lineRule="auto" w:line="240" w:before="0" w:after="0"/>
        <w:ind w:firstLine="567" w:right="-15"/>
        <w:jc w:val="both"/>
        <w:rPr>
          <w:rFonts w:ascii="Times New Roman" w:hAnsi="Times New Roman" w:cs="Times New Roman"/>
          <w:spacing w:val="-2"/>
          <w:sz w:val="20"/>
          <w:szCs w:val="20"/>
          <w:lang w:val="kk-KZ"/>
        </w:rPr>
      </w:pPr>
      <w:r>
        <w:rPr>
          <w:rFonts w:cs="Times New Roman" w:ascii="Times New Roman" w:hAnsi="Times New Roman"/>
          <w:spacing w:val="-2"/>
          <w:sz w:val="20"/>
          <w:szCs w:val="20"/>
          <w:lang w:val="kk-KZ"/>
        </w:rPr>
      </w:r>
    </w:p>
    <w:p>
      <w:pPr>
        <w:pStyle w:val="Normal"/>
        <w:spacing w:lineRule="auto" w:line="240" w:before="0" w:after="0"/>
        <w:ind w:firstLine="567"/>
        <w:jc w:val="center"/>
        <w:rPr>
          <w:rFonts w:ascii="Times New Roman" w:hAnsi="Times New Roman" w:cs="Times New Roman"/>
          <w:b/>
          <w:bCs/>
          <w:sz w:val="20"/>
          <w:szCs w:val="20"/>
          <w:lang w:val="kk-KZ"/>
        </w:rPr>
      </w:pPr>
      <w:r>
        <w:rPr>
          <w:rFonts w:cs="Times New Roman" w:ascii="Times New Roman" w:hAnsi="Times New Roman"/>
          <w:b/>
          <w:bCs/>
          <w:sz w:val="20"/>
          <w:szCs w:val="20"/>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lang w:val="kk-KZ"/>
        </w:rPr>
      </w:pPr>
      <w:r>
        <w:rPr>
          <w:rFonts w:cs="Times New Roman" w:ascii="Times New Roman" w:hAnsi="Times New Roman"/>
          <w:b/>
          <w:bCs/>
          <w:sz w:val="24"/>
          <w:szCs w:val="24"/>
          <w:lang w:val="kk-KZ"/>
        </w:rPr>
      </w:r>
    </w:p>
    <w:p>
      <w:pPr>
        <w:pStyle w:val="Normal"/>
        <w:spacing w:lineRule="auto" w:line="240" w:before="0" w:after="0"/>
        <w:ind w:firstLine="567"/>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ind w:firstLine="567"/>
        <w:jc w:val="center"/>
        <w:rPr>
          <w:rFonts w:ascii="Times New Roman" w:hAnsi="Times New Roman" w:cs="Times New Roman"/>
          <w:b/>
          <w:bCs/>
          <w:sz w:val="24"/>
          <w:szCs w:val="24"/>
        </w:rPr>
      </w:pPr>
      <w:r>
        <w:rPr>
          <w:rFonts w:cs="Times New Roman" w:ascii="Times New Roman" w:hAnsi="Times New Roman"/>
          <w:b/>
          <w:bCs/>
          <w:sz w:val="24"/>
          <w:szCs w:val="24"/>
        </w:rPr>
      </w:r>
      <w:bookmarkStart w:id="15" w:name="_Hlk214830115"/>
      <w:bookmarkStart w:id="16" w:name="_Hlk214830115"/>
      <w:bookmarkEnd w:id="16"/>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Normal"/>
        <w:tabs>
          <w:tab w:val="clear" w:pos="708"/>
          <w:tab w:val="left" w:pos="993" w:leader="none"/>
        </w:tabs>
        <w:jc w:val="both"/>
        <w:rPr>
          <w:lang w:val="kk-KZ"/>
        </w:rPr>
      </w:pPr>
      <w:r>
        <w:rPr>
          <w:lang w:val="kk-KZ"/>
        </w:rPr>
      </w:r>
    </w:p>
    <w:p>
      <w:pPr>
        <w:pStyle w:val="ListParagraph"/>
        <w:tabs>
          <w:tab w:val="clear" w:pos="708"/>
          <w:tab w:val="left" w:pos="993" w:leader="none"/>
        </w:tabs>
        <w:ind w:left="567"/>
        <w:jc w:val="both"/>
        <w:rPr/>
      </w:pPr>
      <w:r>
        <w:rPr/>
      </w:r>
    </w:p>
    <w:p>
      <w:pPr>
        <w:pStyle w:val="Normal"/>
        <w:spacing w:lineRule="auto" w:line="240" w:before="0" w:after="160"/>
        <w:rPr>
          <w:rFonts w:eastAsia="Times New Roman"/>
          <w:lang w:val="kk-KZ"/>
        </w:rPr>
      </w:pPr>
      <w:r>
        <w:rPr>
          <w:rFonts w:eastAsia="Times New Roman"/>
          <w:lang w:val="kk-KZ"/>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Times New Roman">
    <w:charset w:val="01"/>
    <w:family w:val="roman"/>
    <w:pitch w:val="variable"/>
  </w:font>
  <w:font w:name="Courier">
    <w:altName w:val="Courier New"/>
    <w:charset w:val="01"/>
    <w:family w:val="roman"/>
    <w:pitch w:val="variable"/>
  </w:font>
  <w:font w:name="Lucida Grande">
    <w:charset w:val="01"/>
    <w:family w:val="swiss"/>
    <w:pitch w:val="variable"/>
  </w:font>
  <w:font w:name="Cambria">
    <w:charset w:val="01"/>
    <w:family w:val="roman"/>
    <w:pitch w:val="variable"/>
  </w:font>
  <w:font w:name="Georgia">
    <w:charset w:val="01"/>
    <w:family w:val="roman"/>
    <w:pitch w:val="variable"/>
  </w:font>
  <w:font w:name="Liberation Sans">
    <w:altName w:val="Arial"/>
    <w:charset w:val="01"/>
    <w:family w:val="swiss"/>
    <w:pitch w:val="variable"/>
  </w:font>
  <w:font w:name="Malgun Gothic">
    <w:charset w:val="01"/>
    <w:family w:val="swiss"/>
    <w:pitch w:val="variable"/>
  </w:font>
  <w:font w:name="KZ Times New Roman">
    <w:charset w:val="01"/>
    <w:family w:val="roman"/>
    <w:pitch w:val="variable"/>
  </w:font>
  <w:font w:name="Courier New">
    <w:charset w:val="01"/>
    <w:family w:val="roman"/>
    <w:pitch w:val="variable"/>
  </w:font>
  <w:font w:name="Wingdings">
    <w:charset w:val="02"/>
    <w:family w:val="roman"/>
    <w:pitch w:val="variable"/>
  </w:font>
  <w:font w:name="Montserrat">
    <w:charset w:val="01"/>
    <w:family w:val="roman"/>
    <w:pitch w:val="variable"/>
  </w:font>
  <w:font w:name="Wingdings">
    <w:charset w:val="02"/>
    <w:family w:val="swiss"/>
    <w:pitch w:val="variable"/>
  </w:font>
  <w:font w:name="Wingdings">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Sylfaen">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lvl w:ilvl="0">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3">
    <w:lvl w:ilvl="0">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4">
    <w:lvl w:ilvl="0">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5">
    <w:lvl w:ilvl="0">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lvl w:ilvl="0">
      <w:numFmt w:val="bullet"/>
      <w:lvlText w:val="-"/>
      <w:lvlJc w:val="left"/>
      <w:pPr>
        <w:tabs>
          <w:tab w:val="num" w:pos="0"/>
        </w:tabs>
        <w:ind w:left="1287" w:hanging="360"/>
      </w:pPr>
      <w:rPr>
        <w:rFonts w:ascii="Times New Roman" w:hAnsi="Times New Roman" w:cs="Times New Roman" w:hint="default"/>
      </w:rPr>
    </w:lvl>
    <w:lvl w:ilvl="1">
      <w:start w:val="0"/>
      <w:numFmt w:val="bullet"/>
      <w:lvlText w:val="–"/>
      <w:lvlJc w:val="left"/>
      <w:pPr>
        <w:tabs>
          <w:tab w:val="num" w:pos="0"/>
        </w:tabs>
        <w:ind w:left="2007" w:hanging="360"/>
      </w:pPr>
      <w:rPr>
        <w:rFonts w:ascii="Times New Roman" w:hAnsi="Times New Roman" w:cs="Times New Roman"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7">
    <w:lvl w:ilvl="0">
      <w:numFmt w:val="bullet"/>
      <w:lvlText w:val="-"/>
      <w:lvlJc w:val="left"/>
      <w:pPr>
        <w:tabs>
          <w:tab w:val="num" w:pos="0"/>
        </w:tabs>
        <w:ind w:left="2367" w:hanging="360"/>
      </w:pPr>
      <w:rPr>
        <w:rFonts w:ascii="Times New Roman" w:hAnsi="Times New Roman" w:cs="Times New Roman" w:hint="default"/>
      </w:rPr>
    </w:lvl>
    <w:lvl w:ilvl="1">
      <w:start w:val="1"/>
      <w:numFmt w:val="bullet"/>
      <w:lvlText w:val="o"/>
      <w:lvlJc w:val="left"/>
      <w:pPr>
        <w:tabs>
          <w:tab w:val="num" w:pos="0"/>
        </w:tabs>
        <w:ind w:left="3087" w:hanging="360"/>
      </w:pPr>
      <w:rPr>
        <w:rFonts w:ascii="Courier New" w:hAnsi="Courier New" w:cs="Courier New" w:hint="default"/>
      </w:rPr>
    </w:lvl>
    <w:lvl w:ilvl="2">
      <w:start w:val="1"/>
      <w:numFmt w:val="bullet"/>
      <w:lvlText w:val=""/>
      <w:lvlJc w:val="left"/>
      <w:pPr>
        <w:tabs>
          <w:tab w:val="num" w:pos="0"/>
        </w:tabs>
        <w:ind w:left="3807" w:hanging="360"/>
      </w:pPr>
      <w:rPr>
        <w:rFonts w:ascii="Wingdings" w:hAnsi="Wingdings" w:cs="Wingdings" w:hint="default"/>
      </w:rPr>
    </w:lvl>
    <w:lvl w:ilvl="3">
      <w:start w:val="1"/>
      <w:numFmt w:val="bullet"/>
      <w:lvlText w:val=""/>
      <w:lvlJc w:val="left"/>
      <w:pPr>
        <w:tabs>
          <w:tab w:val="num" w:pos="0"/>
        </w:tabs>
        <w:ind w:left="4527" w:hanging="360"/>
      </w:pPr>
      <w:rPr>
        <w:rFonts w:ascii="Symbol" w:hAnsi="Symbol" w:cs="Symbol" w:hint="default"/>
      </w:rPr>
    </w:lvl>
    <w:lvl w:ilvl="4">
      <w:start w:val="1"/>
      <w:numFmt w:val="bullet"/>
      <w:lvlText w:val="o"/>
      <w:lvlJc w:val="left"/>
      <w:pPr>
        <w:tabs>
          <w:tab w:val="num" w:pos="0"/>
        </w:tabs>
        <w:ind w:left="5247" w:hanging="360"/>
      </w:pPr>
      <w:rPr>
        <w:rFonts w:ascii="Courier New" w:hAnsi="Courier New" w:cs="Courier New" w:hint="default"/>
      </w:rPr>
    </w:lvl>
    <w:lvl w:ilvl="5">
      <w:start w:val="1"/>
      <w:numFmt w:val="bullet"/>
      <w:lvlText w:val=""/>
      <w:lvlJc w:val="left"/>
      <w:pPr>
        <w:tabs>
          <w:tab w:val="num" w:pos="0"/>
        </w:tabs>
        <w:ind w:left="5967" w:hanging="360"/>
      </w:pPr>
      <w:rPr>
        <w:rFonts w:ascii="Wingdings" w:hAnsi="Wingdings" w:cs="Wingdings" w:hint="default"/>
      </w:rPr>
    </w:lvl>
    <w:lvl w:ilvl="6">
      <w:start w:val="1"/>
      <w:numFmt w:val="bullet"/>
      <w:lvlText w:val=""/>
      <w:lvlJc w:val="left"/>
      <w:pPr>
        <w:tabs>
          <w:tab w:val="num" w:pos="0"/>
        </w:tabs>
        <w:ind w:left="6687" w:hanging="360"/>
      </w:pPr>
      <w:rPr>
        <w:rFonts w:ascii="Symbol" w:hAnsi="Symbol" w:cs="Symbol" w:hint="default"/>
      </w:rPr>
    </w:lvl>
    <w:lvl w:ilvl="7">
      <w:start w:val="1"/>
      <w:numFmt w:val="bullet"/>
      <w:lvlText w:val="o"/>
      <w:lvlJc w:val="left"/>
      <w:pPr>
        <w:tabs>
          <w:tab w:val="num" w:pos="0"/>
        </w:tabs>
        <w:ind w:left="7407" w:hanging="360"/>
      </w:pPr>
      <w:rPr>
        <w:rFonts w:ascii="Courier New" w:hAnsi="Courier New" w:cs="Courier New" w:hint="default"/>
      </w:rPr>
    </w:lvl>
    <w:lvl w:ilvl="8">
      <w:start w:val="1"/>
      <w:numFmt w:val="bullet"/>
      <w:lvlText w:val=""/>
      <w:lvlJc w:val="left"/>
      <w:pPr>
        <w:tabs>
          <w:tab w:val="num" w:pos="0"/>
        </w:tabs>
        <w:ind w:left="8127" w:hanging="360"/>
      </w:pPr>
      <w:rPr>
        <w:rFonts w:ascii="Wingdings" w:hAnsi="Wingdings" w:cs="Wingdings" w:hint="default"/>
      </w:rPr>
    </w:lvl>
  </w:abstractNum>
  <w:abstractNum w:abstractNumId="8">
    <w:lvl w:ilvl="0">
      <w:numFmt w:val="bullet"/>
      <w:lvlText w:val="-"/>
      <w:lvlJc w:val="left"/>
      <w:pPr>
        <w:tabs>
          <w:tab w:val="num" w:pos="0"/>
        </w:tabs>
        <w:ind w:left="2367" w:hanging="360"/>
      </w:pPr>
      <w:rPr>
        <w:rFonts w:ascii="Times New Roman" w:hAnsi="Times New Roman" w:cs="Times New Roman" w:hint="default"/>
      </w:rPr>
    </w:lvl>
    <w:lvl w:ilvl="1">
      <w:start w:val="1"/>
      <w:numFmt w:val="bullet"/>
      <w:lvlText w:val="o"/>
      <w:lvlJc w:val="left"/>
      <w:pPr>
        <w:tabs>
          <w:tab w:val="num" w:pos="0"/>
        </w:tabs>
        <w:ind w:left="3087" w:hanging="360"/>
      </w:pPr>
      <w:rPr>
        <w:rFonts w:ascii="Courier New" w:hAnsi="Courier New" w:cs="Courier New" w:hint="default"/>
      </w:rPr>
    </w:lvl>
    <w:lvl w:ilvl="2">
      <w:start w:val="1"/>
      <w:numFmt w:val="bullet"/>
      <w:lvlText w:val=""/>
      <w:lvlJc w:val="left"/>
      <w:pPr>
        <w:tabs>
          <w:tab w:val="num" w:pos="0"/>
        </w:tabs>
        <w:ind w:left="3807" w:hanging="360"/>
      </w:pPr>
      <w:rPr>
        <w:rFonts w:ascii="Wingdings" w:hAnsi="Wingdings" w:cs="Wingdings" w:hint="default"/>
      </w:rPr>
    </w:lvl>
    <w:lvl w:ilvl="3">
      <w:start w:val="1"/>
      <w:numFmt w:val="bullet"/>
      <w:lvlText w:val=""/>
      <w:lvlJc w:val="left"/>
      <w:pPr>
        <w:tabs>
          <w:tab w:val="num" w:pos="0"/>
        </w:tabs>
        <w:ind w:left="4527" w:hanging="360"/>
      </w:pPr>
      <w:rPr>
        <w:rFonts w:ascii="Symbol" w:hAnsi="Symbol" w:cs="Symbol" w:hint="default"/>
      </w:rPr>
    </w:lvl>
    <w:lvl w:ilvl="4">
      <w:start w:val="1"/>
      <w:numFmt w:val="bullet"/>
      <w:lvlText w:val="o"/>
      <w:lvlJc w:val="left"/>
      <w:pPr>
        <w:tabs>
          <w:tab w:val="num" w:pos="0"/>
        </w:tabs>
        <w:ind w:left="5247" w:hanging="360"/>
      </w:pPr>
      <w:rPr>
        <w:rFonts w:ascii="Courier New" w:hAnsi="Courier New" w:cs="Courier New" w:hint="default"/>
      </w:rPr>
    </w:lvl>
    <w:lvl w:ilvl="5">
      <w:start w:val="1"/>
      <w:numFmt w:val="bullet"/>
      <w:lvlText w:val=""/>
      <w:lvlJc w:val="left"/>
      <w:pPr>
        <w:tabs>
          <w:tab w:val="num" w:pos="0"/>
        </w:tabs>
        <w:ind w:left="5967" w:hanging="360"/>
      </w:pPr>
      <w:rPr>
        <w:rFonts w:ascii="Wingdings" w:hAnsi="Wingdings" w:cs="Wingdings" w:hint="default"/>
      </w:rPr>
    </w:lvl>
    <w:lvl w:ilvl="6">
      <w:start w:val="1"/>
      <w:numFmt w:val="bullet"/>
      <w:lvlText w:val=""/>
      <w:lvlJc w:val="left"/>
      <w:pPr>
        <w:tabs>
          <w:tab w:val="num" w:pos="0"/>
        </w:tabs>
        <w:ind w:left="6687" w:hanging="360"/>
      </w:pPr>
      <w:rPr>
        <w:rFonts w:ascii="Symbol" w:hAnsi="Symbol" w:cs="Symbol" w:hint="default"/>
      </w:rPr>
    </w:lvl>
    <w:lvl w:ilvl="7">
      <w:start w:val="1"/>
      <w:numFmt w:val="bullet"/>
      <w:lvlText w:val="o"/>
      <w:lvlJc w:val="left"/>
      <w:pPr>
        <w:tabs>
          <w:tab w:val="num" w:pos="0"/>
        </w:tabs>
        <w:ind w:left="7407" w:hanging="360"/>
      </w:pPr>
      <w:rPr>
        <w:rFonts w:ascii="Courier New" w:hAnsi="Courier New" w:cs="Courier New" w:hint="default"/>
      </w:rPr>
    </w:lvl>
    <w:lvl w:ilvl="8">
      <w:start w:val="1"/>
      <w:numFmt w:val="bullet"/>
      <w:lvlText w:val=""/>
      <w:lvlJc w:val="left"/>
      <w:pPr>
        <w:tabs>
          <w:tab w:val="num" w:pos="0"/>
        </w:tabs>
        <w:ind w:left="8127" w:hanging="360"/>
      </w:pPr>
      <w:rPr>
        <w:rFonts w:ascii="Wingdings" w:hAnsi="Wingdings" w:cs="Wingdings" w:hint="default"/>
      </w:rPr>
    </w:lvl>
  </w:abstractNum>
  <w:abstractNum w:abstractNumId="9">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0">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306" w:hanging="360"/>
      </w:pPr>
      <w:rPr>
        <w:rFonts w:ascii="Times New Roman" w:hAnsi="Times New Roman" w:eastAsia="Calibri" w:cs="Times New Roman" w:eastAsia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bullet"/>
      <w:lvlText w:val="-"/>
      <w:lvlJc w:val="left"/>
      <w:pPr>
        <w:tabs>
          <w:tab w:val="num" w:pos="0"/>
        </w:tabs>
        <w:ind w:left="720" w:hanging="360"/>
      </w:pPr>
      <w:rPr>
        <w:rFonts w:ascii="Sylfaen" w:hAnsi="Sylfaen" w:cs="Sylfae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25"/>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qFormat="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9f3d7b"/>
    <w:pPr>
      <w:keepNext w:val="true"/>
      <w:keepLines/>
      <w:spacing w:lineRule="auto" w:line="240" w:before="480" w:after="0"/>
      <w:outlineLvl w:val="0"/>
    </w:pPr>
    <w:rPr>
      <w:rFonts w:ascii="Calibri" w:hAnsi="Calibri" w:eastAsia="Times New Roman" w:cs="Times New Roman"/>
      <w:b/>
      <w:bCs/>
      <w:color w:val="345A8A"/>
      <w:sz w:val="32"/>
      <w:szCs w:val="32"/>
      <w:lang w:val="en-US"/>
    </w:rPr>
  </w:style>
  <w:style w:type="paragraph" w:styleId="Heading2">
    <w:name w:val="heading 2"/>
    <w:basedOn w:val="Normal"/>
    <w:next w:val="Normal"/>
    <w:link w:val="2"/>
    <w:uiPriority w:val="9"/>
    <w:unhideWhenUsed/>
    <w:qFormat/>
    <w:rsid w:val="009f3d7b"/>
    <w:pPr>
      <w:keepNext w:val="true"/>
      <w:keepLines/>
      <w:spacing w:lineRule="auto" w:line="240" w:before="200" w:after="0"/>
      <w:outlineLvl w:val="1"/>
    </w:pPr>
    <w:rPr>
      <w:rFonts w:ascii="Calibri" w:hAnsi="Calibri" w:eastAsia="Times New Roman" w:cs="Times New Roman"/>
      <w:b/>
      <w:bCs/>
      <w:color w:val="4F81BD"/>
      <w:sz w:val="26"/>
      <w:szCs w:val="26"/>
      <w:lang w:val="en-US"/>
    </w:rPr>
  </w:style>
  <w:style w:type="paragraph" w:styleId="Heading3">
    <w:name w:val="heading 3"/>
    <w:basedOn w:val="Normal"/>
    <w:link w:val="3"/>
    <w:uiPriority w:val="9"/>
    <w:qFormat/>
    <w:rsid w:val="009f3d7b"/>
    <w:pPr>
      <w:spacing w:lineRule="auto" w:line="240" w:beforeAutospacing="1" w:afterAutospacing="1"/>
      <w:outlineLvl w:val="2"/>
    </w:pPr>
    <w:rPr>
      <w:rFonts w:ascii="Times New Roman" w:hAnsi="Times New Roman" w:eastAsia="Times New Roman" w:cs="Times New Roman"/>
      <w:b/>
      <w:bCs/>
      <w:sz w:val="27"/>
      <w:szCs w:val="27"/>
      <w:lang w:val="en-US"/>
    </w:rPr>
  </w:style>
  <w:style w:type="paragraph" w:styleId="Heading4">
    <w:name w:val="heading 4"/>
    <w:basedOn w:val="Normal"/>
    <w:next w:val="Normal"/>
    <w:link w:val="4"/>
    <w:uiPriority w:val="9"/>
    <w:unhideWhenUsed/>
    <w:qFormat/>
    <w:rsid w:val="009f3d7b"/>
    <w:pPr>
      <w:keepNext w:val="true"/>
      <w:spacing w:lineRule="auto" w:line="240" w:before="240" w:after="60"/>
      <w:outlineLvl w:val="3"/>
    </w:pPr>
    <w:rPr>
      <w:rFonts w:ascii="Calibri" w:hAnsi="Calibri" w:eastAsia="Times New Roman" w:cs="Times New Roman"/>
      <w:b/>
      <w:bCs/>
      <w:sz w:val="28"/>
      <w:szCs w:val="28"/>
      <w:lang w:val="en-US"/>
    </w:rPr>
  </w:style>
  <w:style w:type="paragraph" w:styleId="Heading5">
    <w:name w:val="heading 5"/>
    <w:basedOn w:val="Normal"/>
    <w:next w:val="Normal"/>
    <w:link w:val="5"/>
    <w:uiPriority w:val="9"/>
    <w:semiHidden/>
    <w:unhideWhenUsed/>
    <w:qFormat/>
    <w:rsid w:val="00be2c1d"/>
    <w:pPr>
      <w:keepNext w:val="true"/>
      <w:keepLines/>
      <w:suppressAutoHyphens w:val="true"/>
      <w:spacing w:lineRule="auto" w:line="276" w:before="220" w:after="40"/>
      <w:outlineLvl w:val="4"/>
    </w:pPr>
    <w:rPr>
      <w:rFonts w:ascii="Calibri" w:hAnsi="Calibri" w:eastAsia="Calibri" w:cs="Calibri"/>
      <w:b/>
      <w:lang w:val="kk-KZ" w:eastAsia="ru-RU"/>
    </w:rPr>
  </w:style>
  <w:style w:type="paragraph" w:styleId="Heading6">
    <w:name w:val="heading 6"/>
    <w:basedOn w:val="Normal"/>
    <w:next w:val="Normal"/>
    <w:link w:val="6"/>
    <w:uiPriority w:val="9"/>
    <w:semiHidden/>
    <w:unhideWhenUsed/>
    <w:qFormat/>
    <w:rsid w:val="00be2c1d"/>
    <w:pPr>
      <w:keepNext w:val="true"/>
      <w:keepLines/>
      <w:suppressAutoHyphens w:val="true"/>
      <w:spacing w:lineRule="auto" w:line="276" w:before="200" w:after="40"/>
      <w:outlineLvl w:val="5"/>
    </w:pPr>
    <w:rPr>
      <w:rFonts w:ascii="Calibri" w:hAnsi="Calibri" w:eastAsia="Calibri" w:cs="Calibri"/>
      <w:b/>
      <w:sz w:val="20"/>
      <w:szCs w:val="20"/>
      <w:lang w:val="kk-KZ" w:eastAsia="ru-RU"/>
    </w:rPr>
  </w:style>
  <w:style w:type="character" w:styleId="DefaultParagraphFont" w:default="1">
    <w:name w:val="Default Paragraph Font"/>
    <w:uiPriority w:val="1"/>
    <w:semiHidden/>
    <w:unhideWhenUsed/>
    <w:qFormat/>
    <w:rPr/>
  </w:style>
  <w:style w:type="character" w:styleId="Hyperlink">
    <w:name w:val="Hyperlink"/>
    <w:uiPriority w:val="99"/>
    <w:unhideWhenUsed/>
    <w:qFormat/>
    <w:rsid w:val="00097727"/>
    <w:rPr>
      <w:color w:val="0000FF"/>
      <w:u w:val="single"/>
    </w:rPr>
  </w:style>
  <w:style w:type="character" w:styleId="Style8" w:customStyle="1">
    <w:name w:val="Верхний колонтитул Знак"/>
    <w:basedOn w:val="DefaultParagraphFont"/>
    <w:link w:val="Header"/>
    <w:uiPriority w:val="99"/>
    <w:qFormat/>
    <w:rsid w:val="00097727"/>
    <w:rPr>
      <w:rFonts w:ascii="Calibri" w:hAnsi="Calibri" w:eastAsia="Calibri" w:cs="Times New Roman"/>
    </w:rPr>
  </w:style>
  <w:style w:type="character" w:styleId="Style9" w:customStyle="1">
    <w:name w:val="Нижний колонтитул Знак"/>
    <w:basedOn w:val="DefaultParagraphFont"/>
    <w:link w:val="Footer"/>
    <w:uiPriority w:val="99"/>
    <w:qFormat/>
    <w:rsid w:val="00097727"/>
    <w:rPr>
      <w:rFonts w:ascii="Calibri" w:hAnsi="Calibri" w:eastAsia="Calibri" w:cs="Times New Roman"/>
    </w:rPr>
  </w:style>
  <w:style w:type="character" w:styleId="Strong">
    <w:name w:val="Strong"/>
    <w:uiPriority w:val="22"/>
    <w:qFormat/>
    <w:rsid w:val="00097727"/>
    <w:rPr>
      <w:b/>
      <w:bCs/>
    </w:rPr>
  </w:style>
  <w:style w:type="character" w:styleId="FollowedHyperlink">
    <w:name w:val="FollowedHyperlink"/>
    <w:uiPriority w:val="99"/>
    <w:semiHidden/>
    <w:unhideWhenUsed/>
    <w:rsid w:val="00097727"/>
    <w:rPr>
      <w:color w:val="800080"/>
      <w:u w:val="single"/>
    </w:rPr>
  </w:style>
  <w:style w:type="character" w:styleId="Emphasis">
    <w:name w:val="Emphasis"/>
    <w:qFormat/>
    <w:rsid w:val="00097727"/>
    <w:rPr>
      <w:i/>
      <w:iCs/>
    </w:rPr>
  </w:style>
  <w:style w:type="character" w:styleId="1" w:customStyle="1">
    <w:name w:val="Заголовок 1 Знак"/>
    <w:basedOn w:val="DefaultParagraphFont"/>
    <w:link w:val="Heading1"/>
    <w:uiPriority w:val="9"/>
    <w:qFormat/>
    <w:rsid w:val="009f3d7b"/>
    <w:rPr>
      <w:rFonts w:ascii="Calibri" w:hAnsi="Calibri" w:eastAsia="Times New Roman" w:cs="Times New Roman"/>
      <w:b/>
      <w:bCs/>
      <w:color w:val="345A8A"/>
      <w:sz w:val="32"/>
      <w:szCs w:val="32"/>
      <w:lang w:val="en-US"/>
    </w:rPr>
  </w:style>
  <w:style w:type="character" w:styleId="2" w:customStyle="1">
    <w:name w:val="Заголовок 2 Знак"/>
    <w:basedOn w:val="DefaultParagraphFont"/>
    <w:link w:val="Heading2"/>
    <w:uiPriority w:val="9"/>
    <w:qFormat/>
    <w:rsid w:val="009f3d7b"/>
    <w:rPr>
      <w:rFonts w:ascii="Calibri" w:hAnsi="Calibri" w:eastAsia="Times New Roman" w:cs="Times New Roman"/>
      <w:b/>
      <w:bCs/>
      <w:color w:val="4F81BD"/>
      <w:sz w:val="26"/>
      <w:szCs w:val="26"/>
      <w:lang w:val="en-US"/>
    </w:rPr>
  </w:style>
  <w:style w:type="character" w:styleId="3" w:customStyle="1">
    <w:name w:val="Заголовок 3 Знак"/>
    <w:basedOn w:val="DefaultParagraphFont"/>
    <w:link w:val="Heading3"/>
    <w:uiPriority w:val="9"/>
    <w:qFormat/>
    <w:rsid w:val="009f3d7b"/>
    <w:rPr>
      <w:rFonts w:ascii="Times New Roman" w:hAnsi="Times New Roman" w:eastAsia="Times New Roman" w:cs="Times New Roman"/>
      <w:b/>
      <w:bCs/>
      <w:sz w:val="27"/>
      <w:szCs w:val="27"/>
      <w:lang w:val="en-US"/>
    </w:rPr>
  </w:style>
  <w:style w:type="character" w:styleId="4" w:customStyle="1">
    <w:name w:val="Заголовок 4 Знак"/>
    <w:basedOn w:val="DefaultParagraphFont"/>
    <w:link w:val="Heading4"/>
    <w:uiPriority w:val="9"/>
    <w:qFormat/>
    <w:rsid w:val="009f3d7b"/>
    <w:rPr>
      <w:rFonts w:ascii="Calibri" w:hAnsi="Calibri" w:eastAsia="Times New Roman" w:cs="Times New Roman"/>
      <w:b/>
      <w:bCs/>
      <w:sz w:val="28"/>
      <w:szCs w:val="28"/>
      <w:lang w:val="en-US"/>
    </w:rPr>
  </w:style>
  <w:style w:type="character" w:styleId="apple-converted-space" w:customStyle="1">
    <w:name w:val="apple-converted-space"/>
    <w:basedOn w:val="DefaultParagraphFont"/>
    <w:qFormat/>
    <w:rsid w:val="009f3d7b"/>
    <w:rPr/>
  </w:style>
  <w:style w:type="character" w:styleId="HTML" w:customStyle="1">
    <w:name w:val="Стандартный HTML Знак"/>
    <w:basedOn w:val="DefaultParagraphFont"/>
    <w:link w:val="HTMLPreformatted"/>
    <w:qFormat/>
    <w:rsid w:val="009f3d7b"/>
    <w:rPr>
      <w:rFonts w:ascii="Courier" w:hAnsi="Courier" w:eastAsia="Times New Roman" w:cs="Courier"/>
      <w:sz w:val="20"/>
      <w:szCs w:val="20"/>
      <w:lang w:val="en-US"/>
    </w:rPr>
  </w:style>
  <w:style w:type="character" w:styleId="Style10" w:customStyle="1">
    <w:name w:val="Текст выноски Знак"/>
    <w:basedOn w:val="DefaultParagraphFont"/>
    <w:link w:val="BalloonText"/>
    <w:uiPriority w:val="99"/>
    <w:semiHidden/>
    <w:qFormat/>
    <w:rsid w:val="009f3d7b"/>
    <w:rPr>
      <w:rFonts w:ascii="Lucida Grande" w:hAnsi="Lucida Grande" w:eastAsia="Times New Roman" w:cs="Lucida Grande"/>
      <w:sz w:val="18"/>
      <w:szCs w:val="18"/>
      <w:lang w:val="en-US"/>
    </w:rPr>
  </w:style>
  <w:style w:type="character" w:styleId="CommentReference">
    <w:name w:val="annotation reference"/>
    <w:uiPriority w:val="99"/>
    <w:semiHidden/>
    <w:unhideWhenUsed/>
    <w:qFormat/>
    <w:rsid w:val="009f3d7b"/>
    <w:rPr>
      <w:sz w:val="18"/>
      <w:szCs w:val="18"/>
    </w:rPr>
  </w:style>
  <w:style w:type="character" w:styleId="Style11" w:customStyle="1">
    <w:name w:val="Текст примечания Знак"/>
    <w:basedOn w:val="DefaultParagraphFont"/>
    <w:link w:val="CommentText"/>
    <w:uiPriority w:val="99"/>
    <w:semiHidden/>
    <w:qFormat/>
    <w:rsid w:val="009f3d7b"/>
    <w:rPr>
      <w:rFonts w:ascii="Cambria" w:hAnsi="Cambria" w:eastAsia="Times New Roman" w:cs="Times New Roman"/>
      <w:sz w:val="24"/>
      <w:szCs w:val="24"/>
      <w:lang w:val="en-US"/>
    </w:rPr>
  </w:style>
  <w:style w:type="character" w:styleId="Style12" w:customStyle="1">
    <w:name w:val="Тема примечания Знак"/>
    <w:basedOn w:val="Style11"/>
    <w:link w:val="annotationsubject"/>
    <w:uiPriority w:val="99"/>
    <w:semiHidden/>
    <w:qFormat/>
    <w:rsid w:val="009f3d7b"/>
    <w:rPr>
      <w:rFonts w:ascii="Cambria" w:hAnsi="Cambria" w:eastAsia="Times New Roman" w:cs="Times New Roman"/>
      <w:b/>
      <w:bCs/>
      <w:sz w:val="20"/>
      <w:szCs w:val="20"/>
      <w:lang w:val="en-US"/>
    </w:rPr>
  </w:style>
  <w:style w:type="character" w:styleId="Style13" w:customStyle="1">
    <w:name w:val="Без интервала Знак"/>
    <w:link w:val="NoSpacing"/>
    <w:uiPriority w:val="1"/>
    <w:qFormat/>
    <w:rsid w:val="009f3d7b"/>
    <w:rPr>
      <w:rFonts w:ascii="Calibri" w:hAnsi="Calibri" w:eastAsia="Calibri" w:cs="Times New Roman"/>
      <w:lang w:val="en-US"/>
    </w:rPr>
  </w:style>
  <w:style w:type="character" w:styleId="PageNumber">
    <w:name w:val="page number"/>
    <w:basedOn w:val="DefaultParagraphFont"/>
    <w:uiPriority w:val="99"/>
    <w:semiHidden/>
    <w:unhideWhenUsed/>
    <w:rsid w:val="009f3d7b"/>
    <w:rPr/>
  </w:style>
  <w:style w:type="character" w:styleId="Style14" w:customStyle="1">
    <w:name w:val="Основной текст с отступом Знак"/>
    <w:basedOn w:val="DefaultParagraphFont"/>
    <w:qFormat/>
    <w:rsid w:val="009f3d7b"/>
    <w:rPr>
      <w:rFonts w:ascii="Times New Roman" w:hAnsi="Times New Roman" w:eastAsia="Times New Roman" w:cs="Times New Roman"/>
      <w:sz w:val="24"/>
      <w:szCs w:val="20"/>
      <w:lang w:eastAsia="ru-RU"/>
    </w:rPr>
  </w:style>
  <w:style w:type="character" w:styleId="NoSpacingChar" w:customStyle="1">
    <w:name w:val="No Spacing Char"/>
    <w:link w:val="14"/>
    <w:qFormat/>
    <w:locked/>
    <w:rsid w:val="009f3d7b"/>
    <w:rPr>
      <w:rFonts w:ascii="Calibri" w:hAnsi="Calibri" w:eastAsia="Times New Roman" w:cs="Times New Roman"/>
      <w:lang w:val="en-US"/>
    </w:rPr>
  </w:style>
  <w:style w:type="character" w:styleId="ls8" w:customStyle="1">
    <w:name w:val="ls8"/>
    <w:basedOn w:val="DefaultParagraphFont"/>
    <w:qFormat/>
    <w:rsid w:val="009f3d7b"/>
    <w:rPr/>
  </w:style>
  <w:style w:type="character" w:styleId="ls15" w:customStyle="1">
    <w:name w:val="ls15"/>
    <w:basedOn w:val="DefaultParagraphFont"/>
    <w:qFormat/>
    <w:rsid w:val="009f3d7b"/>
    <w:rPr/>
  </w:style>
  <w:style w:type="character" w:styleId="wsdb" w:customStyle="1">
    <w:name w:val="wsdb"/>
    <w:basedOn w:val="DefaultParagraphFont"/>
    <w:qFormat/>
    <w:rsid w:val="009f3d7b"/>
    <w:rPr/>
  </w:style>
  <w:style w:type="character" w:styleId="ff4" w:customStyle="1">
    <w:name w:val="ff4"/>
    <w:basedOn w:val="DefaultParagraphFont"/>
    <w:qFormat/>
    <w:rsid w:val="009f3d7b"/>
    <w:rPr/>
  </w:style>
  <w:style w:type="character" w:styleId="ff1" w:customStyle="1">
    <w:name w:val="ff1"/>
    <w:basedOn w:val="DefaultParagraphFont"/>
    <w:qFormat/>
    <w:rsid w:val="009f3d7b"/>
    <w:rPr/>
  </w:style>
  <w:style w:type="character" w:styleId="ls12" w:customStyle="1">
    <w:name w:val="ls12"/>
    <w:basedOn w:val="DefaultParagraphFont"/>
    <w:qFormat/>
    <w:rsid w:val="009f3d7b"/>
    <w:rPr/>
  </w:style>
  <w:style w:type="character" w:styleId="ls4" w:customStyle="1">
    <w:name w:val="ls4"/>
    <w:basedOn w:val="DefaultParagraphFont"/>
    <w:qFormat/>
    <w:rsid w:val="009f3d7b"/>
    <w:rPr/>
  </w:style>
  <w:style w:type="character" w:styleId="ws22d" w:customStyle="1">
    <w:name w:val="ws22d"/>
    <w:basedOn w:val="DefaultParagraphFont"/>
    <w:qFormat/>
    <w:rsid w:val="009f3d7b"/>
    <w:rPr/>
  </w:style>
  <w:style w:type="character" w:styleId="Style15" w:customStyle="1">
    <w:name w:val="Основной текст Знак"/>
    <w:basedOn w:val="DefaultParagraphFont"/>
    <w:uiPriority w:val="1"/>
    <w:qFormat/>
    <w:rsid w:val="009f3d7b"/>
    <w:rPr>
      <w:rFonts w:ascii="Times New Roman" w:hAnsi="Times New Roman" w:eastAsia="Times New Roman" w:cs="Times New Roman"/>
      <w:sz w:val="20"/>
      <w:szCs w:val="20"/>
      <w:lang w:val="en-US" w:bidi="en-US"/>
    </w:rPr>
  </w:style>
  <w:style w:type="character" w:styleId="kw" w:customStyle="1">
    <w:name w:val="kw"/>
    <w:basedOn w:val="DefaultParagraphFont"/>
    <w:qFormat/>
    <w:rsid w:val="009f3d7b"/>
    <w:rPr/>
  </w:style>
  <w:style w:type="character" w:styleId="LineNumber">
    <w:name w:val="line number"/>
    <w:basedOn w:val="DefaultParagraphFont"/>
    <w:uiPriority w:val="99"/>
    <w:semiHidden/>
    <w:unhideWhenUsed/>
    <w:rsid w:val="009f3d7b"/>
    <w:rPr/>
  </w:style>
  <w:style w:type="character" w:styleId="NoSpacingChar1" w:customStyle="1">
    <w:name w:val="No Spacing Char1"/>
    <w:uiPriority w:val="1"/>
    <w:qFormat/>
    <w:rsid w:val="009f3d7b"/>
    <w:rPr>
      <w:sz w:val="22"/>
      <w:szCs w:val="22"/>
      <w:lang w:eastAsia="en-US" w:bidi="ar-SA"/>
    </w:rPr>
  </w:style>
  <w:style w:type="character" w:styleId="fontstyle01" w:customStyle="1">
    <w:name w:val="fontstyle01"/>
    <w:qFormat/>
    <w:rsid w:val="009f3d7b"/>
    <w:rPr>
      <w:rFonts w:ascii="Times New Roman" w:hAnsi="Times New Roman" w:cs="Times New Roman"/>
      <w:b/>
      <w:bCs/>
      <w:i w:val="false"/>
      <w:iCs w:val="false"/>
      <w:color w:val="000000"/>
      <w:sz w:val="24"/>
      <w:szCs w:val="24"/>
    </w:rPr>
  </w:style>
  <w:style w:type="character" w:styleId="11" w:customStyle="1">
    <w:name w:val="Неразрешенное упоминание1"/>
    <w:uiPriority w:val="99"/>
    <w:semiHidden/>
    <w:unhideWhenUsed/>
    <w:qFormat/>
    <w:rsid w:val="009f3d7b"/>
    <w:rPr>
      <w:color w:val="605E5C"/>
      <w:shd w:fill="E1DFDD" w:val="clear"/>
    </w:rPr>
  </w:style>
  <w:style w:type="character" w:styleId="21" w:customStyle="1">
    <w:name w:val="Неразрешенное упоминание2"/>
    <w:uiPriority w:val="99"/>
    <w:semiHidden/>
    <w:unhideWhenUsed/>
    <w:qFormat/>
    <w:rsid w:val="009f3d7b"/>
    <w:rPr>
      <w:color w:val="605E5C"/>
      <w:shd w:fill="E1DFDD" w:val="clear"/>
    </w:rPr>
  </w:style>
  <w:style w:type="character" w:styleId="Style16" w:customStyle="1">
    <w:name w:val="Абзац списка Знак"/>
    <w:link w:val="ListParagraph"/>
    <w:uiPriority w:val="34"/>
    <w:qFormat/>
    <w:locked/>
    <w:rsid w:val="009f3d7b"/>
    <w:rPr>
      <w:rFonts w:ascii="Times New Roman" w:hAnsi="Times New Roman" w:eastAsia="Times New Roman" w:cs="Times New Roman"/>
      <w:sz w:val="24"/>
      <w:szCs w:val="24"/>
      <w:lang w:eastAsia="ko-KR"/>
    </w:rPr>
  </w:style>
  <w:style w:type="character" w:styleId="31" w:customStyle="1">
    <w:name w:val="Неразрешенное упоминание3"/>
    <w:uiPriority w:val="99"/>
    <w:semiHidden/>
    <w:unhideWhenUsed/>
    <w:qFormat/>
    <w:rsid w:val="009f3d7b"/>
    <w:rPr>
      <w:color w:val="605E5C"/>
      <w:shd w:fill="E1DFDD" w:val="clear"/>
    </w:rPr>
  </w:style>
  <w:style w:type="character" w:styleId="41" w:customStyle="1">
    <w:name w:val="Неразрешенное упоминание4"/>
    <w:uiPriority w:val="99"/>
    <w:semiHidden/>
    <w:unhideWhenUsed/>
    <w:qFormat/>
    <w:rsid w:val="009f3d7b"/>
    <w:rPr>
      <w:color w:val="605E5C"/>
      <w:shd w:fill="E1DFDD" w:val="clear"/>
    </w:rPr>
  </w:style>
  <w:style w:type="character" w:styleId="5" w:customStyle="1">
    <w:name w:val="Заголовок 5 Знак"/>
    <w:basedOn w:val="DefaultParagraphFont"/>
    <w:link w:val="Heading5"/>
    <w:uiPriority w:val="9"/>
    <w:semiHidden/>
    <w:qFormat/>
    <w:rsid w:val="00be2c1d"/>
    <w:rPr>
      <w:rFonts w:ascii="Calibri" w:hAnsi="Calibri" w:eastAsia="Calibri" w:cs="Calibri"/>
      <w:b/>
      <w:lang w:val="kk-KZ" w:eastAsia="ru-RU"/>
    </w:rPr>
  </w:style>
  <w:style w:type="character" w:styleId="6" w:customStyle="1">
    <w:name w:val="Заголовок 6 Знак"/>
    <w:basedOn w:val="DefaultParagraphFont"/>
    <w:link w:val="Heading6"/>
    <w:uiPriority w:val="9"/>
    <w:semiHidden/>
    <w:qFormat/>
    <w:rsid w:val="00be2c1d"/>
    <w:rPr>
      <w:rFonts w:ascii="Calibri" w:hAnsi="Calibri" w:eastAsia="Calibri" w:cs="Calibri"/>
      <w:b/>
      <w:sz w:val="20"/>
      <w:szCs w:val="20"/>
      <w:lang w:val="kk-KZ" w:eastAsia="ru-RU"/>
    </w:rPr>
  </w:style>
  <w:style w:type="character" w:styleId="fontstyle21" w:customStyle="1">
    <w:name w:val="fontstyle21"/>
    <w:basedOn w:val="DefaultParagraphFont"/>
    <w:qFormat/>
    <w:rsid w:val="00be2c1d"/>
    <w:rPr/>
  </w:style>
  <w:style w:type="character" w:styleId="ezkurwreuab5ozgtqnkl" w:customStyle="1">
    <w:name w:val="ezkurwreuab5ozgtqnkl"/>
    <w:basedOn w:val="DefaultParagraphFont"/>
    <w:qFormat/>
    <w:rsid w:val="00be2c1d"/>
    <w:rPr/>
  </w:style>
  <w:style w:type="character" w:styleId="katex-mathml" w:customStyle="1">
    <w:name w:val="katex-mathml"/>
    <w:basedOn w:val="DefaultParagraphFont"/>
    <w:qFormat/>
    <w:rsid w:val="00be2c1d"/>
    <w:rPr/>
  </w:style>
  <w:style w:type="character" w:styleId="mord" w:customStyle="1">
    <w:name w:val="mord"/>
    <w:basedOn w:val="DefaultParagraphFont"/>
    <w:qFormat/>
    <w:rsid w:val="00be2c1d"/>
    <w:rPr/>
  </w:style>
  <w:style w:type="character" w:styleId="vlist-s" w:customStyle="1">
    <w:name w:val="vlist-s"/>
    <w:basedOn w:val="DefaultParagraphFont"/>
    <w:qFormat/>
    <w:rsid w:val="00be2c1d"/>
    <w:rPr/>
  </w:style>
  <w:style w:type="character" w:styleId="mspace" w:customStyle="1">
    <w:name w:val="mspace"/>
    <w:basedOn w:val="DefaultParagraphFont"/>
    <w:qFormat/>
    <w:rsid w:val="00be2c1d"/>
    <w:rPr/>
  </w:style>
  <w:style w:type="character" w:styleId="mrel" w:customStyle="1">
    <w:name w:val="mrel"/>
    <w:basedOn w:val="DefaultParagraphFont"/>
    <w:qFormat/>
    <w:rsid w:val="00be2c1d"/>
    <w:rPr/>
  </w:style>
  <w:style w:type="character" w:styleId="mop" w:customStyle="1">
    <w:name w:val="mop"/>
    <w:basedOn w:val="DefaultParagraphFont"/>
    <w:qFormat/>
    <w:rsid w:val="00be2c1d"/>
    <w:rPr/>
  </w:style>
  <w:style w:type="character" w:styleId="mopen" w:customStyle="1">
    <w:name w:val="mopen"/>
    <w:basedOn w:val="DefaultParagraphFont"/>
    <w:qFormat/>
    <w:rsid w:val="00be2c1d"/>
    <w:rPr/>
  </w:style>
  <w:style w:type="character" w:styleId="mbin" w:customStyle="1">
    <w:name w:val="mbin"/>
    <w:basedOn w:val="DefaultParagraphFont"/>
    <w:qFormat/>
    <w:rsid w:val="00be2c1d"/>
    <w:rPr/>
  </w:style>
  <w:style w:type="character" w:styleId="mclose" w:customStyle="1">
    <w:name w:val="mclose"/>
    <w:basedOn w:val="DefaultParagraphFont"/>
    <w:qFormat/>
    <w:rsid w:val="00be2c1d"/>
    <w:rPr/>
  </w:style>
  <w:style w:type="character" w:styleId="51" w:customStyle="1">
    <w:name w:val="Неразрешенное упоминание5"/>
    <w:basedOn w:val="DefaultParagraphFont"/>
    <w:uiPriority w:val="99"/>
    <w:semiHidden/>
    <w:unhideWhenUsed/>
    <w:qFormat/>
    <w:rsid w:val="00be2c1d"/>
    <w:rPr>
      <w:color w:val="605E5C"/>
      <w:shd w:fill="E1DFDD" w:val="clear"/>
    </w:rPr>
  </w:style>
  <w:style w:type="character" w:styleId="s1" w:customStyle="1">
    <w:name w:val="s1"/>
    <w:basedOn w:val="DefaultParagraphFont"/>
    <w:qFormat/>
    <w:rsid w:val="00be2c1d"/>
    <w:rPr/>
  </w:style>
  <w:style w:type="character" w:styleId="Style17" w:customStyle="1">
    <w:name w:val="Заголовок Знак"/>
    <w:basedOn w:val="DefaultParagraphFont"/>
    <w:link w:val="Title"/>
    <w:uiPriority w:val="10"/>
    <w:qFormat/>
    <w:rsid w:val="00be2c1d"/>
    <w:rPr>
      <w:rFonts w:ascii="Calibri" w:hAnsi="Calibri" w:eastAsia="Calibri" w:cs="Calibri"/>
      <w:b/>
      <w:sz w:val="72"/>
      <w:szCs w:val="72"/>
      <w:lang w:val="kk-KZ" w:eastAsia="ru-RU"/>
    </w:rPr>
  </w:style>
  <w:style w:type="character" w:styleId="Style18" w:customStyle="1">
    <w:name w:val="Подзаголовок Знак"/>
    <w:basedOn w:val="DefaultParagraphFont"/>
    <w:link w:val="Subtitle"/>
    <w:uiPriority w:val="11"/>
    <w:qFormat/>
    <w:rsid w:val="00be2c1d"/>
    <w:rPr>
      <w:rFonts w:ascii="Georgia" w:hAnsi="Georgia" w:eastAsia="Georgia" w:cs="Georgia"/>
      <w:i/>
      <w:color w:val="666666"/>
      <w:sz w:val="48"/>
      <w:szCs w:val="48"/>
      <w:lang w:val="kk-KZ" w:eastAsia="ru-RU"/>
    </w:rPr>
  </w:style>
  <w:style w:type="character" w:styleId="anegp0gi0b9av8jahpyh" w:customStyle="1">
    <w:name w:val="anegp0gi0b9av8jahpyh"/>
    <w:basedOn w:val="DefaultParagraphFont"/>
    <w:qFormat/>
    <w:rsid w:val="00d47c31"/>
    <w:rPr/>
  </w:style>
  <w:style w:type="character" w:styleId="ypks7kbdpwfgdykd3qb9" w:customStyle="1">
    <w:name w:val="ypks7kbdpwfgdykd3qb9"/>
    <w:basedOn w:val="DefaultParagraphFont"/>
    <w:qFormat/>
    <w:rsid w:val="00d47c31"/>
    <w:rPr/>
  </w:style>
  <w:style w:type="character" w:styleId="FontStyle187" w:customStyle="1">
    <w:name w:val="Font Style187"/>
    <w:basedOn w:val="DefaultParagraphFont"/>
    <w:uiPriority w:val="99"/>
    <w:qFormat/>
    <w:rsid w:val="00ac61d9"/>
    <w:rPr>
      <w:rFonts w:ascii="Times New Roman" w:hAnsi="Times New Roman" w:cs="Times New Roman"/>
      <w:sz w:val="34"/>
      <w:szCs w:val="34"/>
    </w:rPr>
  </w:style>
  <w:style w:type="character" w:styleId="a-size-large" w:customStyle="1">
    <w:name w:val="a-size-large"/>
    <w:basedOn w:val="DefaultParagraphFont"/>
    <w:qFormat/>
    <w:rsid w:val="00ac61d9"/>
    <w:rPr/>
  </w:style>
  <w:style w:type="character" w:styleId="a-size-small" w:customStyle="1">
    <w:name w:val="a-size-small"/>
    <w:basedOn w:val="DefaultParagraphFont"/>
    <w:qFormat/>
    <w:rsid w:val="00ac61d9"/>
    <w:rPr/>
  </w:style>
  <w:style w:type="character" w:styleId="12" w:customStyle="1">
    <w:name w:val="Основной шрифт абзаца1"/>
    <w:qFormat/>
    <w:rsid w:val="00401fdc"/>
    <w:rPr/>
  </w:style>
  <w:style w:type="character" w:styleId="y2iqfc" w:customStyle="1">
    <w:name w:val="y2iqfc"/>
    <w:basedOn w:val="12"/>
    <w:qFormat/>
    <w:rsid w:val="00401fdc"/>
    <w:rPr/>
  </w:style>
  <w:style w:type="character" w:styleId="61" w:customStyle="1">
    <w:name w:val="Неразрешенное упоминание6"/>
    <w:qFormat/>
    <w:rsid w:val="00401fdc"/>
    <w:rPr>
      <w:color w:val="605E5C"/>
      <w:shd w:fill="E1DFDD" w:val="clear"/>
    </w:rPr>
  </w:style>
  <w:style w:type="character" w:styleId="text" w:customStyle="1">
    <w:name w:val="text"/>
    <w:basedOn w:val="DefaultParagraphFont"/>
    <w:qFormat/>
    <w:rsid w:val="005e066c"/>
    <w:rPr/>
  </w:style>
  <w:style w:type="character" w:styleId="react-xocs-alternative-link" w:customStyle="1">
    <w:name w:val="react-xocs-alternative-link"/>
    <w:basedOn w:val="DefaultParagraphFont"/>
    <w:qFormat/>
    <w:rsid w:val="005e066c"/>
    <w:rPr/>
  </w:style>
  <w:style w:type="character" w:styleId="given-name" w:customStyle="1">
    <w:name w:val="given-name"/>
    <w:basedOn w:val="DefaultParagraphFont"/>
    <w:qFormat/>
    <w:rsid w:val="005e066c"/>
    <w:rPr/>
  </w:style>
  <w:style w:type="character" w:styleId="anchor-text" w:customStyle="1">
    <w:name w:val="anchor-text"/>
    <w:basedOn w:val="DefaultParagraphFont"/>
    <w:qFormat/>
    <w:rsid w:val="005e066c"/>
    <w:rPr/>
  </w:style>
  <w:style w:type="character" w:styleId="ng-tns-c1-01" w:customStyle="1">
    <w:name w:val="ng-tns-c1-01"/>
    <w:basedOn w:val="DefaultParagraphFont"/>
    <w:qFormat/>
    <w:rsid w:val="005e066c"/>
    <w:rPr/>
  </w:style>
  <w:style w:type="character" w:styleId="uppercase" w:customStyle="1">
    <w:name w:val="uppercase"/>
    <w:basedOn w:val="DefaultParagraphFont"/>
    <w:qFormat/>
    <w:rsid w:val="005e066c"/>
    <w:rPr/>
  </w:style>
  <w:style w:type="character" w:styleId="accordion-tabbedtab-mobile" w:customStyle="1">
    <w:name w:val="accordion-tabbed__tab-mobile"/>
    <w:basedOn w:val="DefaultParagraphFont"/>
    <w:qFormat/>
    <w:rsid w:val="005e066c"/>
    <w:rPr/>
  </w:style>
  <w:style w:type="character" w:styleId="comma-separator" w:customStyle="1">
    <w:name w:val="comma-separator"/>
    <w:basedOn w:val="DefaultParagraphFont"/>
    <w:qFormat/>
    <w:rsid w:val="005e066c"/>
    <w:rPr/>
  </w:style>
  <w:style w:type="character" w:styleId="epub-state" w:customStyle="1">
    <w:name w:val="epub-state"/>
    <w:basedOn w:val="DefaultParagraphFont"/>
    <w:qFormat/>
    <w:rsid w:val="005e066c"/>
    <w:rPr/>
  </w:style>
  <w:style w:type="character" w:styleId="epub-date" w:customStyle="1">
    <w:name w:val="epub-date"/>
    <w:basedOn w:val="DefaultParagraphFont"/>
    <w:qFormat/>
    <w:rsid w:val="005e066c"/>
    <w:rPr/>
  </w:style>
  <w:style w:type="character" w:styleId="uv3um" w:customStyle="1">
    <w:name w:val="uv3um"/>
    <w:basedOn w:val="DefaultParagraphFont"/>
    <w:qFormat/>
    <w:rsid w:val="005e066c"/>
    <w:rPr/>
  </w:style>
  <w:style w:type="character" w:styleId="t286pc" w:customStyle="1">
    <w:name w:val="t286pc"/>
    <w:basedOn w:val="DefaultParagraphFont"/>
    <w:qFormat/>
    <w:rsid w:val="005e066c"/>
    <w:rPr/>
  </w:style>
  <w:style w:type="character" w:styleId="UnresolvedMention" w:customStyle="1">
    <w:name w:val="Unresolved Mention"/>
    <w:basedOn w:val="DefaultParagraphFont"/>
    <w:uiPriority w:val="99"/>
    <w:semiHidden/>
    <w:unhideWhenUsed/>
    <w:qFormat/>
    <w:rsid w:val="005e066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Style15"/>
    <w:qFormat/>
    <w:rsid w:val="009f3d7b"/>
    <w:pPr>
      <w:widowControl w:val="false"/>
      <w:spacing w:lineRule="auto" w:line="240" w:before="0" w:after="0"/>
    </w:pPr>
    <w:rPr>
      <w:rFonts w:ascii="Times New Roman" w:hAnsi="Times New Roman" w:eastAsia="Times New Roman" w:cs="Times New Roman"/>
      <w:sz w:val="20"/>
      <w:szCs w:val="20"/>
      <w:lang w:val="en-US" w:bidi="en-US"/>
    </w:rPr>
  </w:style>
  <w:style w:type="paragraph" w:styleId="List">
    <w:name w:val="List"/>
    <w:basedOn w:val="BodyText"/>
    <w:rsid w:val="00be2c1d"/>
    <w:pPr>
      <w:widowControl/>
      <w:suppressAutoHyphens w:val="true"/>
      <w:spacing w:lineRule="auto" w:line="276" w:before="0" w:after="140"/>
    </w:pPr>
    <w:rPr>
      <w:rFonts w:ascii="Calibri" w:hAnsi="Calibri" w:eastAsia="Calibri" w:cs="Lucida Sans"/>
      <w:sz w:val="22"/>
      <w:szCs w:val="22"/>
      <w:lang w:val="kk-KZ" w:eastAsia="ru-RU" w:bidi="ar-SA"/>
    </w:rPr>
  </w:style>
  <w:style w:type="paragraph" w:styleId="Caption">
    <w:name w:val="caption"/>
    <w:basedOn w:val="Normal"/>
    <w:qFormat/>
    <w:rsid w:val="00be2c1d"/>
    <w:pPr>
      <w:suppressLineNumbers/>
      <w:suppressAutoHyphens w:val="true"/>
      <w:spacing w:lineRule="auto" w:line="276" w:before="120" w:after="120"/>
    </w:pPr>
    <w:rPr>
      <w:rFonts w:ascii="Calibri" w:hAnsi="Calibri" w:eastAsia="Calibri" w:cs="Lucida Sans"/>
      <w:i/>
      <w:iCs/>
      <w:sz w:val="24"/>
      <w:szCs w:val="24"/>
      <w:lang w:val="kk-KZ" w:eastAsia="ru-RU"/>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Style8"/>
    <w:uiPriority w:val="99"/>
    <w:unhideWhenUsed/>
    <w:rsid w:val="00097727"/>
    <w:pPr>
      <w:tabs>
        <w:tab w:val="clear" w:pos="708"/>
        <w:tab w:val="center" w:pos="4677" w:leader="none"/>
        <w:tab w:val="right" w:pos="9355" w:leader="none"/>
      </w:tabs>
      <w:spacing w:lineRule="auto" w:line="276" w:before="0" w:after="200"/>
    </w:pPr>
    <w:rPr>
      <w:rFonts w:ascii="Calibri" w:hAnsi="Calibri" w:eastAsia="Calibri" w:cs="Times New Roman"/>
    </w:rPr>
  </w:style>
  <w:style w:type="paragraph" w:styleId="Footer">
    <w:name w:val="footer"/>
    <w:basedOn w:val="Normal"/>
    <w:link w:val="Style9"/>
    <w:uiPriority w:val="99"/>
    <w:unhideWhenUsed/>
    <w:rsid w:val="00097727"/>
    <w:pPr>
      <w:tabs>
        <w:tab w:val="clear" w:pos="708"/>
        <w:tab w:val="center" w:pos="4677" w:leader="none"/>
        <w:tab w:val="right" w:pos="9355" w:leader="none"/>
      </w:tabs>
      <w:spacing w:lineRule="auto" w:line="276" w:before="0" w:after="200"/>
    </w:pPr>
    <w:rPr>
      <w:rFonts w:ascii="Calibri" w:hAnsi="Calibri" w:eastAsia="Calibri" w:cs="Times New Roman"/>
    </w:rPr>
  </w:style>
  <w:style w:type="paragraph" w:styleId="NormalWeb">
    <w:name w:val="Normal (Web)"/>
    <w:basedOn w:val="Normal"/>
    <w:uiPriority w:val="99"/>
    <w:unhideWhenUsed/>
    <w:qFormat/>
    <w:rsid w:val="00097727"/>
    <w:pPr>
      <w:spacing w:lineRule="auto" w:line="276" w:before="0" w:after="200"/>
    </w:pPr>
    <w:rPr>
      <w:rFonts w:ascii="Times New Roman" w:hAnsi="Times New Roman" w:eastAsia="Calibri" w:cs="Times New Roman"/>
      <w:sz w:val="24"/>
      <w:szCs w:val="24"/>
    </w:rPr>
  </w:style>
  <w:style w:type="paragraph" w:styleId="ListParagraph">
    <w:name w:val="List Paragraph"/>
    <w:basedOn w:val="Normal"/>
    <w:link w:val="Style16"/>
    <w:qFormat/>
    <w:rsid w:val="00097727"/>
    <w:pPr>
      <w:spacing w:lineRule="auto" w:line="240" w:before="0" w:after="0"/>
      <w:ind w:left="720"/>
      <w:contextualSpacing/>
    </w:pPr>
    <w:rPr>
      <w:rFonts w:ascii="Times New Roman" w:hAnsi="Times New Roman" w:eastAsia="Times New Roman" w:cs="Times New Roman"/>
      <w:sz w:val="24"/>
      <w:szCs w:val="24"/>
      <w:lang w:eastAsia="ko-KR"/>
    </w:rPr>
  </w:style>
  <w:style w:type="paragraph" w:styleId="ds-markdown-paragraph" w:customStyle="1">
    <w:name w:val="ds-markdown-paragraph"/>
    <w:basedOn w:val="Normal"/>
    <w:qFormat/>
    <w:rsid w:val="00097727"/>
    <w:pPr>
      <w:spacing w:lineRule="auto" w:line="240" w:beforeAutospacing="1" w:afterAutospacing="1"/>
    </w:pPr>
    <w:rPr>
      <w:rFonts w:ascii="Times New Roman" w:hAnsi="Times New Roman" w:eastAsia="Times New Roman" w:cs="Times New Roman"/>
      <w:sz w:val="24"/>
      <w:szCs w:val="24"/>
      <w:lang w:eastAsia="ru-RU"/>
    </w:rPr>
  </w:style>
  <w:style w:type="paragraph" w:styleId="13" w:customStyle="1">
    <w:name w:val="Обычный (Интернет)1"/>
    <w:basedOn w:val="Normal"/>
    <w:uiPriority w:val="99"/>
    <w:unhideWhenUsed/>
    <w:qFormat/>
    <w:rsid w:val="009f3d7b"/>
    <w:pPr>
      <w:spacing w:lineRule="auto" w:line="240" w:beforeAutospacing="1" w:afterAutospacing="1"/>
    </w:pPr>
    <w:rPr>
      <w:rFonts w:ascii="Times New Roman" w:hAnsi="Times New Roman" w:eastAsia="Times New Roman" w:cs="Times New Roman"/>
      <w:sz w:val="20"/>
      <w:szCs w:val="20"/>
      <w:lang w:val="en-US"/>
    </w:rPr>
  </w:style>
  <w:style w:type="paragraph" w:styleId="HTMLPreformatted">
    <w:name w:val="HTML Preformatted"/>
    <w:basedOn w:val="Normal"/>
    <w:link w:val="HTML"/>
    <w:uiPriority w:val="99"/>
    <w:semiHidden/>
    <w:unhideWhenUsed/>
    <w:qFormat/>
    <w:rsid w:val="009f3d7b"/>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w:hAnsi="Courier" w:eastAsia="Times New Roman" w:cs="Courier"/>
      <w:sz w:val="20"/>
      <w:szCs w:val="20"/>
      <w:lang w:val="en-US"/>
    </w:rPr>
  </w:style>
  <w:style w:type="paragraph" w:styleId="BalloonText">
    <w:name w:val="Balloon Text"/>
    <w:basedOn w:val="Normal"/>
    <w:link w:val="Style10"/>
    <w:uiPriority w:val="99"/>
    <w:semiHidden/>
    <w:unhideWhenUsed/>
    <w:qFormat/>
    <w:rsid w:val="009f3d7b"/>
    <w:pPr>
      <w:spacing w:lineRule="auto" w:line="240" w:before="0" w:after="0"/>
    </w:pPr>
    <w:rPr>
      <w:rFonts w:ascii="Lucida Grande" w:hAnsi="Lucida Grande" w:eastAsia="Times New Roman" w:cs="Lucida Grande"/>
      <w:sz w:val="18"/>
      <w:szCs w:val="18"/>
      <w:lang w:val="en-US"/>
    </w:rPr>
  </w:style>
  <w:style w:type="paragraph" w:styleId="rtecenter" w:customStyle="1">
    <w:name w:val="rtecenter"/>
    <w:basedOn w:val="Normal"/>
    <w:qFormat/>
    <w:rsid w:val="009f3d7b"/>
    <w:pPr>
      <w:spacing w:lineRule="auto" w:line="240" w:beforeAutospacing="1" w:afterAutospacing="1"/>
    </w:pPr>
    <w:rPr>
      <w:rFonts w:ascii="Times New Roman" w:hAnsi="Times New Roman" w:eastAsia="Times New Roman" w:cs="Times New Roman"/>
      <w:sz w:val="20"/>
      <w:szCs w:val="20"/>
      <w:lang w:val="en-US"/>
    </w:rPr>
  </w:style>
  <w:style w:type="paragraph" w:styleId="CommentText">
    <w:name w:val="annotation text"/>
    <w:basedOn w:val="Normal"/>
    <w:link w:val="Style11"/>
    <w:uiPriority w:val="99"/>
    <w:semiHidden/>
    <w:unhideWhenUsed/>
    <w:rsid w:val="009f3d7b"/>
    <w:pPr>
      <w:spacing w:lineRule="auto" w:line="240" w:before="0" w:after="0"/>
    </w:pPr>
    <w:rPr>
      <w:rFonts w:ascii="Cambria" w:hAnsi="Cambria" w:eastAsia="Times New Roman" w:cs="Times New Roman"/>
      <w:sz w:val="24"/>
      <w:szCs w:val="24"/>
      <w:lang w:val="en-US"/>
    </w:rPr>
  </w:style>
  <w:style w:type="paragraph" w:styleId="annotationsubject">
    <w:name w:val="annotation subject"/>
    <w:basedOn w:val="CommentText"/>
    <w:next w:val="CommentText"/>
    <w:link w:val="Style12"/>
    <w:uiPriority w:val="99"/>
    <w:semiHidden/>
    <w:unhideWhenUsed/>
    <w:qFormat/>
    <w:rsid w:val="009f3d7b"/>
    <w:pPr/>
    <w:rPr>
      <w:b/>
      <w:bCs/>
      <w:sz w:val="20"/>
      <w:szCs w:val="20"/>
    </w:rPr>
  </w:style>
  <w:style w:type="paragraph" w:styleId="NoSpacing">
    <w:name w:val="No Spacing"/>
    <w:link w:val="Style13"/>
    <w:qFormat/>
    <w:rsid w:val="009f3d7b"/>
    <w:pPr>
      <w:widowControl/>
      <w:bidi w:val="0"/>
      <w:spacing w:lineRule="auto" w:line="240" w:before="0" w:after="0"/>
      <w:jc w:val="left"/>
    </w:pPr>
    <w:rPr>
      <w:rFonts w:ascii="Calibri" w:hAnsi="Calibri" w:eastAsia="Calibri" w:cs="Times New Roman" w:asciiTheme="minorHAnsi" w:eastAsiaTheme="minorHAnsi" w:hAnsiTheme="minorHAnsi"/>
      <w:color w:val="auto"/>
      <w:kern w:val="0"/>
      <w:sz w:val="22"/>
      <w:szCs w:val="22"/>
      <w:lang w:val="en-US" w:eastAsia="en-US" w:bidi="ar-SA"/>
    </w:rPr>
  </w:style>
  <w:style w:type="paragraph" w:styleId="IndexHeading">
    <w:name w:val="index heading"/>
    <w:basedOn w:val="Normal"/>
    <w:qFormat/>
    <w:rsid w:val="00be2c1d"/>
    <w:pPr>
      <w:suppressLineNumbers/>
      <w:suppressAutoHyphens w:val="true"/>
      <w:spacing w:lineRule="auto" w:line="276" w:before="0" w:after="200"/>
    </w:pPr>
    <w:rPr>
      <w:rFonts w:ascii="Calibri" w:hAnsi="Calibri" w:eastAsia="Calibri" w:cs="Lucida Sans"/>
      <w:lang w:val="kk-KZ" w:eastAsia="ru-RU"/>
    </w:rPr>
  </w:style>
  <w:style w:type="paragraph" w:styleId="TOCHeading">
    <w:name w:val="TOC Heading"/>
    <w:basedOn w:val="Heading1"/>
    <w:next w:val="Normal"/>
    <w:uiPriority w:val="39"/>
    <w:unhideWhenUsed/>
    <w:qFormat/>
    <w:rsid w:val="009f3d7b"/>
    <w:pPr>
      <w:spacing w:lineRule="auto" w:line="276"/>
      <w:outlineLvl w:val="9"/>
    </w:pPr>
    <w:rPr>
      <w:color w:val="365F91"/>
      <w:sz w:val="28"/>
      <w:szCs w:val="28"/>
    </w:rPr>
  </w:style>
  <w:style w:type="paragraph" w:styleId="TOC1">
    <w:name w:val="toc 1"/>
    <w:basedOn w:val="Normal"/>
    <w:next w:val="Normal"/>
    <w:autoRedefine/>
    <w:uiPriority w:val="39"/>
    <w:unhideWhenUsed/>
    <w:rsid w:val="009f3d7b"/>
    <w:pPr>
      <w:spacing w:lineRule="auto" w:line="240" w:before="120" w:after="0"/>
    </w:pPr>
    <w:rPr>
      <w:rFonts w:ascii="Cambria" w:hAnsi="Cambria" w:eastAsia="Times New Roman" w:cs="Times New Roman"/>
      <w:b/>
      <w:sz w:val="24"/>
      <w:szCs w:val="24"/>
      <w:lang w:val="en-US"/>
    </w:rPr>
  </w:style>
  <w:style w:type="paragraph" w:styleId="TOC2">
    <w:name w:val="toc 2"/>
    <w:basedOn w:val="Normal"/>
    <w:next w:val="Normal"/>
    <w:autoRedefine/>
    <w:uiPriority w:val="39"/>
    <w:semiHidden/>
    <w:unhideWhenUsed/>
    <w:rsid w:val="009f3d7b"/>
    <w:pPr>
      <w:spacing w:lineRule="auto" w:line="240" w:before="0" w:after="0"/>
      <w:ind w:left="240"/>
    </w:pPr>
    <w:rPr>
      <w:rFonts w:ascii="Cambria" w:hAnsi="Cambria" w:eastAsia="Times New Roman" w:cs="Times New Roman"/>
      <w:b/>
      <w:lang w:val="en-US"/>
    </w:rPr>
  </w:style>
  <w:style w:type="paragraph" w:styleId="TOC3">
    <w:name w:val="toc 3"/>
    <w:basedOn w:val="Normal"/>
    <w:next w:val="Normal"/>
    <w:autoRedefine/>
    <w:uiPriority w:val="39"/>
    <w:semiHidden/>
    <w:unhideWhenUsed/>
    <w:rsid w:val="009f3d7b"/>
    <w:pPr>
      <w:spacing w:lineRule="auto" w:line="240" w:before="0" w:after="0"/>
      <w:ind w:left="480"/>
    </w:pPr>
    <w:rPr>
      <w:rFonts w:ascii="Cambria" w:hAnsi="Cambria" w:eastAsia="Times New Roman" w:cs="Times New Roman"/>
      <w:lang w:val="en-US"/>
    </w:rPr>
  </w:style>
  <w:style w:type="paragraph" w:styleId="TOC4">
    <w:name w:val="toc 4"/>
    <w:basedOn w:val="Normal"/>
    <w:next w:val="Normal"/>
    <w:autoRedefine/>
    <w:uiPriority w:val="39"/>
    <w:semiHidden/>
    <w:unhideWhenUsed/>
    <w:rsid w:val="009f3d7b"/>
    <w:pPr>
      <w:spacing w:lineRule="auto" w:line="240" w:before="0" w:after="0"/>
      <w:ind w:left="720"/>
    </w:pPr>
    <w:rPr>
      <w:rFonts w:ascii="Cambria" w:hAnsi="Cambria" w:eastAsia="Times New Roman" w:cs="Times New Roman"/>
      <w:sz w:val="20"/>
      <w:szCs w:val="20"/>
      <w:lang w:val="en-US"/>
    </w:rPr>
  </w:style>
  <w:style w:type="paragraph" w:styleId="TOC5">
    <w:name w:val="toc 5"/>
    <w:basedOn w:val="Normal"/>
    <w:next w:val="Normal"/>
    <w:autoRedefine/>
    <w:uiPriority w:val="39"/>
    <w:semiHidden/>
    <w:unhideWhenUsed/>
    <w:rsid w:val="009f3d7b"/>
    <w:pPr>
      <w:spacing w:lineRule="auto" w:line="240" w:before="0" w:after="0"/>
      <w:ind w:left="960"/>
    </w:pPr>
    <w:rPr>
      <w:rFonts w:ascii="Cambria" w:hAnsi="Cambria" w:eastAsia="Times New Roman" w:cs="Times New Roman"/>
      <w:sz w:val="20"/>
      <w:szCs w:val="20"/>
      <w:lang w:val="en-US"/>
    </w:rPr>
  </w:style>
  <w:style w:type="paragraph" w:styleId="TOC6">
    <w:name w:val="toc 6"/>
    <w:basedOn w:val="Normal"/>
    <w:next w:val="Normal"/>
    <w:autoRedefine/>
    <w:uiPriority w:val="39"/>
    <w:semiHidden/>
    <w:unhideWhenUsed/>
    <w:rsid w:val="009f3d7b"/>
    <w:pPr>
      <w:spacing w:lineRule="auto" w:line="240" w:before="0" w:after="0"/>
      <w:ind w:left="1200"/>
    </w:pPr>
    <w:rPr>
      <w:rFonts w:ascii="Cambria" w:hAnsi="Cambria" w:eastAsia="Times New Roman" w:cs="Times New Roman"/>
      <w:sz w:val="20"/>
      <w:szCs w:val="20"/>
      <w:lang w:val="en-US"/>
    </w:rPr>
  </w:style>
  <w:style w:type="paragraph" w:styleId="TOC7">
    <w:name w:val="toc 7"/>
    <w:basedOn w:val="Normal"/>
    <w:next w:val="Normal"/>
    <w:autoRedefine/>
    <w:uiPriority w:val="39"/>
    <w:semiHidden/>
    <w:unhideWhenUsed/>
    <w:rsid w:val="009f3d7b"/>
    <w:pPr>
      <w:spacing w:lineRule="auto" w:line="240" w:before="0" w:after="0"/>
      <w:ind w:left="1440"/>
    </w:pPr>
    <w:rPr>
      <w:rFonts w:ascii="Cambria" w:hAnsi="Cambria" w:eastAsia="Times New Roman" w:cs="Times New Roman"/>
      <w:sz w:val="20"/>
      <w:szCs w:val="20"/>
      <w:lang w:val="en-US"/>
    </w:rPr>
  </w:style>
  <w:style w:type="paragraph" w:styleId="TOC8">
    <w:name w:val="toc 8"/>
    <w:basedOn w:val="Normal"/>
    <w:next w:val="Normal"/>
    <w:autoRedefine/>
    <w:uiPriority w:val="39"/>
    <w:semiHidden/>
    <w:unhideWhenUsed/>
    <w:rsid w:val="009f3d7b"/>
    <w:pPr>
      <w:spacing w:lineRule="auto" w:line="240" w:before="0" w:after="0"/>
      <w:ind w:left="1680"/>
    </w:pPr>
    <w:rPr>
      <w:rFonts w:ascii="Cambria" w:hAnsi="Cambria" w:eastAsia="Times New Roman" w:cs="Times New Roman"/>
      <w:sz w:val="20"/>
      <w:szCs w:val="20"/>
      <w:lang w:val="en-US"/>
    </w:rPr>
  </w:style>
  <w:style w:type="paragraph" w:styleId="TOC9">
    <w:name w:val="toc 9"/>
    <w:basedOn w:val="Normal"/>
    <w:next w:val="Normal"/>
    <w:autoRedefine/>
    <w:uiPriority w:val="39"/>
    <w:semiHidden/>
    <w:unhideWhenUsed/>
    <w:rsid w:val="009f3d7b"/>
    <w:pPr>
      <w:spacing w:lineRule="auto" w:line="240" w:before="0" w:after="0"/>
      <w:ind w:left="1920"/>
    </w:pPr>
    <w:rPr>
      <w:rFonts w:ascii="Cambria" w:hAnsi="Cambria" w:eastAsia="Times New Roman" w:cs="Times New Roman"/>
      <w:sz w:val="20"/>
      <w:szCs w:val="20"/>
      <w:lang w:val="en-US"/>
    </w:rPr>
  </w:style>
  <w:style w:type="paragraph" w:styleId="BodyTextIndent">
    <w:name w:val="Body Text Indent"/>
    <w:basedOn w:val="Normal"/>
    <w:link w:val="Style14"/>
    <w:rsid w:val="009f3d7b"/>
    <w:pPr>
      <w:spacing w:lineRule="auto" w:line="240" w:before="0" w:after="0"/>
      <w:ind w:firstLine="709"/>
      <w:jc w:val="both"/>
    </w:pPr>
    <w:rPr>
      <w:rFonts w:ascii="Times New Roman" w:hAnsi="Times New Roman" w:eastAsia="Times New Roman" w:cs="Times New Roman"/>
      <w:sz w:val="24"/>
      <w:szCs w:val="20"/>
      <w:lang w:eastAsia="ru-RU"/>
    </w:rPr>
  </w:style>
  <w:style w:type="paragraph" w:styleId="14" w:customStyle="1">
    <w:name w:val="Без интервала1"/>
    <w:link w:val="NoSpacingChar"/>
    <w:qFormat/>
    <w:rsid w:val="009f3d7b"/>
    <w:pPr>
      <w:widowControl/>
      <w:bidi w:val="0"/>
      <w:spacing w:lineRule="auto" w:line="240" w:before="0" w:after="0"/>
      <w:jc w:val="left"/>
    </w:pPr>
    <w:rPr>
      <w:rFonts w:ascii="Calibri" w:hAnsi="Calibri" w:eastAsia="Times New Roman" w:cs="Times New Roman" w:asciiTheme="minorHAnsi" w:hAnsiTheme="minorHAnsi"/>
      <w:color w:val="auto"/>
      <w:kern w:val="0"/>
      <w:sz w:val="22"/>
      <w:szCs w:val="22"/>
      <w:lang w:val="en-US" w:eastAsia="en-US" w:bidi="ar-SA"/>
    </w:rPr>
  </w:style>
  <w:style w:type="paragraph" w:styleId="a-vieta-western" w:customStyle="1">
    <w:name w:val="a-viñeta-western"/>
    <w:basedOn w:val="Normal"/>
    <w:qFormat/>
    <w:rsid w:val="009f3d7b"/>
    <w:pPr>
      <w:spacing w:lineRule="auto" w:line="240" w:beforeAutospacing="1" w:afterAutospacing="1"/>
    </w:pPr>
    <w:rPr>
      <w:rFonts w:ascii="Times New Roman" w:hAnsi="Times New Roman" w:eastAsia="Times New Roman" w:cs="Times New Roman"/>
      <w:sz w:val="24"/>
      <w:szCs w:val="24"/>
      <w:lang w:val="it-IT" w:eastAsia="it-IT"/>
    </w:rPr>
  </w:style>
  <w:style w:type="paragraph" w:styleId="Title">
    <w:name w:val="Title"/>
    <w:basedOn w:val="Normal"/>
    <w:next w:val="BodyText"/>
    <w:link w:val="Style17"/>
    <w:uiPriority w:val="10"/>
    <w:qFormat/>
    <w:rsid w:val="00be2c1d"/>
    <w:pPr>
      <w:keepNext w:val="true"/>
      <w:keepLines/>
      <w:suppressAutoHyphens w:val="true"/>
      <w:spacing w:lineRule="auto" w:line="276" w:before="480" w:after="120"/>
    </w:pPr>
    <w:rPr>
      <w:rFonts w:ascii="Calibri" w:hAnsi="Calibri" w:eastAsia="Calibri" w:cs="Calibri"/>
      <w:b/>
      <w:sz w:val="72"/>
      <w:szCs w:val="72"/>
      <w:lang w:val="kk-KZ" w:eastAsia="ru-RU"/>
    </w:rPr>
  </w:style>
  <w:style w:type="paragraph" w:styleId="Index1">
    <w:name w:val="index 1"/>
    <w:basedOn w:val="Normal"/>
    <w:next w:val="Normal"/>
    <w:autoRedefine/>
    <w:uiPriority w:val="99"/>
    <w:semiHidden/>
    <w:unhideWhenUsed/>
    <w:rsid w:val="00be2c1d"/>
    <w:pPr>
      <w:spacing w:lineRule="auto" w:line="240" w:before="0" w:after="0"/>
      <w:ind w:hanging="220" w:left="220"/>
    </w:pPr>
    <w:rPr/>
  </w:style>
  <w:style w:type="paragraph" w:styleId="15" w:customStyle="1">
    <w:name w:val="Абзац списка1"/>
    <w:basedOn w:val="Normal"/>
    <w:qFormat/>
    <w:rsid w:val="00be2c1d"/>
    <w:pPr>
      <w:suppressAutoHyphens w:val="true"/>
      <w:spacing w:lineRule="auto" w:line="276" w:before="0" w:after="200"/>
      <w:ind w:left="720"/>
    </w:pPr>
    <w:rPr>
      <w:rFonts w:ascii="Calibri" w:hAnsi="Calibri" w:eastAsia="Times New Roman" w:cs="Times New Roman"/>
      <w:lang w:val="kk-KZ" w:eastAsia="ru-RU"/>
    </w:rPr>
  </w:style>
  <w:style w:type="paragraph" w:styleId="Subtitle">
    <w:name w:val="Subtitle"/>
    <w:basedOn w:val="Normal"/>
    <w:next w:val="Normal"/>
    <w:link w:val="Style18"/>
    <w:uiPriority w:val="11"/>
    <w:qFormat/>
    <w:rsid w:val="00be2c1d"/>
    <w:pPr>
      <w:keepNext w:val="true"/>
      <w:keepLines/>
      <w:suppressAutoHyphens w:val="true"/>
      <w:spacing w:lineRule="auto" w:line="276" w:before="360" w:after="80"/>
    </w:pPr>
    <w:rPr>
      <w:rFonts w:ascii="Georgia" w:hAnsi="Georgia" w:eastAsia="Georgia" w:cs="Georgia"/>
      <w:i/>
      <w:color w:val="666666"/>
      <w:sz w:val="48"/>
      <w:szCs w:val="48"/>
      <w:lang w:val="kk-KZ" w:eastAsia="ru-RU"/>
    </w:rPr>
  </w:style>
  <w:style w:type="paragraph" w:styleId="Style19" w:customStyle="1">
    <w:name w:val="Колонтитул"/>
    <w:basedOn w:val="Normal"/>
    <w:qFormat/>
    <w:rsid w:val="00be2c1d"/>
    <w:pPr>
      <w:suppressAutoHyphens w:val="true"/>
      <w:spacing w:lineRule="auto" w:line="276" w:before="0" w:after="200"/>
    </w:pPr>
    <w:rPr>
      <w:rFonts w:ascii="Calibri" w:hAnsi="Calibri" w:eastAsia="Calibri" w:cs="Calibri"/>
      <w:lang w:val="kk-KZ" w:eastAsia="ru-RU"/>
    </w:rPr>
  </w:style>
  <w:style w:type="paragraph" w:styleId="Default" w:customStyle="1">
    <w:name w:val="Default"/>
    <w:qFormat/>
    <w:rsid w:val="00d47c31"/>
    <w:pPr>
      <w:widowControl/>
      <w:bidi w:val="0"/>
      <w:spacing w:lineRule="auto" w:line="240" w:before="0" w:after="0"/>
      <w:jc w:val="left"/>
    </w:pPr>
    <w:rPr>
      <w:rFonts w:ascii="Times New Roman" w:hAnsi="Times New Roman" w:cs="Times New Roman" w:eastAsia="Calibri"/>
      <w:color w:val="000000"/>
      <w:kern w:val="0"/>
      <w:sz w:val="24"/>
      <w:szCs w:val="24"/>
      <w:lang w:val="ru-RU" w:eastAsia="en-US" w:bidi="ar-SA"/>
    </w:rPr>
  </w:style>
  <w:style w:type="paragraph" w:styleId="Style20" w:customStyle="1">
    <w:name w:val="차례제"/>
    <w:basedOn w:val="Normal"/>
    <w:qFormat/>
    <w:rsid w:val="00ac61d9"/>
    <w:pPr>
      <w:snapToGrid w:val="false"/>
      <w:spacing w:lineRule="auto" w:line="480" w:before="280" w:after="0"/>
      <w:ind w:right="400"/>
      <w:jc w:val="both"/>
    </w:pPr>
    <w:rPr>
      <w:rFonts w:ascii="Malgun Gothic" w:hAnsi="Malgun Gothic" w:eastAsia="Malgun Gothic" w:cs="Gulim"/>
      <w:color w:val="000000"/>
      <w:lang w:val="en-US" w:eastAsia="ko-KR"/>
    </w:rPr>
  </w:style>
  <w:style w:type="paragraph" w:styleId="Style21" w:customStyle="1">
    <w:name w:val="УДК_где"/>
    <w:basedOn w:val="Normal"/>
    <w:uiPriority w:val="99"/>
    <w:qFormat/>
    <w:rsid w:val="00ac61d9"/>
    <w:pPr>
      <w:tabs>
        <w:tab w:val="clear" w:pos="708"/>
        <w:tab w:val="left" w:pos="397" w:leader="none"/>
        <w:tab w:val="left" w:pos="567" w:leader="none"/>
        <w:tab w:val="left" w:pos="850" w:leader="none"/>
        <w:tab w:val="left" w:pos="1134" w:leader="none"/>
        <w:tab w:val="left" w:pos="1417" w:leader="none"/>
        <w:tab w:val="left" w:pos="1701" w:leader="none"/>
        <w:tab w:val="left" w:pos="1984" w:leader="none"/>
        <w:tab w:val="left" w:pos="2268" w:leader="none"/>
        <w:tab w:val="left" w:pos="2551" w:leader="none"/>
        <w:tab w:val="left" w:pos="2835" w:leader="none"/>
        <w:tab w:val="left" w:pos="3118" w:leader="none"/>
        <w:tab w:val="left" w:pos="3402" w:leader="none"/>
        <w:tab w:val="left" w:pos="3685" w:leader="none"/>
      </w:tabs>
      <w:suppressAutoHyphens w:val="true"/>
      <w:spacing w:lineRule="auto" w:line="288" w:before="0" w:after="0"/>
      <w:textAlignment w:val="center"/>
    </w:pPr>
    <w:rPr>
      <w:rFonts w:ascii="KZ Times New Roman" w:hAnsi="KZ Times New Roman" w:eastAsia="Times New Roman" w:cs="KZ Times New Roman"/>
      <w:color w:val="000000"/>
      <w:sz w:val="20"/>
      <w:szCs w:val="20"/>
      <w:lang w:eastAsia="ru-RU"/>
    </w:rPr>
  </w:style>
  <w:style w:type="paragraph" w:styleId="16" w:customStyle="1">
    <w:name w:val="Заголовок1"/>
    <w:basedOn w:val="Normal"/>
    <w:next w:val="BodyText"/>
    <w:qFormat/>
    <w:rsid w:val="00401fdc"/>
    <w:pPr>
      <w:keepNext w:val="true"/>
      <w:suppressAutoHyphens w:val="true"/>
      <w:spacing w:before="240" w:after="120"/>
    </w:pPr>
    <w:rPr>
      <w:rFonts w:ascii="Liberation Sans" w:hAnsi="Liberation Sans" w:eastAsia="Microsoft YaHei" w:cs="Lucida Sans"/>
      <w:sz w:val="28"/>
      <w:szCs w:val="28"/>
      <w:lang w:eastAsia="ru-RU"/>
    </w:rPr>
  </w:style>
  <w:style w:type="paragraph" w:styleId="17" w:customStyle="1">
    <w:name w:val="Указатель1"/>
    <w:basedOn w:val="Normal"/>
    <w:qFormat/>
    <w:rsid w:val="00401fdc"/>
    <w:pPr>
      <w:suppressLineNumbers/>
      <w:suppressAutoHyphens w:val="true"/>
    </w:pPr>
    <w:rPr>
      <w:rFonts w:ascii="Calibri" w:hAnsi="Calibri" w:eastAsia="Calibri" w:cs="Lucida Sans"/>
      <w:lang w:eastAsia="ru-RU"/>
    </w:rPr>
  </w:style>
  <w:style w:type="paragraph" w:styleId="22" w:customStyle="1">
    <w:name w:val="Обычный (Интернет)2"/>
    <w:qFormat/>
    <w:rsid w:val="00401fdc"/>
    <w:pPr>
      <w:widowControl/>
      <w:suppressAutoHyphens w:val="true"/>
      <w:bidi w:val="0"/>
      <w:spacing w:lineRule="auto" w:line="240" w:before="280" w:after="280"/>
      <w:jc w:val="left"/>
    </w:pPr>
    <w:rPr>
      <w:rFonts w:ascii="Times New Roman" w:hAnsi="Times New Roman" w:eastAsia="Times New Roman" w:cs="Times New Roman"/>
      <w:color w:val="auto"/>
      <w:kern w:val="0"/>
      <w:sz w:val="24"/>
      <w:szCs w:val="24"/>
      <w:lang w:eastAsia="ru-RU" w:val="ru-RU" w:bidi="ar-SA"/>
    </w:rPr>
  </w:style>
  <w:style w:type="paragraph" w:styleId="HTML1" w:customStyle="1">
    <w:name w:val="Стандартный HTML1"/>
    <w:basedOn w:val="Normal"/>
    <w:qFormat/>
    <w:rsid w:val="00401fdc"/>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auto" w:line="240" w:before="0" w:after="0"/>
    </w:pPr>
    <w:rPr>
      <w:rFonts w:ascii="Courier New" w:hAnsi="Courier New" w:eastAsia="Times New Roman" w:cs="Courier New"/>
      <w:sz w:val="20"/>
      <w:szCs w:val="20"/>
    </w:rPr>
  </w:style>
  <w:style w:type="paragraph" w:styleId="32" w:customStyle="1">
    <w:name w:val="Обычный (Интернет)3"/>
    <w:qFormat/>
    <w:rsid w:val="00fb6490"/>
    <w:pPr>
      <w:widowControl/>
      <w:suppressAutoHyphens w:val="true"/>
      <w:bidi w:val="0"/>
      <w:spacing w:lineRule="auto" w:line="240" w:before="280" w:after="280"/>
      <w:jc w:val="left"/>
    </w:pPr>
    <w:rPr>
      <w:rFonts w:ascii="Times New Roman" w:hAnsi="Times New Roman" w:eastAsia="Times New Roman" w:cs="Times New Roman"/>
      <w:color w:val="auto"/>
      <w:kern w:val="0"/>
      <w:sz w:val="24"/>
      <w:szCs w:val="24"/>
      <w:lang w:eastAsia="ru-RU" w:val="ru-RU" w:bidi="ar-SA"/>
    </w:rPr>
  </w:style>
  <w:style w:type="paragraph" w:styleId="chrome" w:customStyle="1">
    <w:name w:val="chrome"/>
    <w:basedOn w:val="Normal"/>
    <w:qFormat/>
    <w:rsid w:val="005e066c"/>
    <w:pPr>
      <w:spacing w:lineRule="auto" w:line="240" w:beforeAutospacing="1" w:afterAutospacing="1"/>
    </w:pPr>
    <w:rPr>
      <w:rFonts w:ascii="Times New Roman" w:hAnsi="Times New Roman" w:eastAsia="Times New Roman" w:cs="Times New Roman"/>
      <w:sz w:val="24"/>
      <w:szCs w:val="24"/>
      <w:lang w:eastAsia="ru-RU"/>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18" w:customStyle="1">
    <w:name w:val="Нет списка1"/>
    <w:uiPriority w:val="99"/>
    <w:semiHidden/>
    <w:unhideWhenUsed/>
    <w:qFormat/>
    <w:rsid w:val="00097727"/>
  </w:style>
  <w:style w:type="numbering" w:styleId="23" w:customStyle="1">
    <w:name w:val="Нет списка2"/>
    <w:uiPriority w:val="99"/>
    <w:semiHidden/>
    <w:unhideWhenUsed/>
    <w:qFormat/>
    <w:rsid w:val="009f3d7b"/>
  </w:style>
  <w:style w:type="numbering" w:styleId="33" w:customStyle="1">
    <w:name w:val="Нет списка3"/>
    <w:uiPriority w:val="99"/>
    <w:semiHidden/>
    <w:unhideWhenUsed/>
    <w:qFormat/>
    <w:rsid w:val="00be2c1d"/>
  </w:style>
  <w:style w:type="numbering" w:styleId="42" w:customStyle="1">
    <w:name w:val="Нет списка4"/>
    <w:uiPriority w:val="99"/>
    <w:semiHidden/>
    <w:unhideWhenUsed/>
    <w:qFormat/>
    <w:rsid w:val="00ac61d9"/>
  </w:style>
  <w:style w:type="numbering" w:styleId="52" w:customStyle="1">
    <w:name w:val="Нет списка5"/>
    <w:uiPriority w:val="99"/>
    <w:semiHidden/>
    <w:unhideWhenUsed/>
    <w:qFormat/>
    <w:rsid w:val="00fa76df"/>
  </w:style>
  <w:style w:type="numbering" w:styleId="62" w:customStyle="1">
    <w:name w:val="Нет списка6"/>
    <w:uiPriority w:val="99"/>
    <w:semiHidden/>
    <w:unhideWhenUsed/>
    <w:qFormat/>
    <w:rsid w:val="005e066c"/>
  </w:style>
  <w:style w:type="table" w:default="1" w:styleId="a1">
    <w:name w:val="Normal Table"/>
    <w:uiPriority w:val="99"/>
    <w:semiHidden/>
    <w:unhideWhenUsed/>
    <w:tblPr>
      <w:tblCellMar>
        <w:top w:w="0" w:type="dxa"/>
        <w:left w:w="108" w:type="dxa"/>
        <w:bottom w:w="0" w:type="dxa"/>
        <w:right w:w="108" w:type="dxa"/>
      </w:tblCellMar>
    </w:tblPr>
  </w:style>
  <w:style w:type="table" w:styleId="ae">
    <w:name w:val="Table Grid"/>
    <w:basedOn w:val="a1"/>
    <w:uiPriority w:val="39"/>
    <w:qFormat/>
    <w:rsid w:val="00097727"/>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Сетка таблицы1"/>
    <w:basedOn w:val="a1"/>
    <w:uiPriority w:val="39"/>
    <w:rsid w:val="009f3d7b"/>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Сетка таблицы2"/>
    <w:basedOn w:val="a1"/>
    <w:uiPriority w:val="39"/>
    <w:rsid w:val="00c808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rsid w:val="00be2c1d"/>
    <w:pPr>
      <w:spacing w:after="0" w:line="240" w:lineRule="auto"/>
    </w:pPr>
    <w:rPr>
      <w:lang w:val="kk-KZ" w:eastAsia="ru-RU"/>
    </w:rPr>
    <w:tblPr>
      <w:tblCellMar>
        <w:top w:w="0" w:type="dxa"/>
        <w:left w:w="0" w:type="dxa"/>
        <w:bottom w:w="0" w:type="dxa"/>
        <w:right w:w="0" w:type="dxa"/>
      </w:tblCellMar>
    </w:tblPr>
  </w:style>
  <w:style w:type="table" w:customStyle="1" w:styleId="34">
    <w:name w:val="Сетка таблицы3"/>
    <w:basedOn w:val="a1"/>
    <w:uiPriority w:val="39"/>
    <w:rsid w:val="00be2c1d"/>
    <w:pPr>
      <w:spacing w:after="0" w:line="240" w:lineRule="auto"/>
    </w:pPr>
    <w:rPr>
      <w:lang w:val="kk-KZ"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
    <w:name w:val="Сетка таблицы4"/>
    <w:basedOn w:val="a1"/>
    <w:uiPriority w:val="59"/>
    <w:rsid w:val="00ac61d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Сетка таблицы5"/>
    <w:basedOn w:val="a1"/>
    <w:uiPriority w:val="59"/>
    <w:rsid w:val="00fa76df"/>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Сетка таблицы6"/>
    <w:basedOn w:val="a1"/>
    <w:uiPriority w:val="39"/>
    <w:rsid w:val="005e066c"/>
    <w:pPr>
      <w:spacing w:after="0" w:line="240" w:lineRule="auto"/>
    </w:pPr>
    <w:rPr>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rcid.org/0009-0005-0287-7513" TargetMode="External"/><Relationship Id="rId4" Type="http://schemas.openxmlformats.org/officeDocument/2006/relationships/image" Target="media/image1.png"/><Relationship Id="rId5" Type="http://schemas.openxmlformats.org/officeDocument/2006/relationships/hyperlink" Target="https://orcid.org/0000-0002-9832-8885" TargetMode="External"/><Relationship Id="rId6" Type="http://schemas.openxmlformats.org/officeDocument/2006/relationships/hyperlink" Target="mailto:suleimenova.ar@bk.ru" TargetMode="External"/><Relationship Id="rId7" Type="http://schemas.openxmlformats.org/officeDocument/2006/relationships/hyperlink" Target="mailto:suleimenova.ar@bk.ru" TargetMode="External"/><Relationship Id="rId8" Type="http://schemas.openxmlformats.org/officeDocument/2006/relationships/hyperlink" Target="mailto:suleimenova.ar@bk.ru" TargetMode="External"/><Relationship Id="rId9" Type="http://schemas.openxmlformats.org/officeDocument/2006/relationships/hyperlink" Target="https://www.akorda.kz/ru/poslanie-glavy-gosudarstva-kasym-zhomarta-tokaeva-narodu-kazahstana-spravedlivyy-kazahstan-zakon-i-poryadok-ekonomicheskiy-rost-obshchestvennyy-optimizm-285014.-%20%20&#1178;&#1072;&#1088;&#1072;&#1083;&#1171;&#1072;&#1085;" TargetMode="External"/><Relationship Id="rId10" Type="http://schemas.openxmlformats.org/officeDocument/2006/relationships/hyperlink" Target="https://doi.org/10.15507/2413-1407.115.029.202102.250-282" TargetMode="External"/><Relationship Id="rId11" Type="http://schemas.openxmlformats.org/officeDocument/2006/relationships/hyperlink" Target="https://doi.org/10.55871/2072-9847-2024-62-1-167-182" TargetMode="External"/><Relationship Id="rId12" Type="http://schemas.openxmlformats.org/officeDocument/2006/relationships/hyperlink" Target="https://adilet.zan.kz/rus/docs/U1300000634.-" TargetMode="External"/><Relationship Id="rId13" Type="http://schemas.openxmlformats.org/officeDocument/2006/relationships/hyperlink" Target="https://surl.li/oeswbe" TargetMode="External"/><Relationship Id="rId14" Type="http://schemas.openxmlformats.org/officeDocument/2006/relationships/hyperlink" Target="https://doi.org/10.55871/2072-9847-2024-62-1-111-125" TargetMode="External"/><Relationship Id="rId15" Type="http://schemas.openxmlformats.org/officeDocument/2006/relationships/hyperlink" Target="https://www.gov.kz/memleket/entities/anticorruption?lang=ru" TargetMode="External"/><Relationship Id="rId16" Type="http://schemas.openxmlformats.org/officeDocument/2006/relationships/hyperlink" Target="https://adilet.zan.kz/rus/docs/U1300000634" TargetMode="External"/><Relationship Id="rId17" Type="http://schemas.openxmlformats.org/officeDocument/2006/relationships/hyperlink" Target="https://legalinstruments.oecd.org/en/instruments/OECD-LEGAL-0445" TargetMode="External"/><Relationship Id="rId18" Type="http://schemas.openxmlformats.org/officeDocument/2006/relationships/hyperlink" Target="https://publicadministration.un.org/en/Research/World-Public-Sector-Reports" TargetMode="External"/><Relationship Id="rId19" Type="http://schemas.openxmlformats.org/officeDocument/2006/relationships/hyperlink" Target="https://www.gov.kz/memleket/entities/minfin?lang=ru" TargetMode="External"/><Relationship Id="rId20" Type="http://schemas.openxmlformats.org/officeDocument/2006/relationships/hyperlink" Target="https://www.gov.kz/memleket/entities/mdai.-" TargetMode="External"/><Relationship Id="rId21" Type="http://schemas.openxmlformats.org/officeDocument/2006/relationships/hyperlink" Target="https://www.gov.kz/memleket/entities/enbek" TargetMode="External"/><Relationship Id="rId22" Type="http://schemas.openxmlformats.org/officeDocument/2006/relationships/hyperlink" Target="https://www.gov.kz/memleket/entities/esep?lang=ru.-" TargetMode="External"/><Relationship Id="rId23" Type="http://schemas.openxmlformats.org/officeDocument/2006/relationships/hyperlink" Target="https://www.gov.kz/memleket/entities/enbek" TargetMode="External"/><Relationship Id="rId24" Type="http://schemas.openxmlformats.org/officeDocument/2006/relationships/hyperlink" Target="https://adilet.zan.kz/rus/docs/Z1500000392" TargetMode="External"/><Relationship Id="rId25" Type="http://schemas.openxmlformats.org/officeDocument/2006/relationships/hyperlink" Target="https://doi.org/10.15507/2413-1407.115.029.202102.250-282" TargetMode="External"/><Relationship Id="rId26" Type="http://schemas.openxmlformats.org/officeDocument/2006/relationships/hyperlink" Target="https://doi.org/10.55871/2072-9847-2024-62-1-167-182" TargetMode="External"/><Relationship Id="rId27" Type="http://schemas.openxmlformats.org/officeDocument/2006/relationships/hyperlink" Target="https://legalinstruments.oecd.org/en/instruments/OECD-LEGAL-0445" TargetMode="External"/><Relationship Id="rId28" Type="http://schemas.openxmlformats.org/officeDocument/2006/relationships/hyperlink" Target="https://publicadministration.un.org/en/Research/World-Public-Sector-Reports" TargetMode="External"/><Relationship Id="rId29" Type="http://schemas.openxmlformats.org/officeDocument/2006/relationships/hyperlink" Target="https://adilet.zan.kz/rus/docs/Z1500000392.-" TargetMode="External"/><Relationship Id="rId30" Type="http://schemas.openxmlformats.org/officeDocument/2006/relationships/hyperlink" Target="mailto:suleimenova.ar@bk.ru" TargetMode="External"/><Relationship Id="rId31" Type="http://schemas.openxmlformats.org/officeDocument/2006/relationships/hyperlink" Target="mailto:madinaserikova81@gmail.com" TargetMode="External"/><Relationship Id="rId32" Type="http://schemas.openxmlformats.org/officeDocument/2006/relationships/hyperlink" Target="mailto:suleimenova.ar@bk.ru" TargetMode="External"/><Relationship Id="rId33" Type="http://schemas.openxmlformats.org/officeDocument/2006/relationships/hyperlink" Target="mailto:madinaserikova81@gmail.com" TargetMode="External"/><Relationship Id="rId34" Type="http://schemas.openxmlformats.org/officeDocument/2006/relationships/image" Target="media/image1.png"/><Relationship Id="rId35" Type="http://schemas.openxmlformats.org/officeDocument/2006/relationships/hyperlink" Target="https://orcid.org/0009-0002-8393-3246" TargetMode="External"/><Relationship Id="rId36" Type="http://schemas.openxmlformats.org/officeDocument/2006/relationships/image" Target="media/image1.png"/><Relationship Id="rId37" Type="http://schemas.openxmlformats.org/officeDocument/2006/relationships/hyperlink" Target="https://orcid.org/0009-0002-8393-3246" TargetMode="External"/><Relationship Id="rId38" Type="http://schemas.openxmlformats.org/officeDocument/2006/relationships/image" Target="media/image1.png"/><Relationship Id="rId39" Type="http://schemas.openxmlformats.org/officeDocument/2006/relationships/hyperlink" Target="https://orcid.org/0000-0002-0818-9421" TargetMode="External"/><Relationship Id="rId40" Type="http://schemas.openxmlformats.org/officeDocument/2006/relationships/image" Target="media/image1.png"/><Relationship Id="rId41" Type="http://schemas.openxmlformats.org/officeDocument/2006/relationships/hyperlink" Target="https://orcid.org/0000-0002-4942-2605" TargetMode="External"/><Relationship Id="rId42" Type="http://schemas.openxmlformats.org/officeDocument/2006/relationships/image" Target="media/image1.png"/><Relationship Id="rId43" Type="http://schemas.openxmlformats.org/officeDocument/2006/relationships/hyperlink" Target="https://orcid.org/0000-0002-6415-9526" TargetMode="External"/><Relationship Id="rId44" Type="http://schemas.openxmlformats.org/officeDocument/2006/relationships/image" Target="media/image1.png"/><Relationship Id="rId45" Type="http://schemas.openxmlformats.org/officeDocument/2006/relationships/hyperlink" Target="https://orcid.org/0000-0002-7042-4875" TargetMode="External"/><Relationship Id="rId46" Type="http://schemas.openxmlformats.org/officeDocument/2006/relationships/hyperlink" Target="mailto:bolat39@mail.ru" TargetMode="External"/><Relationship Id="rId47" Type="http://schemas.openxmlformats.org/officeDocument/2006/relationships/hyperlink" Target="https://www.un.org/sustainabledevelopment/" TargetMode="External"/><Relationship Id="rId48" Type="http://schemas.openxmlformats.org/officeDocument/2006/relationships/hyperlink" Target="https://www.un.org/sustainabledevelopment/" TargetMode="External"/><Relationship Id="rId49" Type="http://schemas.openxmlformats.org/officeDocument/2006/relationships/hyperlink" Target="mailto:aidos65.65@mail.ru" TargetMode="External"/><Relationship Id="rId50" Type="http://schemas.openxmlformats.org/officeDocument/2006/relationships/hyperlink" Target="mailto:nbegzat@mail.ru" TargetMode="External"/><Relationship Id="rId51" Type="http://schemas.openxmlformats.org/officeDocument/2006/relationships/hyperlink" Target="mailto:nurgulkusaeva@mail.ru" TargetMode="External"/><Relationship Id="rId52" Type="http://schemas.openxmlformats.org/officeDocument/2006/relationships/hyperlink" Target="mailto:honeyzhu@mail.ru" TargetMode="External"/><Relationship Id="rId53" Type="http://schemas.openxmlformats.org/officeDocument/2006/relationships/hyperlink" Target="mailto:bolat39@mail.ru" TargetMode="External"/><Relationship Id="rId54" Type="http://schemas.openxmlformats.org/officeDocument/2006/relationships/hyperlink" Target="mailto:Aigul.m.a@mail.ru" TargetMode="External"/><Relationship Id="rId55" Type="http://schemas.openxmlformats.org/officeDocument/2006/relationships/hyperlink" Target="mailto:Gulpat73@mail.ru" TargetMode="External"/><Relationship Id="rId56" Type="http://schemas.openxmlformats.org/officeDocument/2006/relationships/image" Target="media/image1.png"/><Relationship Id="rId57" Type="http://schemas.openxmlformats.org/officeDocument/2006/relationships/hyperlink" Target="https://orcid.org/0000-0003-2747-0910" TargetMode="External"/><Relationship Id="rId58" Type="http://schemas.openxmlformats.org/officeDocument/2006/relationships/image" Target="media/image1.png"/><Relationship Id="rId59" Type="http://schemas.openxmlformats.org/officeDocument/2006/relationships/hyperlink" Target="https://orcid.org/0000-0003-2314-7438" TargetMode="External"/><Relationship Id="rId60" Type="http://schemas.openxmlformats.org/officeDocument/2006/relationships/image" Target="media/image1.png"/><Relationship Id="rId61" Type="http://schemas.openxmlformats.org/officeDocument/2006/relationships/hyperlink" Target="https://orcid.org/0000-0002-6867-2407" TargetMode="External"/><Relationship Id="rId62" Type="http://schemas.openxmlformats.org/officeDocument/2006/relationships/hyperlink" Target="mailto:aiganym128@mail.ru" TargetMode="External"/><Relationship Id="rId63" Type="http://schemas.openxmlformats.org/officeDocument/2006/relationships/hyperlink" Target="mailto:aiganym128@mail.ru" TargetMode="External"/><Relationship Id="rId64" Type="http://schemas.openxmlformats.org/officeDocument/2006/relationships/hyperlink" Target="mailto:aiganym128@mail.ru" TargetMode="External"/><Relationship Id="rId65" Type="http://schemas.openxmlformats.org/officeDocument/2006/relationships/chart" Target="charts/chart1.xml"/><Relationship Id="rId66" Type="http://schemas.openxmlformats.org/officeDocument/2006/relationships/chart" Target="charts/chart2.xml"/><Relationship Id="rId67" Type="http://schemas.openxmlformats.org/officeDocument/2006/relationships/chart" Target="charts/chart3.xml"/><Relationship Id="rId68" Type="http://schemas.openxmlformats.org/officeDocument/2006/relationships/chart" Target="charts/chart4.xml"/><Relationship Id="rId69" Type="http://schemas.openxmlformats.org/officeDocument/2006/relationships/chart" Target="charts/chart5.xml"/><Relationship Id="rId70" Type="http://schemas.openxmlformats.org/officeDocument/2006/relationships/hyperlink" Target="https://www.mckinsey.com/" TargetMode="External"/><Relationship Id="rId71" Type="http://schemas.openxmlformats.org/officeDocument/2006/relationships/hyperlink" Target="https://www.travelport.com/" TargetMode="External"/><Relationship Id="rId72" Type="http://schemas.openxmlformats.org/officeDocument/2006/relationships/hyperlink" Target="https://www.statista.com/" TargetMode="External"/><Relationship Id="rId73" Type="http://schemas.openxmlformats.org/officeDocument/2006/relationships/hyperlink" Target="https://ffin.kz/research/9-turizm-v-kazakhstane-issledovanie-otrasli-problematika-i-perspektivy" TargetMode="External"/><Relationship Id="rId74" Type="http://schemas.openxmlformats.org/officeDocument/2006/relationships/hyperlink" Target="https://adilet.zan.kz/rus/docs/P2300000262" TargetMode="External"/><Relationship Id="rId75" Type="http://schemas.openxmlformats.org/officeDocument/2006/relationships/hyperlink" Target="https://royal-tulip-almaty.goldentulip.com/en-us/" TargetMode="External"/><Relationship Id="rId76" Type="http://schemas.openxmlformats.org/officeDocument/2006/relationships/hyperlink" Target="https://www.mckinsey.com/" TargetMode="External"/><Relationship Id="rId77" Type="http://schemas.openxmlformats.org/officeDocument/2006/relationships/hyperlink" Target="https://www.travelport.com/" TargetMode="External"/><Relationship Id="rId78" Type="http://schemas.openxmlformats.org/officeDocument/2006/relationships/hyperlink" Target="https://www.statista.com/" TargetMode="External"/><Relationship Id="rId79" Type="http://schemas.openxmlformats.org/officeDocument/2006/relationships/hyperlink" Target="https://ffin.kz/research/9-turizm-v-kazakhstane-issledovanie-otrasli-problematika-i-perspektivy" TargetMode="External"/><Relationship Id="rId80" Type="http://schemas.openxmlformats.org/officeDocument/2006/relationships/hyperlink" Target="https://adilet.zan.kz/rus/docs/P2300000262" TargetMode="External"/><Relationship Id="rId81" Type="http://schemas.openxmlformats.org/officeDocument/2006/relationships/hyperlink" Target="https://royal-tulip-almaty.goldentulip.com/en-us/" TargetMode="External"/><Relationship Id="rId82" Type="http://schemas.openxmlformats.org/officeDocument/2006/relationships/hyperlink" Target="mailto:aiganym128@mail.ru" TargetMode="External"/><Relationship Id="rId83" Type="http://schemas.openxmlformats.org/officeDocument/2006/relationships/hyperlink" Target="mailto:borbasova@mail.ru" TargetMode="External"/><Relationship Id="rId84" Type="http://schemas.openxmlformats.org/officeDocument/2006/relationships/hyperlink" Target="mailto:s_ulakov@mail.ru" TargetMode="External"/><Relationship Id="rId85" Type="http://schemas.openxmlformats.org/officeDocument/2006/relationships/hyperlink" Target="mailto:aiganym128@mail.ru" TargetMode="External"/><Relationship Id="rId86" Type="http://schemas.openxmlformats.org/officeDocument/2006/relationships/hyperlink" Target="mailto:borbasova@mail.ru" TargetMode="External"/><Relationship Id="rId87" Type="http://schemas.openxmlformats.org/officeDocument/2006/relationships/hyperlink" Target="mailto:s_ulakov@mail.ru" TargetMode="External"/><Relationship Id="rId88" Type="http://schemas.openxmlformats.org/officeDocument/2006/relationships/image" Target="media/image1.png"/><Relationship Id="rId89" Type="http://schemas.openxmlformats.org/officeDocument/2006/relationships/hyperlink" Target="http://orcid.org/0000-0002-6623-8703" TargetMode="External"/><Relationship Id="rId90" Type="http://schemas.openxmlformats.org/officeDocument/2006/relationships/image" Target="media/image1.png"/><Relationship Id="rId91" Type="http://schemas.openxmlformats.org/officeDocument/2006/relationships/hyperlink" Target="https://orcid.org/0000-0001-6065-969X" TargetMode="External"/><Relationship Id="rId92" Type="http://schemas.openxmlformats.org/officeDocument/2006/relationships/image" Target="media/image1.png"/><Relationship Id="rId93" Type="http://schemas.openxmlformats.org/officeDocument/2006/relationships/hyperlink" Target="https://orcid.org/0000-0001-6444-2148" TargetMode="External"/><Relationship Id="rId94" Type="http://schemas.openxmlformats.org/officeDocument/2006/relationships/image" Target="media/image1.png"/><Relationship Id="rId95" Type="http://schemas.openxmlformats.org/officeDocument/2006/relationships/hyperlink" Target="https://orcid.org/0000-0002-2565-1614" TargetMode="External"/><Relationship Id="rId96" Type="http://schemas.openxmlformats.org/officeDocument/2006/relationships/image" Target="media/image1.png"/><Relationship Id="rId97" Type="http://schemas.openxmlformats.org/officeDocument/2006/relationships/hyperlink" Target="http://orcid.org/0000-0002-7706-3195" TargetMode="External"/><Relationship Id="rId98" Type="http://schemas.openxmlformats.org/officeDocument/2006/relationships/image" Target="media/image1.png"/><Relationship Id="rId99" Type="http://schemas.openxmlformats.org/officeDocument/2006/relationships/hyperlink" Target="http://orcid.org/0000-0002-8465-6984" TargetMode="External"/><Relationship Id="rId100" Type="http://schemas.openxmlformats.org/officeDocument/2006/relationships/hyperlink" Target="mailto:Sau_1981@mail.ru" TargetMode="External"/><Relationship Id="rId101" Type="http://schemas.openxmlformats.org/officeDocument/2006/relationships/hyperlink" Target="mailto:erniyazov_rust@mail.ru" TargetMode="External"/><Relationship Id="rId102" Type="http://schemas.openxmlformats.org/officeDocument/2006/relationships/hyperlink" Target="https://kz.nesrakonk.ru/acquisition/" TargetMode="External"/><Relationship Id="rId103" Type="http://schemas.openxmlformats.org/officeDocument/2006/relationships/hyperlink" Target="mailto:Sau_1981@mail.ru" TargetMode="External"/><Relationship Id="rId104" Type="http://schemas.openxmlformats.org/officeDocument/2006/relationships/hyperlink" Target="mailto:erniyazov_rust@mail.ru" TargetMode="External"/><Relationship Id="rId105" Type="http://schemas.openxmlformats.org/officeDocument/2006/relationships/hyperlink" Target="mailto:Sau_1981@mail.ru" TargetMode="External"/><Relationship Id="rId106" Type="http://schemas.openxmlformats.org/officeDocument/2006/relationships/hyperlink" Target="mailto:erniyazov_rust@mail.ru" TargetMode="External"/><Relationship Id="rId107" Type="http://schemas.openxmlformats.org/officeDocument/2006/relationships/hyperlink" Target="https://kz.nesrakonk.ru/goodwill/" TargetMode="External"/><Relationship Id="rId108" Type="http://schemas.openxmlformats.org/officeDocument/2006/relationships/hyperlink" Target="http://dx.doi.org/10.2139/ssrn.2464154" TargetMode="External"/><Relationship Id="rId109" Type="http://schemas.openxmlformats.org/officeDocument/2006/relationships/hyperlink" Target="http://dx.doi.org/10.1111/auar.12129" TargetMode="External"/><Relationship Id="rId110" Type="http://schemas.openxmlformats.org/officeDocument/2006/relationships/hyperlink" Target="http://dx.doi.org/10.1111/auar.12200" TargetMode="External"/><Relationship Id="rId111" Type="http://schemas.openxmlformats.org/officeDocument/2006/relationships/hyperlink" Target="http://dx.doi.org/10.1108/IJAIM-02-2016-0018" TargetMode="External"/><Relationship Id="rId112" Type="http://schemas.openxmlformats.org/officeDocument/2006/relationships/hyperlink" Target="https://doi.org/10.1007/s10997-016-9369-x" TargetMode="External"/><Relationship Id="rId113" Type="http://schemas.openxmlformats.org/officeDocument/2006/relationships/hyperlink" Target="https://www.ifrs.org/content/dam/ifrs/meetings/2021/july/iasb-fasb/ap18a-identifiable-intangible-assets-and-subsequent-accounting-for-goodwill.pdf" TargetMode="External"/><Relationship Id="rId114" Type="http://schemas.openxmlformats.org/officeDocument/2006/relationships/hyperlink" Target="http://dx.doi.org/10.1108/JAAR-03-2018-0039" TargetMode="External"/><Relationship Id="rId115" Type="http://schemas.openxmlformats.org/officeDocument/2006/relationships/hyperlink" Target="http://dx.doi.org/10.1007/s12197-015-9349-z" TargetMode="External"/><Relationship Id="rId116" Type="http://schemas.openxmlformats.org/officeDocument/2006/relationships/hyperlink" Target="https://link.springer.com/article/10.1007/s11156-020-00912-x" TargetMode="External"/><Relationship Id="rId117" Type="http://schemas.openxmlformats.org/officeDocument/2006/relationships/hyperlink" Target="http://dx.doi.org/10.1016/j.jcae.2020.100207" TargetMode="External"/><Relationship Id="rId118" Type="http://schemas.openxmlformats.org/officeDocument/2006/relationships/hyperlink" Target="http://dx.doi.org/10.1080/15427560.2017.1274755" TargetMode="External"/><Relationship Id="rId119" Type="http://schemas.openxmlformats.org/officeDocument/2006/relationships/hyperlink" Target="https://online.zakon.kz/Document/?doc_id=31248040" TargetMode="External"/><Relationship Id="rId120" Type="http://schemas.openxmlformats.org/officeDocument/2006/relationships/hyperlink" Target="https://online.zakon.kz/Document/?doc_id=31248040" TargetMode="External"/><Relationship Id="rId121" Type="http://schemas.openxmlformats.org/officeDocument/2006/relationships/hyperlink" Target="http://dx.doi.org/10.2139/ssrn.2464154" TargetMode="External"/><Relationship Id="rId122" Type="http://schemas.openxmlformats.org/officeDocument/2006/relationships/hyperlink" Target="http://dx.doi.org/10.1111/auar.12129" TargetMode="External"/><Relationship Id="rId123" Type="http://schemas.openxmlformats.org/officeDocument/2006/relationships/hyperlink" Target="http://dx.doi.org/10.1111/auar.12200" TargetMode="External"/><Relationship Id="rId124" Type="http://schemas.openxmlformats.org/officeDocument/2006/relationships/hyperlink" Target="http://dx.doi.org/10.1108/IJAIM-02-2016-0018" TargetMode="External"/><Relationship Id="rId125" Type="http://schemas.openxmlformats.org/officeDocument/2006/relationships/hyperlink" Target="https://doi.org/10.1007/s10997-016-9369-x" TargetMode="External"/><Relationship Id="rId126" Type="http://schemas.openxmlformats.org/officeDocument/2006/relationships/hyperlink" Target="https://www.ifrs.org/content/dam/ifrs/meetings/2021/july/iasb-fasb/ap18a-identifiable-intangible-assets-and-subsequent-accounting-for-goodwill.pdf" TargetMode="External"/><Relationship Id="rId127" Type="http://schemas.openxmlformats.org/officeDocument/2006/relationships/hyperlink" Target="http://dx.doi.org/10.1108/JAAR-03-2018-0039" TargetMode="External"/><Relationship Id="rId128" Type="http://schemas.openxmlformats.org/officeDocument/2006/relationships/hyperlink" Target="http://dx.doi.org/10.1007/s12197-015-9349-z" TargetMode="External"/><Relationship Id="rId129" Type="http://schemas.openxmlformats.org/officeDocument/2006/relationships/hyperlink" Target="https://link.springer.com/article/10.1007/s11156-020-00912-x" TargetMode="External"/><Relationship Id="rId130" Type="http://schemas.openxmlformats.org/officeDocument/2006/relationships/hyperlink" Target="http://dx.doi.org/10.1016/j.jcae.2020.100207" TargetMode="External"/><Relationship Id="rId131" Type="http://schemas.openxmlformats.org/officeDocument/2006/relationships/hyperlink" Target="http://dx.doi.org/10.1080/15427560.2017.1274755" TargetMode="External"/><Relationship Id="rId132" Type="http://schemas.openxmlformats.org/officeDocument/2006/relationships/hyperlink" Target="https://online.zakon.kz/Document/?doc_id=31248040" TargetMode="External"/><Relationship Id="rId133" Type="http://schemas.openxmlformats.org/officeDocument/2006/relationships/hyperlink" Target="https://online.zakon.kz/Document/?doc_id=31248040" TargetMode="External"/><Relationship Id="rId134" Type="http://schemas.openxmlformats.org/officeDocument/2006/relationships/hyperlink" Target="mailto:Saulegul0408@gmail.com" TargetMode="External"/><Relationship Id="rId135" Type="http://schemas.openxmlformats.org/officeDocument/2006/relationships/hyperlink" Target="mailto:erniyazov_rust@mail.ru" TargetMode="External"/><Relationship Id="rId136" Type="http://schemas.openxmlformats.org/officeDocument/2006/relationships/hyperlink" Target="mailto:alpysbayeva.ainur77@mail.ru" TargetMode="External"/><Relationship Id="rId137" Type="http://schemas.openxmlformats.org/officeDocument/2006/relationships/hyperlink" Target="mailto:bahyt_jumataeva@mail.ru" TargetMode="External"/><Relationship Id="rId138" Type="http://schemas.openxmlformats.org/officeDocument/2006/relationships/hyperlink" Target="mailto:Nusup86@mail.ru" TargetMode="External"/><Relationship Id="rId139" Type="http://schemas.openxmlformats.org/officeDocument/2006/relationships/hyperlink" Target="mailto:Asem_kt_1985@mail.ru" TargetMode="External"/><Relationship Id="rId140" Type="http://schemas.openxmlformats.org/officeDocument/2006/relationships/hyperlink" Target="mailto:Saulegul0408@gmail.com" TargetMode="External"/><Relationship Id="rId141" Type="http://schemas.openxmlformats.org/officeDocument/2006/relationships/hyperlink" Target="mailto:erniyazov_rust@mail.ru" TargetMode="External"/><Relationship Id="rId142" Type="http://schemas.openxmlformats.org/officeDocument/2006/relationships/hyperlink" Target="mailto:alpysbayeva.ainur77@mail.ru" TargetMode="External"/><Relationship Id="rId143" Type="http://schemas.openxmlformats.org/officeDocument/2006/relationships/hyperlink" Target="mailto:bahyt_jumataeva@mail.ru" TargetMode="External"/><Relationship Id="rId144" Type="http://schemas.openxmlformats.org/officeDocument/2006/relationships/hyperlink" Target="mailto:Nusup86@mail.ru" TargetMode="External"/><Relationship Id="rId145" Type="http://schemas.openxmlformats.org/officeDocument/2006/relationships/hyperlink" Target="mailto:Asem_kt_1985@mail.ru" TargetMode="External"/><Relationship Id="rId146" Type="http://schemas.openxmlformats.org/officeDocument/2006/relationships/image" Target="media/image1.png"/><Relationship Id="rId147" Type="http://schemas.openxmlformats.org/officeDocument/2006/relationships/hyperlink" Target="https://orcid.org/0009-0000-3126-965X" TargetMode="External"/><Relationship Id="rId148" Type="http://schemas.openxmlformats.org/officeDocument/2006/relationships/image" Target="media/image1.png"/><Relationship Id="rId149" Type="http://schemas.openxmlformats.org/officeDocument/2006/relationships/hyperlink" Target="https://orcid.org/0000-0003-3414-1787" TargetMode="External"/><Relationship Id="rId150" Type="http://schemas.openxmlformats.org/officeDocument/2006/relationships/image" Target="media/image1.png"/><Relationship Id="rId151" Type="http://schemas.openxmlformats.org/officeDocument/2006/relationships/hyperlink" Target="https://orcid.org/0009-0009-7500-4931" TargetMode="External"/><Relationship Id="rId152" Type="http://schemas.openxmlformats.org/officeDocument/2006/relationships/image" Target="media/image1.png"/><Relationship Id="rId153" Type="http://schemas.openxmlformats.org/officeDocument/2006/relationships/hyperlink" Target="https://orcid.org/0009-0000-2813-6661" TargetMode="External"/><Relationship Id="rId154" Type="http://schemas.openxmlformats.org/officeDocument/2006/relationships/image" Target="media/image1.png"/><Relationship Id="rId155" Type="http://schemas.openxmlformats.org/officeDocument/2006/relationships/hyperlink" Target="https://orcid.org/0000-0002-7462-5340" TargetMode="External"/><Relationship Id="rId156" Type="http://schemas.openxmlformats.org/officeDocument/2006/relationships/image" Target="media/image1.png"/><Relationship Id="rId157" Type="http://schemas.openxmlformats.org/officeDocument/2006/relationships/hyperlink" Target="https://orcid.org/0009-0004-3436-1477" TargetMode="External"/><Relationship Id="rId158" Type="http://schemas.openxmlformats.org/officeDocument/2006/relationships/hyperlink" Target="mailto:bektaev_alibek@mail.ru" TargetMode="External"/><Relationship Id="rId159" Type="http://schemas.openxmlformats.org/officeDocument/2006/relationships/hyperlink" Target="mailto:bektaev_alibek@mail.ru" TargetMode="External"/><Relationship Id="rId160" Type="http://schemas.openxmlformats.org/officeDocument/2006/relationships/hyperlink" Target="mailto:bektaev_alibek@mail.ru" TargetMode="External"/><Relationship Id="rId161" Type="http://schemas.openxmlformats.org/officeDocument/2006/relationships/chart" Target="charts/chart6.xml"/><Relationship Id="rId162" Type="http://schemas.openxmlformats.org/officeDocument/2006/relationships/chart" Target="charts/chart7.xml"/><Relationship Id="rId163" Type="http://schemas.openxmlformats.org/officeDocument/2006/relationships/chart" Target="charts/chart8.xml"/><Relationship Id="rId164" Type="http://schemas.openxmlformats.org/officeDocument/2006/relationships/chart" Target="charts/chart9.xml"/><Relationship Id="rId165" Type="http://schemas.openxmlformats.org/officeDocument/2006/relationships/image" Target="media/image2.jpeg"/><Relationship Id="rId166" Type="http://schemas.openxmlformats.org/officeDocument/2006/relationships/image" Target="media/image3.jpeg"/><Relationship Id="rId167" Type="http://schemas.openxmlformats.org/officeDocument/2006/relationships/image" Target="media/image4.png"/><Relationship Id="rId168" Type="http://schemas.openxmlformats.org/officeDocument/2006/relationships/hyperlink" Target="https://doi.org/10.1016/j.foodpol.2022.102269" TargetMode="External"/><Relationship Id="rId169" Type="http://schemas.openxmlformats.org/officeDocument/2006/relationships/hyperlink" Target="https://doi.org/10.1016/j.cosust.2020.08.003" TargetMode="External"/><Relationship Id="rId170" Type="http://schemas.openxmlformats.org/officeDocument/2006/relationships/hyperlink" Target="https://doi.org/10.1007/978-3-030-88802-2" TargetMode="External"/><Relationship Id="rId171" Type="http://schemas.openxmlformats.org/officeDocument/2006/relationships/hyperlink" Target="http://hdl.handle.net/10986/33397" TargetMode="External"/><Relationship Id="rId172" Type="http://schemas.openxmlformats.org/officeDocument/2006/relationships/hyperlink" Target="https://doi.org/10.46914/1562-2959-2020-1-4-219-225" TargetMode="External"/><Relationship Id="rId173" Type="http://schemas.openxmlformats.org/officeDocument/2006/relationships/hyperlink" Target="https://doi.org/10.1177/0030727020931122" TargetMode="External"/><Relationship Id="rId174" Type="http://schemas.openxmlformats.org/officeDocument/2006/relationships/hyperlink" Target="https://doi.org/10.1007/978-3-030-50991-0" TargetMode="External"/><Relationship Id="rId175" Type="http://schemas.openxmlformats.org/officeDocument/2006/relationships/hyperlink" Target="https://doi.org/10.17306/J.JARD.2017.00317" TargetMode="External"/><Relationship Id="rId176" Type="http://schemas.openxmlformats.org/officeDocument/2006/relationships/hyperlink" Target="https://doi.org/10.46666/2023-1.2708-9991.02" TargetMode="External"/><Relationship Id="rId177" Type="http://schemas.openxmlformats.org/officeDocument/2006/relationships/hyperlink" Target="https://doi.org/10.46666/2023-3.2708-9991.03" TargetMode="External"/><Relationship Id="rId178" Type="http://schemas.openxmlformats.org/officeDocument/2006/relationships/hyperlink" Target="https://doi.org/10.46914/1562-2959-2024-1-1-156-169" TargetMode="External"/><Relationship Id="rId179" Type="http://schemas.openxmlformats.org/officeDocument/2006/relationships/hyperlink" Target="https://doi.org/10.1007/s13165-022-00392-4" TargetMode="External"/><Relationship Id="rId180" Type="http://schemas.openxmlformats.org/officeDocument/2006/relationships/hyperlink" Target="https://doi.org/10.1016/S2095-3119(21)63751-6" TargetMode="External"/><Relationship Id="rId181" Type="http://schemas.openxmlformats.org/officeDocument/2006/relationships/hyperlink" Target="https://doi.org/10.1051/bioconf/202516100039" TargetMode="External"/><Relationship Id="rId182" Type="http://schemas.openxmlformats.org/officeDocument/2006/relationships/hyperlink" Target="https://www.mckinsey.com/industries/agriculture/our-insights/global-farmer-insights-2024" TargetMode="External"/><Relationship Id="rId183" Type="http://schemas.openxmlformats.org/officeDocument/2006/relationships/hyperlink" Target="https://www.wipo.int/web-publications/global-innovation-index-2024/en/gii-2024-results.html" TargetMode="External"/><Relationship Id="rId184" Type="http://schemas.openxmlformats.org/officeDocument/2006/relationships/hyperlink" Target="https://www.oecd.org/en/publications/2024/07/oecd-fao-agricultural-outlook-2024-2033_e173f332.html" TargetMode="External"/><Relationship Id="rId185" Type="http://schemas.openxmlformats.org/officeDocument/2006/relationships/hyperlink" Target="https://adilet.zan.kz/rus/docs/P2100000960" TargetMode="External"/><Relationship Id="rId186" Type="http://schemas.openxmlformats.org/officeDocument/2006/relationships/hyperlink" Target="https://data.worldbank.org/topic/agriculture-and-rural-development" TargetMode="External"/><Relationship Id="rId187" Type="http://schemas.openxmlformats.org/officeDocument/2006/relationships/hyperlink" Target="https://doi.org/10.1016/j.gfs.2019.100347" TargetMode="External"/><Relationship Id="rId188" Type="http://schemas.openxmlformats.org/officeDocument/2006/relationships/hyperlink" Target="https://adilet.zan.kz/rus/docs/P2100000960" TargetMode="External"/><Relationship Id="rId189" Type="http://schemas.openxmlformats.org/officeDocument/2006/relationships/hyperlink" Target="https://doi.org/10.1016/j.foodpol.2022.102269" TargetMode="External"/><Relationship Id="rId190" Type="http://schemas.openxmlformats.org/officeDocument/2006/relationships/hyperlink" Target="https://doi.org/10.1016/j.cosust.2020.08.003" TargetMode="External"/><Relationship Id="rId191" Type="http://schemas.openxmlformats.org/officeDocument/2006/relationships/hyperlink" Target="https://doi.org/10.1007/978-3-030-88802-2" TargetMode="External"/><Relationship Id="rId192" Type="http://schemas.openxmlformats.org/officeDocument/2006/relationships/hyperlink" Target="http://hdl.handle.net/10986/33397" TargetMode="External"/><Relationship Id="rId193" Type="http://schemas.openxmlformats.org/officeDocument/2006/relationships/hyperlink" Target="https://doi.org/10.1177/0030727020931122" TargetMode="External"/><Relationship Id="rId194" Type="http://schemas.openxmlformats.org/officeDocument/2006/relationships/hyperlink" Target="https://doi.org/10.1007/978-3-030-50991-0" TargetMode="External"/><Relationship Id="rId195" Type="http://schemas.openxmlformats.org/officeDocument/2006/relationships/hyperlink" Target="https://doi.org/10.17306/J.JARD.2017.00317" TargetMode="External"/><Relationship Id="rId196" Type="http://schemas.openxmlformats.org/officeDocument/2006/relationships/hyperlink" Target="https://doi.org/10.1007/s13165-022-00392-4" TargetMode="External"/><Relationship Id="rId197" Type="http://schemas.openxmlformats.org/officeDocument/2006/relationships/hyperlink" Target="https://doi.org/10.1016/S2095-3119(21)63751-6" TargetMode="External"/><Relationship Id="rId198" Type="http://schemas.openxmlformats.org/officeDocument/2006/relationships/hyperlink" Target="https://doi.org/10.1051/bioconf/202516100039" TargetMode="External"/><Relationship Id="rId199" Type="http://schemas.openxmlformats.org/officeDocument/2006/relationships/hyperlink" Target="https://www.mckinsey.com/industries/agriculture/our-insights/global-farmer-insights-2024" TargetMode="External"/><Relationship Id="rId200" Type="http://schemas.openxmlformats.org/officeDocument/2006/relationships/hyperlink" Target="https://www.wipo.int/web-publications/global-innovation-index-2024/en/gii-2024-results.html" TargetMode="External"/><Relationship Id="rId201" Type="http://schemas.openxmlformats.org/officeDocument/2006/relationships/hyperlink" Target="https://www.oecd.org/en/publications/2024/07/oecd-fao-agricultural-outlook-2024-2033_e173f332.html" TargetMode="External"/><Relationship Id="rId202" Type="http://schemas.openxmlformats.org/officeDocument/2006/relationships/hyperlink" Target="https://www.gov.kz/memleket/entities/moa/documents/details/274532?lang=ru" TargetMode="External"/><Relationship Id="rId203" Type="http://schemas.openxmlformats.org/officeDocument/2006/relationships/hyperlink" Target="https://data.worldbank.org/topic/agriculture-and-rural-development" TargetMode="External"/><Relationship Id="rId204" Type="http://schemas.openxmlformats.org/officeDocument/2006/relationships/hyperlink" Target="https://doi.org/10.1016/j.gfs.2019.100347" TargetMode="External"/><Relationship Id="rId205" Type="http://schemas.openxmlformats.org/officeDocument/2006/relationships/hyperlink" Target="https://adilet.zan.kz/rus/docs/P2100000960" TargetMode="External"/><Relationship Id="rId206" Type="http://schemas.openxmlformats.org/officeDocument/2006/relationships/hyperlink" Target="mailto:bektaev_alibek@mail.ru" TargetMode="External"/><Relationship Id="rId207" Type="http://schemas.openxmlformats.org/officeDocument/2006/relationships/hyperlink" Target="mailto:saparova_g.k@mail.ru" TargetMode="External"/><Relationship Id="rId208" Type="http://schemas.openxmlformats.org/officeDocument/2006/relationships/hyperlink" Target="mailto:meir.raikhan@mail.ru" TargetMode="External"/><Relationship Id="rId209" Type="http://schemas.openxmlformats.org/officeDocument/2006/relationships/hyperlink" Target="mailto:asel_ramazanova@bk.ru" TargetMode="External"/><Relationship Id="rId210" Type="http://schemas.openxmlformats.org/officeDocument/2006/relationships/hyperlink" Target="mailto:sergeybespalyy74@gmail.com" TargetMode="External"/><Relationship Id="rId211" Type="http://schemas.openxmlformats.org/officeDocument/2006/relationships/hyperlink" Target="mailto:Bsbook@icloud.com" TargetMode="External"/><Relationship Id="rId212" Type="http://schemas.openxmlformats.org/officeDocument/2006/relationships/image" Target="media/image1.png"/><Relationship Id="rId213" Type="http://schemas.openxmlformats.org/officeDocument/2006/relationships/hyperlink" Target="https://orcid.org/0000-0002-8859-7766" TargetMode="External"/><Relationship Id="rId214" Type="http://schemas.openxmlformats.org/officeDocument/2006/relationships/image" Target="media/image1.png"/><Relationship Id="rId215" Type="http://schemas.openxmlformats.org/officeDocument/2006/relationships/hyperlink" Target="https://orcid.org/0000-0002-3570-8936" TargetMode="External"/><Relationship Id="rId216" Type="http://schemas.openxmlformats.org/officeDocument/2006/relationships/image" Target="media/image1.png"/><Relationship Id="rId217" Type="http://schemas.openxmlformats.org/officeDocument/2006/relationships/hyperlink" Target="https://orcid.org/0000-0003-3013-8513" TargetMode="External"/><Relationship Id="rId218" Type="http://schemas.openxmlformats.org/officeDocument/2006/relationships/image" Target="media/image1.png"/><Relationship Id="rId219" Type="http://schemas.openxmlformats.org/officeDocument/2006/relationships/hyperlink" Target="https://orcid.org/0000-0001-5206-3095" TargetMode="External"/><Relationship Id="rId220" Type="http://schemas.openxmlformats.org/officeDocument/2006/relationships/hyperlink" Target="mailto:indira76.00@mail.ru" TargetMode="External"/><Relationship Id="rId221" Type="http://schemas.openxmlformats.org/officeDocument/2006/relationships/hyperlink" Target="mailto:e-mail:%20indira76.00@mail.ru" TargetMode="External"/><Relationship Id="rId222" Type="http://schemas.openxmlformats.org/officeDocument/2006/relationships/hyperlink" Target="mailto:e-mail:%20indira76.00@mail.ru" TargetMode="External"/><Relationship Id="rId223" Type="http://schemas.openxmlformats.org/officeDocument/2006/relationships/chart" Target="charts/chart10.xml"/><Relationship Id="rId224" Type="http://schemas.openxmlformats.org/officeDocument/2006/relationships/hyperlink" Target="https://doi.org/10.48550/arXiv.1905.02092" TargetMode="External"/><Relationship Id="rId225" Type="http://schemas.openxmlformats.org/officeDocument/2006/relationships/hyperlink" Target="url:https://hai.stanford.edu/assets/files/hai_ai-index-report-2024-smaller2.pdf" TargetMode="External"/><Relationship Id="rId226" Type="http://schemas.openxmlformats.org/officeDocument/2006/relationships/hyperlink" Target="https://astanatimes.com/author/?author=Dana+Omirgazy" TargetMode="External"/><Relationship Id="rId227" Type="http://schemas.openxmlformats.org/officeDocument/2006/relationships/hyperlink" Target="https://primeminister.kz/ru/news/gotovnost-kazakhstana-k-vnedreniyu-ii-v-struktury-ekonomiki-otsenivaetsya-kak-vysokaya-zhaslan-madiev-28790" TargetMode="External"/><Relationship Id="rId228" Type="http://schemas.openxmlformats.org/officeDocument/2006/relationships/hyperlink" Target="https://doi.org/10.48550/arXiv.1905.02092" TargetMode="External"/><Relationship Id="rId229" Type="http://schemas.openxmlformats.org/officeDocument/2006/relationships/hyperlink" Target="url:https://ranking.kz/reviews/world/kazahstan-voshyol-v-top-50-stran-naibolee-podgotovlennyh-k-vnedreniyu-ii.html" TargetMode="External"/><Relationship Id="rId230" Type="http://schemas.openxmlformats.org/officeDocument/2006/relationships/hyperlink" Target="url:https://hai.stanford.edu/assets/files/hai_ai-index-report-2024-smaller2.pdf" TargetMode="External"/><Relationship Id="rId231" Type="http://schemas.openxmlformats.org/officeDocument/2006/relationships/hyperlink" Target="https://astanatimes.com/author/?author=Dana+Omirgazy" TargetMode="External"/><Relationship Id="rId232" Type="http://schemas.openxmlformats.org/officeDocument/2006/relationships/hyperlink" Target="https://primeminister.kz/ru/news/gotovnost-kazakhstana-k-vnedreniyu-ii-v-struktury-ekonomiki-otsenivaetsya-kak-vysokaya-zhaslan-madiev-28790" TargetMode="External"/><Relationship Id="rId233" Type="http://schemas.openxmlformats.org/officeDocument/2006/relationships/hyperlink" Target="mailto:guh_umarova@mail.ru" TargetMode="External"/><Relationship Id="rId234" Type="http://schemas.openxmlformats.org/officeDocument/2006/relationships/hyperlink" Target="mailto:indira76.00@mail.ru" TargetMode="External"/><Relationship Id="rId235" Type="http://schemas.openxmlformats.org/officeDocument/2006/relationships/hyperlink" Target="mailto:erlan72@gmail.com" TargetMode="External"/><Relationship Id="rId236" Type="http://schemas.openxmlformats.org/officeDocument/2006/relationships/hyperlink" Target="mailto:indira76.00@mail.ru" TargetMode="External"/><Relationship Id="rId237" Type="http://schemas.openxmlformats.org/officeDocument/2006/relationships/hyperlink" Target="mailto:maylenkylova@mail.ru" TargetMode="External"/><Relationship Id="rId238" Type="http://schemas.openxmlformats.org/officeDocument/2006/relationships/hyperlink" Target="mailto:erlan72@gmail.com" TargetMode="External"/><Relationship Id="rId239" Type="http://schemas.openxmlformats.org/officeDocument/2006/relationships/image" Target="media/image1.png"/><Relationship Id="rId240" Type="http://schemas.openxmlformats.org/officeDocument/2006/relationships/hyperlink" Target="https://orcid.org/0009-0006-1233-1386" TargetMode="External"/><Relationship Id="rId241" Type="http://schemas.openxmlformats.org/officeDocument/2006/relationships/image" Target="media/image1.png"/><Relationship Id="rId242" Type="http://schemas.openxmlformats.org/officeDocument/2006/relationships/hyperlink" Target="https://orcid.org/0000-0002-8109-2896" TargetMode="External"/><Relationship Id="rId243" Type="http://schemas.openxmlformats.org/officeDocument/2006/relationships/image" Target="media/image1.png"/><Relationship Id="rId244" Type="http://schemas.openxmlformats.org/officeDocument/2006/relationships/hyperlink" Target="https://orcid.org/0009-0001-4214-5473" TargetMode="External"/><Relationship Id="rId245" Type="http://schemas.openxmlformats.org/officeDocument/2006/relationships/image" Target="media/image1.png"/><Relationship Id="rId246" Type="http://schemas.openxmlformats.org/officeDocument/2006/relationships/hyperlink" Target="https://orcid.org/0000-0002-4412-9813" TargetMode="External"/><Relationship Id="rId247" Type="http://schemas.openxmlformats.org/officeDocument/2006/relationships/hyperlink" Target="mailto:dos_25.97@mail.ru" TargetMode="External"/><Relationship Id="rId248" Type="http://schemas.openxmlformats.org/officeDocument/2006/relationships/hyperlink" Target="mailto:dos_25.97@mail.ru" TargetMode="External"/><Relationship Id="rId249" Type="http://schemas.openxmlformats.org/officeDocument/2006/relationships/hyperlink" Target="mailto:dos_25.97@mail.ru" TargetMode="External"/><Relationship Id="rId250" Type="http://schemas.openxmlformats.org/officeDocument/2006/relationships/hyperlink" Target="https://DOI/" TargetMode="External"/><Relationship Id="rId251" Type="http://schemas.openxmlformats.org/officeDocument/2006/relationships/hyperlink" Target="https://www.researchgate.net/journal/Review-of-Applied-Accounting-Research-RAAR-2807-8969?_tp=eyJjb250ZXh0Ijp7ImZpcnN0UGFnZSI6InB1YmxpY2F0aW9uIiwicGFnZSI6InB1YmxpY2F0aW9uIn19" TargetMode="External"/><Relationship Id="rId252" Type="http://schemas.openxmlformats.org/officeDocument/2006/relationships/hyperlink" Target="https://DOI/" TargetMode="External"/><Relationship Id="rId253" Type="http://schemas.openxmlformats.org/officeDocument/2006/relationships/hyperlink" Target="https://www.researchgate.net/journal/Review-of-Applied-Accounting-Research-RAAR-2807-8969?_tp=eyJjb250ZXh0Ijp7ImZpcnN0UGFnZSI6InB1YmxpY2F0aW9uIiwicGFnZSI6InB1YmxpY2F0aW9uIn19" TargetMode="External"/><Relationship Id="rId254" Type="http://schemas.openxmlformats.org/officeDocument/2006/relationships/hyperlink" Target="mailto:dos_25.97@mail.ru" TargetMode="External"/><Relationship Id="rId255" Type="http://schemas.openxmlformats.org/officeDocument/2006/relationships/hyperlink" Target="mailto:issayeva_bk@enu.kz" TargetMode="External"/><Relationship Id="rId256" Type="http://schemas.openxmlformats.org/officeDocument/2006/relationships/hyperlink" Target="mailto:manshuk.kenzhegul@mail.ru" TargetMode="External"/><Relationship Id="rId257" Type="http://schemas.openxmlformats.org/officeDocument/2006/relationships/hyperlink" Target="mailto:jaseit@mail.ru" TargetMode="External"/><Relationship Id="rId258" Type="http://schemas.openxmlformats.org/officeDocument/2006/relationships/hyperlink" Target="mailto:dos_25.97@mail.ru" TargetMode="External"/><Relationship Id="rId259" Type="http://schemas.openxmlformats.org/officeDocument/2006/relationships/hyperlink" Target="mailto:issayeva_bk@enu.kz" TargetMode="External"/><Relationship Id="rId260" Type="http://schemas.openxmlformats.org/officeDocument/2006/relationships/hyperlink" Target="mailto:manshuk.kenzhegul@mail.ru" TargetMode="External"/><Relationship Id="rId261" Type="http://schemas.openxmlformats.org/officeDocument/2006/relationships/hyperlink" Target="mailto:jaseit@mail.ru" TargetMode="External"/><Relationship Id="rId262" Type="http://schemas.openxmlformats.org/officeDocument/2006/relationships/image" Target="media/image1.png"/><Relationship Id="rId263" Type="http://schemas.openxmlformats.org/officeDocument/2006/relationships/hyperlink" Target="https://orcid.org/0000-0001-6494-0681" TargetMode="External"/><Relationship Id="rId264" Type="http://schemas.openxmlformats.org/officeDocument/2006/relationships/image" Target="media/image1.png"/><Relationship Id="rId265" Type="http://schemas.openxmlformats.org/officeDocument/2006/relationships/hyperlink" Target="https://orcid.org/0000-0002-4504-1418" TargetMode="External"/><Relationship Id="rId266" Type="http://schemas.openxmlformats.org/officeDocument/2006/relationships/image" Target="media/image1.png"/><Relationship Id="rId267" Type="http://schemas.openxmlformats.org/officeDocument/2006/relationships/hyperlink" Target="https://orcid.org/0000-0002-1837-6706" TargetMode="External"/><Relationship Id="rId268" Type="http://schemas.openxmlformats.org/officeDocument/2006/relationships/image" Target="media/image1.png"/><Relationship Id="rId269" Type="http://schemas.openxmlformats.org/officeDocument/2006/relationships/hyperlink" Target="https://orcid.org/0000-0002-6465-3524" TargetMode="External"/><Relationship Id="rId270" Type="http://schemas.openxmlformats.org/officeDocument/2006/relationships/image" Target="media/image1.png"/><Relationship Id="rId271" Type="http://schemas.openxmlformats.org/officeDocument/2006/relationships/hyperlink" Target="https://orcid.org/0000-0002-4268-9382" TargetMode="External"/><Relationship Id="rId272" Type="http://schemas.openxmlformats.org/officeDocument/2006/relationships/hyperlink" Target="mailto:d.satybaldiyeva@satbayev.university" TargetMode="External"/><Relationship Id="rId273" Type="http://schemas.openxmlformats.org/officeDocument/2006/relationships/image" Target="media/image5.png"/><Relationship Id="rId274" Type="http://schemas.openxmlformats.org/officeDocument/2006/relationships/hyperlink" Target="https://ayu.edu.kz/en/2795/surdurulebilir-kalkinma-hedefleri" TargetMode="External"/><Relationship Id="rId275" Type="http://schemas.openxmlformats.org/officeDocument/2006/relationships/hyperlink" Target="http://dx.doi.org/10.1515/9781503619715" TargetMode="External"/><Relationship Id="rId276" Type="http://schemas.openxmlformats.org/officeDocument/2006/relationships/hyperlink" Target="https://doi.org/10.4324/9781856179249" TargetMode="External"/><Relationship Id="rId277" Type="http://schemas.openxmlformats.org/officeDocument/2006/relationships/hyperlink" Target="mailto:keneshbayev_bektur@ayu.edu.kz" TargetMode="External"/><Relationship Id="rId278" Type="http://schemas.openxmlformats.org/officeDocument/2006/relationships/hyperlink" Target="mailto:saule.kaltaeva@iuth.edu.kz" TargetMode="External"/><Relationship Id="rId279" Type="http://schemas.openxmlformats.org/officeDocument/2006/relationships/hyperlink" Target="mailto:Alua012@mail.ru" TargetMode="External"/><Relationship Id="rId280" Type="http://schemas.openxmlformats.org/officeDocument/2006/relationships/image" Target="media/image6.png"/><Relationship Id="rId281" Type="http://schemas.openxmlformats.org/officeDocument/2006/relationships/hyperlink" Target="https://orcid.org/0000-0001-6546-3784" TargetMode="External"/><Relationship Id="rId282" Type="http://schemas.openxmlformats.org/officeDocument/2006/relationships/image" Target="media/image6.png"/><Relationship Id="rId283" Type="http://schemas.openxmlformats.org/officeDocument/2006/relationships/hyperlink" Target="https://orcid.org/0000-0002-7958-6854" TargetMode="External"/><Relationship Id="rId284" Type="http://schemas.openxmlformats.org/officeDocument/2006/relationships/image" Target="media/image6.png"/><Relationship Id="rId285" Type="http://schemas.openxmlformats.org/officeDocument/2006/relationships/hyperlink" Target="https://orcid.org/0000-0003-0216-0780" TargetMode="External"/><Relationship Id="rId286" Type="http://schemas.openxmlformats.org/officeDocument/2006/relationships/image" Target="media/image6.png"/><Relationship Id="rId287" Type="http://schemas.openxmlformats.org/officeDocument/2006/relationships/hyperlink" Target="https://orcid.org/0000-0003-2815-8726" TargetMode="External"/><Relationship Id="rId288" Type="http://schemas.openxmlformats.org/officeDocument/2006/relationships/image" Target="media/image6.png"/><Relationship Id="rId289" Type="http://schemas.openxmlformats.org/officeDocument/2006/relationships/hyperlink" Target="https://orcid.org/0000-0002-9414-5504" TargetMode="External"/><Relationship Id="rId290" Type="http://schemas.openxmlformats.org/officeDocument/2006/relationships/image" Target="media/image7.wmf"/><Relationship Id="rId291" Type="http://schemas.openxmlformats.org/officeDocument/2006/relationships/image" Target="media/image7.wmf"/><Relationship Id="rId292" Type="http://schemas.openxmlformats.org/officeDocument/2006/relationships/image" Target="media/image8.wmf"/><Relationship Id="rId293" Type="http://schemas.openxmlformats.org/officeDocument/2006/relationships/image" Target="media/image8.wmf"/><Relationship Id="rId294" Type="http://schemas.openxmlformats.org/officeDocument/2006/relationships/image" Target="media/image9.wmf"/><Relationship Id="rId295" Type="http://schemas.openxmlformats.org/officeDocument/2006/relationships/image" Target="media/image9.wmf"/><Relationship Id="rId296" Type="http://schemas.openxmlformats.org/officeDocument/2006/relationships/image" Target="media/image10.wmf"/><Relationship Id="rId297" Type="http://schemas.openxmlformats.org/officeDocument/2006/relationships/image" Target="media/image10.wmf"/><Relationship Id="rId298" Type="http://schemas.openxmlformats.org/officeDocument/2006/relationships/image" Target="media/image11.png"/><Relationship Id="rId299" Type="http://schemas.openxmlformats.org/officeDocument/2006/relationships/hyperlink" Target="https://adilet.zan.kz/rus/docs/P1900000982/history.-&#1044;&#1072;&#1090;&#1072;" TargetMode="External"/><Relationship Id="rId300" Type="http://schemas.openxmlformats.org/officeDocument/2006/relationships/hyperlink" Target="https://datareportal.com/reports/digital-2023-kazakhstan" TargetMode="External"/><Relationship Id="rId301" Type="http://schemas.openxmlformats.org/officeDocument/2006/relationships/hyperlink" Target="https://freedomhouse.org/sites/default/files/2023-10/Freedom-on-the-net-2023-DigitalBooklet.pdf" TargetMode="External"/><Relationship Id="rId302" Type="http://schemas.openxmlformats.org/officeDocument/2006/relationships/hyperlink" Target="https://www.unicef.org/reports/unicef-annual-state-digital-transformation-dx" TargetMode="External"/><Relationship Id="rId303" Type="http://schemas.openxmlformats.org/officeDocument/2006/relationships/hyperlink" Target="https://marconisociety.org/wp-content/uploads/2025/02/IR-Technology-Institute-Report-2024-compressed.pdf" TargetMode="External"/><Relationship Id="rId304" Type="http://schemas.openxmlformats.org/officeDocument/2006/relationships/hyperlink" Target="https://digitalhealthmonitor.org/news/global-digital-health-monitor-releases-state-of-digital-health-2024-brief" TargetMode="External"/><Relationship Id="rId305" Type="http://schemas.openxmlformats.org/officeDocument/2006/relationships/hyperlink" Target="https://intelehealth.org/wp-content/uploads/2023/06/TELEMEDICINE-REPORT-12-June-2023.pdf" TargetMode="External"/><Relationship Id="rId306" Type="http://schemas.openxmlformats.org/officeDocument/2006/relationships/hyperlink" Target="https://www.oecd.org/en/publications/health-data-governance_9789264244566-en.html" TargetMode="External"/><Relationship Id="rId307" Type="http://schemas.openxmlformats.org/officeDocument/2006/relationships/hyperlink" Target="https://www.ey.com/en_us/life-sciences/pulse-of-medtech-industry-outlook" TargetMode="External"/><Relationship Id="rId308" Type="http://schemas.openxmlformats.org/officeDocument/2006/relationships/hyperlink" Target="https://stat.gov.kz/healthcare-statistics-2016-2023" TargetMode="External"/><Relationship Id="rId309" Type="http://schemas.openxmlformats.org/officeDocument/2006/relationships/hyperlink" Target="https://doi.org/10.5603/demj.101057" TargetMode="External"/><Relationship Id="rId310" Type="http://schemas.openxmlformats.org/officeDocument/2006/relationships/hyperlink" Target="https://datareportal.com/reports/digital-2023-kazakhstan" TargetMode="External"/><Relationship Id="rId311" Type="http://schemas.openxmlformats.org/officeDocument/2006/relationships/hyperlink" Target="https://freedomhouse.org/sites/default/files/2023-10/Freedom-on-the-net-2023-DigitalBooklet.pdf" TargetMode="External"/><Relationship Id="rId312" Type="http://schemas.openxmlformats.org/officeDocument/2006/relationships/hyperlink" Target="https://www.unicef.org/reports/unicef-annual-state-digital-transformation-dx" TargetMode="External"/><Relationship Id="rId313" Type="http://schemas.openxmlformats.org/officeDocument/2006/relationships/hyperlink" Target="https://marconisociety.org/wp-content/uploads/2025/02/IR-Technology-Institute-Report-2024-compressed.pdf" TargetMode="External"/><Relationship Id="rId314" Type="http://schemas.openxmlformats.org/officeDocument/2006/relationships/hyperlink" Target="https://digitalhealthmonitor.org/news/global-digital-health-monitor-releases-state-of-digital-health-2024-brief" TargetMode="External"/><Relationship Id="rId315" Type="http://schemas.openxmlformats.org/officeDocument/2006/relationships/hyperlink" Target="https://intelehealth.org/wp-content/uploads/2023/06/TELEMEDICINE-REPORT-12-June-2023.pdf" TargetMode="External"/><Relationship Id="rId316" Type="http://schemas.openxmlformats.org/officeDocument/2006/relationships/hyperlink" Target="https://www.oecd.org/en/publications/health-data-governance_9789264244566-en.html" TargetMode="External"/><Relationship Id="rId317" Type="http://schemas.openxmlformats.org/officeDocument/2006/relationships/hyperlink" Target="https://www.ey.com/en_us/life-sciences/pulse-of-medtech-industry-outlook" TargetMode="External"/><Relationship Id="rId318" Type="http://schemas.openxmlformats.org/officeDocument/2006/relationships/hyperlink" Target="https://doi.org/10.5603/demj.101057" TargetMode="External"/><Relationship Id="rId319" Type="http://schemas.openxmlformats.org/officeDocument/2006/relationships/hyperlink" Target="mailto:maldynova.a@uib.kz" TargetMode="External"/><Relationship Id="rId320" Type="http://schemas.openxmlformats.org/officeDocument/2006/relationships/hyperlink" Target="mailto:aidargaliyeva@enu.kz" TargetMode="External"/><Relationship Id="rId321" Type="http://schemas.openxmlformats.org/officeDocument/2006/relationships/hyperlink" Target="mailto:d.mussabalina@gmail.com" TargetMode="External"/><Relationship Id="rId322" Type="http://schemas.openxmlformats.org/officeDocument/2006/relationships/hyperlink" Target="mailto:abdrakhmanova.zhannur@inbox.ru" TargetMode="External"/><Relationship Id="rId323" Type="http://schemas.openxmlformats.org/officeDocument/2006/relationships/hyperlink" Target="mailto:demesinov73@list.ru" TargetMode="External"/><Relationship Id="rId324" Type="http://schemas.openxmlformats.org/officeDocument/2006/relationships/hyperlink" Target="mailto:abdrakhmanova.zhannur@inbox.ru" TargetMode="External"/><Relationship Id="rId325" Type="http://schemas.openxmlformats.org/officeDocument/2006/relationships/hyperlink" Target="mailto:demesinov73@list.ru" TargetMode="External"/><Relationship Id="rId326" Type="http://schemas.openxmlformats.org/officeDocument/2006/relationships/image" Target="media/image1.png"/><Relationship Id="rId327" Type="http://schemas.openxmlformats.org/officeDocument/2006/relationships/hyperlink" Target="https://orcid.org/0000-0001-6506-2446" TargetMode="External"/><Relationship Id="rId328" Type="http://schemas.openxmlformats.org/officeDocument/2006/relationships/image" Target="media/image1.png"/><Relationship Id="rId329" Type="http://schemas.openxmlformats.org/officeDocument/2006/relationships/hyperlink" Target="https://orcid.org/0000-0002-2460-7136" TargetMode="External"/><Relationship Id="rId330" Type="http://schemas.openxmlformats.org/officeDocument/2006/relationships/image" Target="media/image1.png"/><Relationship Id="rId331" Type="http://schemas.openxmlformats.org/officeDocument/2006/relationships/hyperlink" Target="https://orcid.org/0000-0002-4175-9588" TargetMode="External"/><Relationship Id="rId332" Type="http://schemas.openxmlformats.org/officeDocument/2006/relationships/image" Target="media/image1.png"/><Relationship Id="rId333" Type="http://schemas.openxmlformats.org/officeDocument/2006/relationships/hyperlink" Target="https://orcid.org/0009-0006-2560-0741" TargetMode="External"/><Relationship Id="rId334" Type="http://schemas.openxmlformats.org/officeDocument/2006/relationships/hyperlink" Target="mailto:Sanim_81@list.ru" TargetMode="External"/><Relationship Id="rId335" Type="http://schemas.openxmlformats.org/officeDocument/2006/relationships/hyperlink" Target="mailto:Sanim_81@list.ru" TargetMode="External"/><Relationship Id="rId336" Type="http://schemas.openxmlformats.org/officeDocument/2006/relationships/hyperlink" Target="mailto:Sanim_81@list.ru" TargetMode="External"/><Relationship Id="rId337" Type="http://schemas.openxmlformats.org/officeDocument/2006/relationships/chart" Target="charts/chart11.xml"/><Relationship Id="rId338" Type="http://schemas.openxmlformats.org/officeDocument/2006/relationships/chart" Target="charts/chart12.xml"/><Relationship Id="rId339" Type="http://schemas.openxmlformats.org/officeDocument/2006/relationships/chart" Target="charts/chart13.xml"/><Relationship Id="rId340" Type="http://schemas.openxmlformats.org/officeDocument/2006/relationships/hyperlink" Target="https://doi.org/10.47703/ejebs.v1i67.245" TargetMode="External"/><Relationship Id="rId341" Type="http://schemas.openxmlformats.org/officeDocument/2006/relationships/hyperlink" Target="https://www.tandfonline.com/author/Trifkovic%2C+Neda" TargetMode="External"/><Relationship Id="rId342" Type="http://schemas.openxmlformats.org/officeDocument/2006/relationships/hyperlink" Target="https://doi.org/10.1080/00220388.2019.1694144" TargetMode="External"/><Relationship Id="rId343" Type="http://schemas.openxmlformats.org/officeDocument/2006/relationships/hyperlink" Target="https://doi.org/10.26577/JPsS.2021.v78.i3.14" TargetMode="External"/><Relationship Id="rId344" Type="http://schemas.openxmlformats.org/officeDocument/2006/relationships/hyperlink" Target="https://startinfo.kz/buisness/sozialno-v/" TargetMode="External"/><Relationship Id="rId345" Type="http://schemas.openxmlformats.org/officeDocument/2006/relationships/hyperlink" Target="https://doi.org/10.47703/ejebs.v1i67.245" TargetMode="External"/><Relationship Id="rId346" Type="http://schemas.openxmlformats.org/officeDocument/2006/relationships/hyperlink" Target="https://www.tandfonline.com/author/Trifkovic%2C+Neda" TargetMode="External"/><Relationship Id="rId347" Type="http://schemas.openxmlformats.org/officeDocument/2006/relationships/hyperlink" Target="https://doi.org/10.1080/00220388.2019.1694144" TargetMode="External"/><Relationship Id="rId348" Type="http://schemas.openxmlformats.org/officeDocument/2006/relationships/hyperlink" Target="https://doi.org/10.26577/JPsS.2021.v78.i3.14" TargetMode="External"/><Relationship Id="rId349" Type="http://schemas.openxmlformats.org/officeDocument/2006/relationships/hyperlink" Target="https://startinfo.kz/buisness/sozialno-v/" TargetMode="External"/><Relationship Id="rId350" Type="http://schemas.openxmlformats.org/officeDocument/2006/relationships/hyperlink" Target="mailto:saule_ibraimova_kz@mail.ru" TargetMode="External"/><Relationship Id="rId351" Type="http://schemas.openxmlformats.org/officeDocument/2006/relationships/hyperlink" Target="mailto:Sanim_81@list.ru" TargetMode="External"/><Relationship Id="rId352" Type="http://schemas.openxmlformats.org/officeDocument/2006/relationships/hyperlink" Target="mailto:karimbaevagulzan@gmail.com" TargetMode="External"/><Relationship Id="rId353" Type="http://schemas.openxmlformats.org/officeDocument/2006/relationships/hyperlink" Target="mailto:Dinara.sharipova.73@mail.ru" TargetMode="External"/><Relationship Id="rId354" Type="http://schemas.openxmlformats.org/officeDocument/2006/relationships/hyperlink" Target="mailto:saule_ibraimova_kz@mail.ru" TargetMode="External"/><Relationship Id="rId355" Type="http://schemas.openxmlformats.org/officeDocument/2006/relationships/hyperlink" Target="mailto:Sanim_81@list.ru" TargetMode="External"/><Relationship Id="rId356" Type="http://schemas.openxmlformats.org/officeDocument/2006/relationships/hyperlink" Target="mailto:karimbaevagulzan@gmail.com" TargetMode="External"/><Relationship Id="rId357" Type="http://schemas.openxmlformats.org/officeDocument/2006/relationships/hyperlink" Target="mailto:Dinara.sharipova.73@mail.ru" TargetMode="External"/><Relationship Id="rId358" Type="http://schemas.openxmlformats.org/officeDocument/2006/relationships/image" Target="media/image12.png"/><Relationship Id="rId359" Type="http://schemas.openxmlformats.org/officeDocument/2006/relationships/hyperlink" Target="https://orcid.org/0009-0008-0857-577X" TargetMode="External"/><Relationship Id="rId360" Type="http://schemas.openxmlformats.org/officeDocument/2006/relationships/image" Target="media/image12.png"/><Relationship Id="rId361" Type="http://schemas.openxmlformats.org/officeDocument/2006/relationships/hyperlink" Target="https://orcid.org/0009-0001-3619-9088" TargetMode="External"/><Relationship Id="rId362" Type="http://schemas.openxmlformats.org/officeDocument/2006/relationships/image" Target="media/image12.png"/><Relationship Id="rId363" Type="http://schemas.openxmlformats.org/officeDocument/2006/relationships/hyperlink" Target="https://orcid.org/0009-0000-0615-3807" TargetMode="External"/><Relationship Id="rId364" Type="http://schemas.openxmlformats.org/officeDocument/2006/relationships/image" Target="media/image12.png"/><Relationship Id="rId365" Type="http://schemas.openxmlformats.org/officeDocument/2006/relationships/hyperlink" Target="https://orcid.org/0009-0000-9423-4825" TargetMode="External"/><Relationship Id="rId366" Type="http://schemas.openxmlformats.org/officeDocument/2006/relationships/image" Target="media/image12.png"/><Relationship Id="rId367" Type="http://schemas.openxmlformats.org/officeDocument/2006/relationships/hyperlink" Target="https://orcid.org/0009-0003-9963-4424" TargetMode="External"/><Relationship Id="rId368" Type="http://schemas.openxmlformats.org/officeDocument/2006/relationships/hyperlink" Target="mailto:mubarakovyeldar@gmail.com" TargetMode="External"/><Relationship Id="rId369" Type="http://schemas.openxmlformats.org/officeDocument/2006/relationships/hyperlink" Target="mailto:mubarakovyeldar@gmail.com" TargetMode="External"/><Relationship Id="rId370" Type="http://schemas.openxmlformats.org/officeDocument/2006/relationships/hyperlink" Target="mailto:mubarakovyeldar@gmail.com" TargetMode="External"/><Relationship Id="rId371" Type="http://schemas.openxmlformats.org/officeDocument/2006/relationships/image" Target="media/image13.png"/><Relationship Id="rId372" Type="http://schemas.openxmlformats.org/officeDocument/2006/relationships/image" Target="media/image14.png"/><Relationship Id="rId373" Type="http://schemas.openxmlformats.org/officeDocument/2006/relationships/image" Target="media/image15.png"/><Relationship Id="rId374" Type="http://schemas.openxmlformats.org/officeDocument/2006/relationships/hyperlink" Target="https://www.kingsresearch.com/ru/circular-economy-market-1046.-" TargetMode="External"/><Relationship Id="rId375" Type="http://schemas.openxmlformats.org/officeDocument/2006/relationships/hyperlink" Target="https://doi.org/10.26577/be.2023.v143.i1.02" TargetMode="External"/><Relationship Id="rId376" Type="http://schemas.openxmlformats.org/officeDocument/2006/relationships/hyperlink" Target="https://doi:10.17512/pjms.2022.25.2.27" TargetMode="External"/><Relationship Id="rId377" Type="http://schemas.openxmlformats.org/officeDocument/2006/relationships/hyperlink" Target="http://www.switch-asia.eu/site/assets/files/4420/epr_kazakhstan_report_ru.pdf.-&#1044;&#1072;&#1090;&#1072;" TargetMode="External"/><Relationship Id="rId378" Type="http://schemas.openxmlformats.org/officeDocument/2006/relationships/hyperlink" Target="https://doi.org/10.46914/1562-2959-2020-1-3-190-196" TargetMode="External"/><Relationship Id="rId379" Type="http://schemas.openxmlformats.org/officeDocument/2006/relationships/hyperlink" Target="https://doi.org/10.1080/23311975.2024.2431652" TargetMode="External"/><Relationship Id="rId380" Type="http://schemas.openxmlformats.org/officeDocument/2006/relationships/hyperlink" Target="http://documents.worldbank.org/curated/en/099052024074569900" TargetMode="External"/><Relationship Id="rId381" Type="http://schemas.openxmlformats.org/officeDocument/2006/relationships/hyperlink" Target="https://doi.org/10.52821/2789-4401-2021-4-52-63" TargetMode="External"/><Relationship Id="rId382" Type="http://schemas.openxmlformats.org/officeDocument/2006/relationships/hyperlink" Target="https://doi:10.14254/2071-789x.2022/15-3/12" TargetMode="External"/><Relationship Id="rId383" Type="http://schemas.openxmlformats.org/officeDocument/2006/relationships/hyperlink" Target="https://www.inform.kz/ru/125-mln-tonn-musora-skopilos-na-kazahstanskih-svalkah-kto-vinovat-i-chto-delat-d815d7-" TargetMode="External"/><Relationship Id="rId384" Type="http://schemas.openxmlformats.org/officeDocument/2006/relationships/hyperlink" Target="https://adilet.zan.kz/rus/docs/U1300000577-" TargetMode="External"/><Relationship Id="rId385" Type="http://schemas.openxmlformats.org/officeDocument/2006/relationships/hyperlink" Target="https://doi:10.17512/pjms.2022.25.2.27" TargetMode="External"/><Relationship Id="rId386" Type="http://schemas.openxmlformats.org/officeDocument/2006/relationships/hyperlink" Target="https://doi.org/10.1080/23311975.2024.2431652" TargetMode="External"/><Relationship Id="rId387" Type="http://schemas.openxmlformats.org/officeDocument/2006/relationships/hyperlink" Target="http://documents.worldbank.org/curated/en/099052024074569900" TargetMode="External"/><Relationship Id="rId388" Type="http://schemas.openxmlformats.org/officeDocument/2006/relationships/hyperlink" Target="https://doi:10.14254/2071-789x.2022/15-3/12" TargetMode="External"/><Relationship Id="rId389" Type="http://schemas.openxmlformats.org/officeDocument/2006/relationships/hyperlink" Target="mailto:mubarakovyeldar@gmail.com" TargetMode="External"/><Relationship Id="rId390" Type="http://schemas.openxmlformats.org/officeDocument/2006/relationships/hyperlink" Target="mailto:mubarakovyeldar@gmail.com" TargetMode="External"/><Relationship Id="rId391" Type="http://schemas.openxmlformats.org/officeDocument/2006/relationships/numbering" Target="numbering.xml"/><Relationship Id="rId392" Type="http://schemas.openxmlformats.org/officeDocument/2006/relationships/fontTable" Target="fontTable.xml"/><Relationship Id="rId393" Type="http://schemas.openxmlformats.org/officeDocument/2006/relationships/settings" Target="settings.xml"/><Relationship Id="rId394" Type="http://schemas.openxmlformats.org/officeDocument/2006/relationships/theme" Target="theme/theme1.xml"/>
</Relationships>
</file>

<file path=word/charts/_rels/chart1.xml.rels><?xml version="1.0" encoding="UTF-8"?>
<Relationships xmlns="http://schemas.openxmlformats.org/package/2006/relationships"><Relationship Id="rId1" Type="http://schemas.openxmlformats.org/officeDocument/2006/relationships/package" Target="../embeddings/_____Microsoft_Excel.xlsx"/>
</Relationships>
</file>

<file path=word/charts/_rels/chart2.xml.rels><?xml version="1.0" encoding="UTF-8"?>
<Relationships xmlns="http://schemas.openxmlformats.org/package/2006/relationships"><Relationship Id="rId1" Type="http://schemas.openxmlformats.org/officeDocument/2006/relationships/package" Target="../embeddings/_____Microsoft_Excel1.xlsx"/>
</Relationships>
</file>

<file path=word/charts/_rels/chart3.xml.rels><?xml version="1.0" encoding="UTF-8"?>
<Relationships xmlns="http://schemas.openxmlformats.org/package/2006/relationships"><Relationship Id="rId1" Type="http://schemas.openxmlformats.org/officeDocument/2006/relationships/package" Target="../embeddings/_____Microsoft_Excel2.xlsx"/>
</Relationships>
</file>

<file path=word/charts/_rels/chart4.xml.rels><?xml version="1.0" encoding="UTF-8"?>
<Relationships xmlns="http://schemas.openxmlformats.org/package/2006/relationships"><Relationship Id="rId1" Type="http://schemas.openxmlformats.org/officeDocument/2006/relationships/package" Target="../embeddings/_____Microsoft_Excel3.xlsx"/>
</Relationships>
</file>

<file path=word/charts/_rels/chart5.xml.rels><?xml version="1.0" encoding="UTF-8"?>
<Relationships xmlns="http://schemas.openxmlformats.org/package/2006/relationships"><Relationship Id="rId1" Type="http://schemas.openxmlformats.org/officeDocument/2006/relationships/package" Target="../embeddings/_____Microsoft_Excel4.xlsx"/>
</Relationships>
</file>

<file path=word/charts/_rels/chart10.xml.rels><?xml version="1.0" encoding="UTF-8"?>
<Relationships xmlns="http://schemas.openxmlformats.org/package/2006/relationships"><Relationship Id="rId1" Type="http://schemas.openxmlformats.org/officeDocument/2006/relationships/package" Target="../embeddings/_____Microsoft_Excel5.xlsx"/>
</Relationships>
</file>

<file path=word/charts/_rels/chart11.xml.rels><?xml version="1.0" encoding="UTF-8"?>
<Relationships xmlns="http://schemas.openxmlformats.org/package/2006/relationships"><Relationship Id="rId1" Type="http://schemas.openxmlformats.org/officeDocument/2006/relationships/package" Target="../embeddings/_____Microsoft_Excel6.xlsx"/>
</Relationships>
</file>

<file path=word/charts/_rels/chart12.xml.rels><?xml version="1.0" encoding="UTF-8"?>
<Relationships xmlns="http://schemas.openxmlformats.org/package/2006/relationships"><Relationship Id="rId1" Type="http://schemas.openxmlformats.org/officeDocument/2006/relationships/package" Target="../embeddings/_____Microsoft_Excel7.xlsx"/>
</Relationships>
</file>

<file path=word/charts/_rels/chart13.xml.rels><?xml version="1.0" encoding="UTF-8"?>
<Relationships xmlns="http://schemas.openxmlformats.org/package/2006/relationships"><Relationship Id="rId1" Type="http://schemas.openxmlformats.org/officeDocument/2006/relationships/package" Target="../embeddings/_____Microsoft_Excel8.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Column1</c:v>
                </c:pt>
              </c:strCache>
            </c:strRef>
          </c:tx>
          <c:spPr>
            <a:solidFill>
              <a:srgbClr val="2875dd"/>
            </a:solidFill>
            <a:ln w="0">
              <a:solidFill>
                <a:srgbClr val="2875dd"/>
              </a:solidFill>
            </a:ln>
          </c:spPr>
          <c:invertIfNegative val="0"/>
          <c:dPt>
            <c:idx val="0"/>
            <c:invertIfNegative val="0"/>
            <c:spPr>
              <a:solidFill>
                <a:srgbClr val="2875dd"/>
              </a:solidFill>
              <a:ln w="0">
                <a:solidFill>
                  <a:srgbClr val="2875dd"/>
                </a:solidFill>
              </a:ln>
            </c:spPr>
          </c:dPt>
          <c:dPt>
            <c:idx val="1"/>
            <c:invertIfNegative val="0"/>
            <c:spPr>
              <a:solidFill>
                <a:srgbClr val="2875dd"/>
              </a:solidFill>
              <a:ln w="0">
                <a:solidFill>
                  <a:srgbClr val="2875dd"/>
                </a:solidFill>
              </a:ln>
            </c:spPr>
          </c:dPt>
          <c:dPt>
            <c:idx val="2"/>
            <c:invertIfNegative val="0"/>
            <c:spPr>
              <a:solidFill>
                <a:srgbClr val="2875dd"/>
              </a:solidFill>
              <a:ln w="0">
                <a:solidFill>
                  <a:srgbClr val="2875dd"/>
                </a:solidFill>
              </a:ln>
            </c:spPr>
          </c:dPt>
          <c:dPt>
            <c:idx val="3"/>
            <c:invertIfNegative val="0"/>
            <c:spPr>
              <a:solidFill>
                <a:srgbClr val="2875dd"/>
              </a:solidFill>
              <a:ln w="0">
                <a:solidFill>
                  <a:srgbClr val="2875dd"/>
                </a:solidFill>
              </a:ln>
            </c:spPr>
          </c:dPt>
          <c:dPt>
            <c:idx val="4"/>
            <c:invertIfNegative val="0"/>
            <c:spPr>
              <a:solidFill>
                <a:srgbClr val="2875dd"/>
              </a:solidFill>
              <a:ln w="0">
                <a:solidFill>
                  <a:srgbClr val="2875dd"/>
                </a:solidFill>
              </a:ln>
            </c:spPr>
          </c:dPt>
          <c:dPt>
            <c:idx val="5"/>
            <c:invertIfNegative val="0"/>
            <c:spPr>
              <a:solidFill>
                <a:srgbClr val="2875dd"/>
              </a:solidFill>
              <a:ln w="0">
                <a:solidFill>
                  <a:srgbClr val="2875dd"/>
                </a:solidFill>
              </a:ln>
            </c:spPr>
          </c:dPt>
          <c:dPt>
            <c:idx val="6"/>
            <c:invertIfNegative val="0"/>
            <c:spPr>
              <a:solidFill>
                <a:srgbClr val="2875dd"/>
              </a:solidFill>
              <a:ln w="0">
                <a:solidFill>
                  <a:srgbClr val="2875dd"/>
                </a:solidFill>
              </a:ln>
            </c:spPr>
          </c:dPt>
          <c:dPt>
            <c:idx val="7"/>
            <c:invertIfNegative val="0"/>
            <c:spPr>
              <a:solidFill>
                <a:srgbClr val="2875dd"/>
              </a:solidFill>
              <a:ln w="0">
                <a:solidFill>
                  <a:srgbClr val="2875dd"/>
                </a:solidFill>
              </a:ln>
            </c:spPr>
          </c:dPt>
          <c:dPt>
            <c:idx val="8"/>
            <c:invertIfNegative val="0"/>
            <c:spPr>
              <a:solidFill>
                <a:srgbClr val="2875dd"/>
              </a:solidFill>
              <a:ln w="0">
                <a:solidFill>
                  <a:srgbClr val="2875dd"/>
                </a:solidFill>
              </a:ln>
            </c:spPr>
          </c:dPt>
          <c:dPt>
            <c:idx val="9"/>
            <c:invertIfNegative val="0"/>
            <c:spPr>
              <a:solidFill>
                <a:srgbClr val="2875dd"/>
              </a:solidFill>
              <a:ln w="0">
                <a:solidFill>
                  <a:srgbClr val="2875dd"/>
                </a:solidFill>
              </a:ln>
            </c:spPr>
          </c:dPt>
          <c:dLbls>
            <c:numFmt formatCode="General" sourceLinked="0"/>
            <c:dLbl>
              <c:idx val="0"/>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1"/>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2"/>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3"/>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4"/>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5"/>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6"/>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7"/>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8"/>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9"/>
              <c:numFmt formatCode="#,##0"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showLeaderLines val="0"/>
            <c:extLst>
              <c:ext xmlns:c15="http://schemas.microsoft.com/office/drawing/2012/chart" uri="{CE6537A1-D6FC-4f65-9D91-7224C49458BB}">
                <c15:showLeaderLines val="0"/>
              </c:ext>
            </c:extLst>
          </c:dLbls>
          <c:cat>
            <c:strRef>
              <c:f>categories</c:f>
              <c:strCache>
                <c:ptCount val="10"/>
                <c:pt idx="0">
                  <c:v>Google Maps</c:v>
                </c:pt>
                <c:pt idx="1">
                  <c:v>Uber</c:v>
                </c:pt>
                <c:pt idx="2">
                  <c:v>Booking.com</c:v>
                </c:pt>
                <c:pt idx="3">
                  <c:v>Airbnb</c:v>
                </c:pt>
                <c:pt idx="4">
                  <c:v>Google Earth</c:v>
                </c:pt>
                <c:pt idx="5">
                  <c:v>Where is my Train</c:v>
                </c:pt>
                <c:pt idx="6">
                  <c:v>inDrive</c:v>
                </c:pt>
                <c:pt idx="7">
                  <c:v>AutoNavi</c:v>
                </c:pt>
                <c:pt idx="8">
                  <c:v>Bolt</c:v>
                </c:pt>
                <c:pt idx="9">
                  <c:v>Flightradar24</c:v>
                </c:pt>
              </c:strCache>
            </c:strRef>
          </c:cat>
          <c:val>
            <c:numRef>
              <c:f>0</c:f>
              <c:numCache>
                <c:formatCode>General</c:formatCode>
                <c:ptCount val="10"/>
                <c:pt idx="0">
                  <c:v>113</c:v>
                </c:pt>
                <c:pt idx="1">
                  <c:v>107</c:v>
                </c:pt>
                <c:pt idx="2">
                  <c:v>80</c:v>
                </c:pt>
                <c:pt idx="3">
                  <c:v>52</c:v>
                </c:pt>
                <c:pt idx="4">
                  <c:v>51</c:v>
                </c:pt>
                <c:pt idx="5">
                  <c:v>46</c:v>
                </c:pt>
                <c:pt idx="6">
                  <c:v>41</c:v>
                </c:pt>
                <c:pt idx="7">
                  <c:v>37</c:v>
                </c:pt>
                <c:pt idx="8">
                  <c:v>36</c:v>
                </c:pt>
                <c:pt idx="9">
                  <c:v>28</c:v>
                </c:pt>
              </c:numCache>
            </c:numRef>
          </c:val>
        </c:ser>
        <c:gapWidth val="80"/>
        <c:overlap val="-30"/>
        <c:axId val="99698087"/>
        <c:axId val="19454704"/>
      </c:barChart>
      <c:catAx>
        <c:axId val="99698087"/>
        <c:scaling>
          <c:orientation val="minMax"/>
        </c:scaling>
        <c:delete val="0"/>
        <c:axPos val="b"/>
        <c:numFmt formatCode="General" sourceLinked="0"/>
        <c:majorTickMark val="none"/>
        <c:minorTickMark val="none"/>
        <c:tickLblPos val="low"/>
        <c:spPr>
          <a:ln w="25560">
            <a:solidFill>
              <a:srgbClr val="000000"/>
            </a:solidFill>
            <a:round/>
          </a:ln>
        </c:spPr>
        <c:txPr>
          <a:bodyPr/>
          <a:lstStyle/>
          <a:p>
            <a:pPr>
              <a:defRPr b="0" sz="1000" strike="noStrike" u="none">
                <a:solidFill>
                  <a:srgbClr val="000000"/>
                </a:solidFill>
                <a:uFillTx/>
                <a:latin typeface="Times New Roman"/>
              </a:defRPr>
            </a:pPr>
          </a:p>
        </c:txPr>
        <c:crossAx val="19454704"/>
        <c:crosses val="autoZero"/>
        <c:auto val="1"/>
        <c:lblAlgn val="ctr"/>
        <c:lblOffset val="100"/>
        <c:noMultiLvlLbl val="0"/>
      </c:catAx>
      <c:valAx>
        <c:axId val="19454704"/>
        <c:scaling>
          <c:orientation val="minMax"/>
          <c:min val="0"/>
        </c:scaling>
        <c:delete val="0"/>
        <c:axPos val="l"/>
        <c:majorGridlines>
          <c:spPr>
            <a:ln w="9360">
              <a:solidFill>
                <a:srgbClr val="2f2f2f"/>
              </a:solidFill>
              <a:prstDash val="dot"/>
              <a:round/>
            </a:ln>
          </c:spPr>
        </c:majorGridlines>
        <c:title>
          <c:tx>
            <c:rich>
              <a:bodyPr rot="-5400000"/>
              <a:lstStyle/>
              <a:p>
                <a:pPr>
                  <a:defRPr b="0" sz="1300" strike="noStrike" u="none">
                    <a:uFillTx/>
                    <a:latin typeface="Arial"/>
                  </a:defRPr>
                </a:pPr>
                <a:r>
                  <a:rPr b="1" lang="en-US" sz="1000" strike="noStrike" u="none">
                    <a:solidFill>
                      <a:srgbClr val="000000"/>
                    </a:solidFill>
                    <a:uFillTx/>
                    <a:latin typeface="Times New Roman"/>
                  </a:rPr>
                  <a:t>Number of downloads in millions</a:t>
                </a:r>
              </a:p>
            </c:rich>
          </c:tx>
          <c:overlay val="0"/>
          <c:spPr>
            <a:noFill/>
            <a:ln w="0">
              <a:noFill/>
            </a:ln>
          </c:spPr>
        </c:title>
        <c:numFmt formatCode="#,##0" sourceLinked="0"/>
        <c:majorTickMark val="none"/>
        <c:minorTickMark val="none"/>
        <c:tickLblPos val="low"/>
        <c:spPr>
          <a:ln w="6480">
            <a:noFill/>
          </a:ln>
        </c:spPr>
        <c:txPr>
          <a:bodyPr/>
          <a:lstStyle/>
          <a:p>
            <a:pPr>
              <a:defRPr b="0" sz="1000" strike="noStrike" u="none">
                <a:solidFill>
                  <a:srgbClr val="000000"/>
                </a:solidFill>
                <a:uFillTx/>
                <a:latin typeface="Times New Roman"/>
              </a:defRPr>
            </a:pPr>
          </a:p>
        </c:txPr>
        <c:crossAx val="99698087"/>
        <c:crosses val="autoZero"/>
        <c:crossBetween val="between"/>
      </c:valAx>
      <c:spPr>
        <a:solidFill>
          <a:srgbClr val="ffffff"/>
        </a:solidFill>
        <a:ln w="0">
          <a:noFill/>
        </a:ln>
      </c:spPr>
    </c:plotArea>
    <c:plotVisOnly val="1"/>
    <c:dispBlanksAs val="gap"/>
  </c:chart>
  <c:spPr>
    <a:solidFill>
      <a:srgbClr val="ffffff"/>
    </a:solidFill>
    <a:ln w="9360">
      <a:solidFill>
        <a:srgbClr val="5b9bd5"/>
      </a:solidFill>
      <a:round/>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view3D>
      <c:rotX val="75"/>
      <c:rotY val="0"/>
      <c:rAngAx val="0"/>
      <c:perspective val="30"/>
    </c:view3D>
    <c:floor>
      <c:spPr>
        <a:solidFill>
          <a:srgbClr val="d9d9d9"/>
        </a:solidFill>
        <a:ln w="0">
          <a:noFill/>
        </a:ln>
      </c:spPr>
    </c:floor>
    <c:sideWall>
      <c:spPr>
        <a:solidFill>
          <a:srgbClr val="d9d9d9"/>
        </a:solidFill>
        <a:ln w="0">
          <a:noFill/>
        </a:ln>
      </c:spPr>
    </c:sideWall>
    <c:backWall>
      <c:spPr>
        <a:solidFill>
          <a:srgbClr val="d9d9d9"/>
        </a:solidFill>
        <a:ln w="0">
          <a:noFill/>
        </a:ln>
      </c:spPr>
    </c:backWall>
    <c:plotArea>
      <c:pie3DChart>
        <c:varyColors val="1"/>
        <c:ser>
          <c:idx val="0"/>
          <c:order val="0"/>
          <c:tx>
            <c:strRef>
              <c:f>label 0</c:f>
              <c:strCache>
                <c:ptCount val="1"/>
                <c:pt idx="0">
                  <c:v>Column1</c:v>
                </c:pt>
              </c:strCache>
            </c:strRef>
          </c:tx>
          <c:spPr>
            <a:solidFill>
              <a:srgbClr val="2875dd"/>
            </a:solidFill>
            <a:ln w="0">
              <a:solidFill>
                <a:srgbClr val="2875dd"/>
              </a:solidFill>
            </a:ln>
          </c:spPr>
          <c:explosion val="0"/>
          <c:dPt>
            <c:idx val="0"/>
            <c:spPr>
              <a:solidFill>
                <a:srgbClr val="2875dd"/>
              </a:solidFill>
              <a:ln w="0">
                <a:noFill/>
              </a:ln>
            </c:spPr>
          </c:dPt>
          <c:dPt>
            <c:idx val="1"/>
            <c:spPr>
              <a:solidFill>
                <a:srgbClr val="0f283e"/>
              </a:solidFill>
              <a:ln w="0">
                <a:noFill/>
              </a:ln>
            </c:spPr>
          </c:dPt>
          <c:dPt>
            <c:idx val="2"/>
            <c:spPr>
              <a:solidFill>
                <a:srgbClr val="bababa"/>
              </a:solidFill>
              <a:ln w="0">
                <a:noFill/>
              </a:ln>
            </c:spPr>
          </c:dPt>
          <c:dPt>
            <c:idx val="3"/>
            <c:spPr>
              <a:solidFill>
                <a:srgbClr val="a60b0b"/>
              </a:solidFill>
              <a:ln w="0">
                <a:noFill/>
              </a:ln>
            </c:spPr>
          </c:dPt>
          <c:dPt>
            <c:idx val="4"/>
            <c:spPr>
              <a:solidFill>
                <a:srgbClr val="87bc24"/>
              </a:solidFill>
              <a:ln w="0">
                <a:noFill/>
              </a:ln>
            </c:spPr>
          </c:dPt>
          <c:dPt>
            <c:idx val="5"/>
            <c:spPr>
              <a:solidFill>
                <a:srgbClr val="ebb523"/>
              </a:solidFill>
              <a:ln w="0">
                <a:noFill/>
              </a:ln>
            </c:spPr>
          </c:dPt>
          <c:dPt>
            <c:idx val="6"/>
            <c:spPr>
              <a:solidFill>
                <a:srgbClr val="5d2b76"/>
              </a:solidFill>
              <a:ln w="0">
                <a:noFill/>
              </a:ln>
            </c:spPr>
          </c:dPt>
          <c:dPt>
            <c:idx val="7"/>
            <c:spPr>
              <a:solidFill>
                <a:srgbClr val="c271da"/>
              </a:solidFill>
              <a:ln w="0">
                <a:noFill/>
              </a:ln>
            </c:spPr>
          </c:dPt>
          <c:dPt>
            <c:idx val="8"/>
            <c:spPr>
              <a:solidFill>
                <a:srgbClr val="76a5e3"/>
              </a:solidFill>
              <a:ln w="0">
                <a:noFill/>
              </a:ln>
            </c:spPr>
          </c:dPt>
          <c:dPt>
            <c:idx val="9"/>
            <c:spPr>
              <a:solidFill>
                <a:srgbClr val="099676"/>
              </a:solidFill>
              <a:ln w="0">
                <a:noFill/>
              </a:ln>
            </c:spPr>
          </c:dPt>
          <c:dPt>
            <c:idx val="10"/>
            <c:spPr>
              <a:solidFill>
                <a:srgbClr val="919191"/>
              </a:solidFill>
              <a:ln w="0">
                <a:noFill/>
              </a:ln>
            </c:spPr>
          </c:dPt>
          <c:dLbls>
            <c:dLbl>
              <c:idx val="0"/>
              <c:layout>
                <c:manualLayout>
                  <c:x val="-0.581274254061801"/>
                  <c:y val="-0.117515844056078"/>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1"/>
              <c:layout>
                <c:manualLayout>
                  <c:x val="-0.0340118432281854"/>
                  <c:y val="-0.207683246911209"/>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2"/>
              <c:layout>
                <c:manualLayout>
                  <c:x val="-0.575213355232436"/>
                  <c:y val="-0.270651046667947"/>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3"/>
              <c:layout>
                <c:manualLayout>
                  <c:x val="-0.676530924431992"/>
                  <c:y val="-0.323396389475706"/>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4"/>
              <c:layout>
                <c:manualLayout>
                  <c:x val="-0.0480713492101831"/>
                  <c:y val="0.114914538121759"/>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5"/>
              <c:layout>
                <c:manualLayout>
                  <c:x val="-0.100922459462506"/>
                  <c:y val="-0.638406312015876"/>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6"/>
              <c:layout>
                <c:manualLayout>
                  <c:x val="0.0235032929166063"/>
                  <c:y val="0.045830932718776"/>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7"/>
              <c:layout>
                <c:manualLayout>
                  <c:x val="-0.122952594882695"/>
                  <c:y val="0.126011779015428"/>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8"/>
              <c:layout>
                <c:manualLayout>
                  <c:x val="0.565425583305154"/>
                  <c:y val="0.145389219640228"/>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9"/>
              <c:layout>
                <c:manualLayout>
                  <c:x val="-0.0519057050384039"/>
                  <c:y val="0.0780572626592408"/>
                </c:manualLayout>
              </c:layout>
              <c:txPr>
                <a:bodyPr wrap="square"/>
                <a:lstStyle/>
                <a:p>
                  <a:pPr>
                    <a:defRPr b="0" sz="800" strike="noStrike" u="none">
                      <a:solidFill>
                        <a:srgbClr val="0f283e"/>
                      </a:solidFill>
                      <a:uFillTx/>
                      <a:latin typeface="Open Sans Light"/>
                    </a:defRPr>
                  </a:pPr>
                </a:p>
              </c:txPr>
              <c:dLblPos val="outEnd"/>
              <c:showLegendKey val="1"/>
              <c:showVal val="0"/>
              <c:showCatName val="1"/>
              <c:showSerName val="0"/>
              <c:showPercent val="1"/>
              <c:separator> </c:separator>
            </c:dLbl>
            <c:dLbl>
              <c:idx val="10"/>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showLeaderLines val="0"/>
          </c:dLbls>
          <c:cat>
            <c:strRef>
              <c:f>categories</c:f>
              <c:strCache>
                <c:ptCount val="11"/>
                <c:pt idx="0">
                  <c:v>Uber</c:v>
                </c:pt>
                <c:pt idx="1">
                  <c:v>Vrbo</c:v>
                </c:pt>
                <c:pt idx="2">
                  <c:v>Booking.com</c:v>
                </c:pt>
                <c:pt idx="3">
                  <c:v>Airbnb</c:v>
                </c:pt>
                <c:pt idx="4">
                  <c:v>Expedia</c:v>
                </c:pt>
                <c:pt idx="5">
                  <c:v>Lyft</c:v>
                </c:pt>
                <c:pt idx="6">
                  <c:v>Hopper</c:v>
                </c:pt>
                <c:pt idx="7">
                  <c:v>American Airlines</c:v>
                </c:pt>
                <c:pt idx="8">
                  <c:v>Fly Delta</c:v>
                </c:pt>
                <c:pt idx="9">
                  <c:v>United Airlines</c:v>
                </c:pt>
                <c:pt idx="10">
                  <c:v>Other</c:v>
                </c:pt>
              </c:strCache>
            </c:strRef>
          </c:cat>
          <c:val>
            <c:numRef>
              <c:f>0</c:f>
              <c:numCache>
                <c:formatCode>General</c:formatCode>
                <c:ptCount val="11"/>
                <c:pt idx="0">
                  <c:v>0.1</c:v>
                </c:pt>
                <c:pt idx="1">
                  <c:v>0.08</c:v>
                </c:pt>
                <c:pt idx="2">
                  <c:v>0.07</c:v>
                </c:pt>
                <c:pt idx="3">
                  <c:v>0.06</c:v>
                </c:pt>
                <c:pt idx="4">
                  <c:v>0.06</c:v>
                </c:pt>
                <c:pt idx="5">
                  <c:v>0.06</c:v>
                </c:pt>
                <c:pt idx="6">
                  <c:v>0.06</c:v>
                </c:pt>
                <c:pt idx="7">
                  <c:v>0.05</c:v>
                </c:pt>
                <c:pt idx="8">
                  <c:v>0.04</c:v>
                </c:pt>
                <c:pt idx="9">
                  <c:v>0.04</c:v>
                </c:pt>
                <c:pt idx="10">
                  <c:v>0.38</c:v>
                </c:pt>
              </c:numCache>
            </c:numRef>
          </c:val>
        </c:ser>
      </c:pie3DChart>
    </c:plotArea>
    <c:plotVisOnly val="1"/>
    <c:dispBlanksAs val="gap"/>
  </c:chart>
  <c:spPr>
    <a:solidFill>
      <a:srgbClr val="ffffff"/>
    </a:solidFill>
    <a:ln w="9360">
      <a:solidFill>
        <a:srgbClr val="d9d9d9"/>
      </a:solidFill>
      <a:round/>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pieChart>
        <c:varyColors val="1"/>
        <c:ser>
          <c:idx val="0"/>
          <c:order val="0"/>
          <c:tx>
            <c:strRef>
              <c:f>label 0</c:f>
              <c:strCache>
                <c:ptCount val="1"/>
                <c:pt idx="0">
                  <c:v>Column1</c:v>
                </c:pt>
              </c:strCache>
            </c:strRef>
          </c:tx>
          <c:spPr>
            <a:solidFill>
              <a:srgbClr val="2875dd"/>
            </a:solidFill>
            <a:ln w="0">
              <a:solidFill>
                <a:srgbClr val="2875dd"/>
              </a:solidFill>
            </a:ln>
          </c:spPr>
          <c:explosion val="0"/>
          <c:dPt>
            <c:idx val="0"/>
            <c:spPr>
              <a:solidFill>
                <a:srgbClr val="004586"/>
              </a:solidFill>
              <a:ln w="0">
                <a:noFill/>
              </a:ln>
            </c:spPr>
          </c:dPt>
          <c:dPt>
            <c:idx val="1"/>
            <c:spPr>
              <a:solidFill>
                <a:srgbClr val="0f283e"/>
              </a:solidFill>
              <a:ln w="0">
                <a:noFill/>
              </a:ln>
            </c:spPr>
          </c:dPt>
          <c:dPt>
            <c:idx val="2"/>
            <c:spPr>
              <a:solidFill>
                <a:srgbClr val="bababa"/>
              </a:solidFill>
              <a:ln w="0">
                <a:noFill/>
              </a:ln>
            </c:spPr>
          </c:dPt>
          <c:dPt>
            <c:idx val="3"/>
            <c:spPr>
              <a:solidFill>
                <a:srgbClr val="a60b0b"/>
              </a:solidFill>
              <a:ln w="0">
                <a:noFill/>
              </a:ln>
            </c:spPr>
          </c:dPt>
          <c:dPt>
            <c:idx val="4"/>
            <c:spPr>
              <a:solidFill>
                <a:srgbClr val="87bc24"/>
              </a:solidFill>
              <a:ln w="0">
                <a:noFill/>
              </a:ln>
            </c:spPr>
          </c:dPt>
          <c:dPt>
            <c:idx val="5"/>
            <c:spPr>
              <a:solidFill>
                <a:srgbClr val="ebb523"/>
              </a:solidFill>
              <a:ln w="0">
                <a:noFill/>
              </a:ln>
            </c:spPr>
          </c:dPt>
          <c:dPt>
            <c:idx val="6"/>
            <c:spPr>
              <a:solidFill>
                <a:srgbClr val="5d2b76"/>
              </a:solidFill>
              <a:ln w="0">
                <a:noFill/>
              </a:ln>
            </c:spPr>
          </c:dPt>
          <c:dPt>
            <c:idx val="7"/>
            <c:spPr>
              <a:solidFill>
                <a:srgbClr val="c271da"/>
              </a:solidFill>
              <a:ln w="0">
                <a:noFill/>
              </a:ln>
            </c:spPr>
          </c:dPt>
          <c:dPt>
            <c:idx val="8"/>
            <c:spPr>
              <a:solidFill>
                <a:srgbClr val="76a5e3"/>
              </a:solidFill>
              <a:ln w="0">
                <a:noFill/>
              </a:ln>
            </c:spPr>
          </c:dPt>
          <c:dPt>
            <c:idx val="9"/>
            <c:spPr>
              <a:solidFill>
                <a:srgbClr val="099676"/>
              </a:solidFill>
              <a:ln w="0">
                <a:noFill/>
              </a:ln>
            </c:spPr>
          </c:dPt>
          <c:dPt>
            <c:idx val="10"/>
            <c:spPr>
              <a:solidFill>
                <a:srgbClr val="919191"/>
              </a:solidFill>
              <a:ln w="0">
                <a:noFill/>
              </a:ln>
            </c:spPr>
          </c:dPt>
          <c:dLbls>
            <c:dLbl>
              <c:idx val="0"/>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1"/>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2"/>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3"/>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4"/>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5"/>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6"/>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7"/>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8"/>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9"/>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dLbl>
              <c:idx val="10"/>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dLbl>
            <c:txPr>
              <a:bodyPr wrap="square"/>
              <a:lstStyle/>
              <a:p>
                <a:pPr>
                  <a:defRPr b="0" sz="800" strike="noStrike" u="none">
                    <a:solidFill>
                      <a:srgbClr val="0f283e"/>
                    </a:solidFill>
                    <a:uFillTx/>
                    <a:latin typeface="Open Sans Light"/>
                  </a:defRPr>
                </a:pPr>
              </a:p>
            </c:txPr>
            <c:dLblPos val="bestFit"/>
            <c:showLegendKey val="1"/>
            <c:showVal val="0"/>
            <c:showCatName val="1"/>
            <c:showSerName val="0"/>
            <c:showPercent val="1"/>
            <c:separator> </c:separator>
            <c:showLeaderLines val="0"/>
          </c:dLbls>
          <c:cat>
            <c:strRef>
              <c:f>categories</c:f>
              <c:strCache>
                <c:ptCount val="11"/>
                <c:pt idx="0">
                  <c:v>Uber</c:v>
                </c:pt>
                <c:pt idx="1">
                  <c:v>Booking.com</c:v>
                </c:pt>
                <c:pt idx="2">
                  <c:v>Bolt</c:v>
                </c:pt>
                <c:pt idx="3">
                  <c:v>Airbnb</c:v>
                </c:pt>
                <c:pt idx="4">
                  <c:v>Ryanair</c:v>
                </c:pt>
                <c:pt idx="5">
                  <c:v>Trainline</c:v>
                </c:pt>
                <c:pt idx="6">
                  <c:v>Skyscanner Flights Hotels Cars</c:v>
                </c:pt>
                <c:pt idx="7">
                  <c:v>SNCF Connect</c:v>
                </c:pt>
                <c:pt idx="8">
                  <c:v>BlaBlaCar</c:v>
                </c:pt>
                <c:pt idx="9">
                  <c:v>easyJet</c:v>
                </c:pt>
                <c:pt idx="10">
                  <c:v>Other</c:v>
                </c:pt>
              </c:strCache>
            </c:strRef>
          </c:cat>
          <c:val>
            <c:numRef>
              <c:f>0</c:f>
              <c:numCache>
                <c:formatCode>General</c:formatCode>
                <c:ptCount val="11"/>
                <c:pt idx="0">
                  <c:v>0.18</c:v>
                </c:pt>
                <c:pt idx="1">
                  <c:v>0.14</c:v>
                </c:pt>
                <c:pt idx="2">
                  <c:v>0.08</c:v>
                </c:pt>
                <c:pt idx="3">
                  <c:v>0.07</c:v>
                </c:pt>
                <c:pt idx="4">
                  <c:v>0.05</c:v>
                </c:pt>
                <c:pt idx="5">
                  <c:v>0.03</c:v>
                </c:pt>
                <c:pt idx="6">
                  <c:v>0.02</c:v>
                </c:pt>
                <c:pt idx="7">
                  <c:v>0.02</c:v>
                </c:pt>
                <c:pt idx="8">
                  <c:v>0.02</c:v>
                </c:pt>
                <c:pt idx="9">
                  <c:v>0.02</c:v>
                </c:pt>
                <c:pt idx="10">
                  <c:v>0.37</c:v>
                </c:pt>
              </c:numCache>
            </c:numRef>
          </c:val>
        </c:ser>
        <c:firstSliceAng val="0"/>
      </c:pieChart>
      <c:spPr>
        <a:solidFill>
          <a:srgbClr val="ffffff"/>
        </a:solidFill>
        <a:ln w="0">
          <a:noFill/>
        </a:ln>
      </c:spPr>
    </c:plotArea>
    <c:plotVisOnly val="1"/>
    <c:dispBlanksAs val="gap"/>
  </c:chart>
  <c:spPr>
    <a:solidFill>
      <a:srgbClr val="ffffff"/>
    </a:solidFill>
    <a:ln w="9360">
      <a:solidFill>
        <a:srgbClr val="d9d9d9"/>
      </a:solidFill>
      <a:round/>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ineChart>
        <c:grouping val="standard"/>
        <c:varyColors val="0"/>
        <c:ser>
          <c:idx val="0"/>
          <c:order val="0"/>
          <c:tx>
            <c:strRef>
              <c:f>label 0</c:f>
              <c:strCache>
                <c:ptCount val="1"/>
                <c:pt idx="0">
                  <c:v>Column1</c:v>
                </c:pt>
              </c:strCache>
            </c:strRef>
          </c:tx>
          <c:spPr>
            <a:solidFill>
              <a:srgbClr val="2875dd"/>
            </a:solidFill>
            <a:ln w="19080">
              <a:solidFill>
                <a:srgbClr val="2875dd"/>
              </a:solidFill>
              <a:round/>
            </a:ln>
          </c:spPr>
          <c:marker>
            <c:symbol val="circle"/>
            <c:size val="5"/>
            <c:spPr>
              <a:solidFill>
                <a:srgbClr val="2875dd"/>
              </a:solidFill>
            </c:spPr>
          </c:marker>
          <c:dPt>
            <c:idx val="0"/>
            <c:marker>
              <c:symbol val="circle"/>
              <c:size val="5"/>
              <c:spPr>
                <a:solidFill>
                  <a:srgbClr val="2875dd"/>
                </a:solidFill>
              </c:spPr>
            </c:marker>
          </c:dPt>
          <c:dPt>
            <c:idx val="1"/>
            <c:marker>
              <c:symbol val="circle"/>
              <c:size val="5"/>
              <c:spPr>
                <a:solidFill>
                  <a:srgbClr val="2875dd"/>
                </a:solidFill>
              </c:spPr>
            </c:marker>
          </c:dPt>
          <c:dPt>
            <c:idx val="2"/>
            <c:marker>
              <c:symbol val="circle"/>
              <c:size val="5"/>
              <c:spPr>
                <a:solidFill>
                  <a:srgbClr val="2875dd"/>
                </a:solidFill>
              </c:spPr>
            </c:marker>
          </c:dPt>
          <c:dPt>
            <c:idx val="3"/>
            <c:marker>
              <c:symbol val="circle"/>
              <c:size val="5"/>
              <c:spPr>
                <a:solidFill>
                  <a:srgbClr val="2875dd"/>
                </a:solidFill>
              </c:spPr>
            </c:marker>
          </c:dPt>
          <c:dPt>
            <c:idx val="4"/>
            <c:marker>
              <c:symbol val="circle"/>
              <c:size val="5"/>
              <c:spPr>
                <a:solidFill>
                  <a:srgbClr val="2875dd"/>
                </a:solidFill>
              </c:spPr>
            </c:marker>
          </c:dPt>
          <c:dPt>
            <c:idx val="5"/>
            <c:marker>
              <c:symbol val="circle"/>
              <c:size val="5"/>
              <c:spPr>
                <a:solidFill>
                  <a:srgbClr val="2875dd"/>
                </a:solidFill>
              </c:spPr>
            </c:marker>
          </c:dPt>
          <c:dPt>
            <c:idx val="6"/>
            <c:marker>
              <c:symbol val="circle"/>
              <c:size val="5"/>
              <c:spPr>
                <a:solidFill>
                  <a:srgbClr val="2875dd"/>
                </a:solidFill>
              </c:spPr>
            </c:marker>
          </c:dPt>
          <c:dPt>
            <c:idx val="7"/>
            <c:marker>
              <c:symbol val="circle"/>
              <c:size val="5"/>
              <c:spPr>
                <a:solidFill>
                  <a:srgbClr val="2875dd"/>
                </a:solidFill>
              </c:spPr>
            </c:marker>
          </c:dPt>
          <c:dPt>
            <c:idx val="8"/>
            <c:marker>
              <c:symbol val="circle"/>
              <c:size val="5"/>
              <c:spPr>
                <a:solidFill>
                  <a:srgbClr val="2875dd"/>
                </a:solidFill>
              </c:spPr>
            </c:marker>
          </c:dPt>
          <c:dLbls>
            <c:numFmt formatCode="General" sourceLinked="0"/>
            <c:dLbl>
              <c:idx val="0"/>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1"/>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2"/>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3"/>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4"/>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5"/>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6"/>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7"/>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dLbl>
              <c:idx val="8"/>
              <c:numFmt formatCode="General" sourceLinked="0"/>
              <c:txPr>
                <a:bodyPr wrap="square"/>
                <a:lstStyle/>
                <a:p>
                  <a:pPr>
                    <a:defRPr b="0" sz="1000" strike="noStrike" u="none">
                      <a:solidFill>
                        <a:srgbClr val="000000"/>
                      </a:solidFill>
                      <a:uFillTx/>
                      <a:latin typeface="Times New Roman"/>
                    </a:defRPr>
                  </a:pPr>
                </a:p>
              </c:txPr>
              <c:dLblPos val="t"/>
              <c:showLegendKey val="0"/>
              <c:showVal val="1"/>
              <c:showCatName val="0"/>
              <c:showSerName val="0"/>
              <c:showPercent val="0"/>
              <c:separator>; </c:separator>
            </c:dLbl>
            <c:txPr>
              <a:bodyPr wrap="square"/>
              <a:lstStyle/>
              <a:p>
                <a:pPr>
                  <a:defRPr b="0" sz="1000" strike="noStrike" u="none">
                    <a:solidFill>
                      <a:srgbClr val="000000"/>
                    </a:solidFill>
                    <a:uFillTx/>
                    <a:latin typeface="Times New Roman"/>
                  </a:defRPr>
                </a:pPr>
              </a:p>
            </c:txPr>
            <c:dLblPos val="r"/>
            <c:showLegendKey val="0"/>
            <c:showVal val="1"/>
            <c:showCatName val="0"/>
            <c:showSerName val="0"/>
            <c:showPercent val="0"/>
            <c:separator>; </c:separator>
            <c:showLeaderLines val="0"/>
            <c:extLst>
              <c:ext xmlns:c15="http://schemas.microsoft.com/office/drawing/2012/chart" uri="{CE6537A1-D6FC-4f65-9D91-7224C49458BB}">
                <c15:showLeaderLines val="0"/>
              </c:ext>
            </c:extLst>
          </c:dLbls>
          <c:cat>
            <c:strRef>
              <c:f>categories</c:f>
              <c:strCache>
                <c:ptCount val="9"/>
                <c:pt idx="0">
                  <c:v>Accommodation</c:v>
                </c:pt>
                <c:pt idx="1">
                  <c:v>International transport arrangements (to their country of destination)</c:v>
                </c:pt>
                <c:pt idx="2">
                  <c:v>Local transport (once arrived at their country of destination)</c:v>
                </c:pt>
                <c:pt idx="3">
                  <c:v>Passport renewal</c:v>
                </c:pt>
                <c:pt idx="4">
                  <c:v>Personalized travel insurance</c:v>
                </c:pt>
                <c:pt idx="5">
                  <c:v>Work events/meetings</c:v>
                </c:pt>
                <c:pt idx="6">
                  <c:v>Meals and entertainment</c:v>
                </c:pt>
                <c:pt idx="7">
                  <c:v>Experiential activities</c:v>
                </c:pt>
                <c:pt idx="8">
                  <c:v>A trip’s environmental impact</c:v>
                </c:pt>
              </c:strCache>
            </c:strRef>
          </c:cat>
          <c:val>
            <c:numRef>
              <c:f>0</c:f>
              <c:numCache>
                <c:formatCode>General</c:formatCode>
                <c:ptCount val="9"/>
                <c:pt idx="0">
                  <c:v>0.75</c:v>
                </c:pt>
                <c:pt idx="1">
                  <c:v>0.74</c:v>
                </c:pt>
                <c:pt idx="2">
                  <c:v>0.74</c:v>
                </c:pt>
                <c:pt idx="3">
                  <c:v>0.73</c:v>
                </c:pt>
                <c:pt idx="4">
                  <c:v>0.72</c:v>
                </c:pt>
                <c:pt idx="5">
                  <c:v>0.72</c:v>
                </c:pt>
                <c:pt idx="6">
                  <c:v>0.7</c:v>
                </c:pt>
                <c:pt idx="7">
                  <c:v>0.7</c:v>
                </c:pt>
                <c:pt idx="8">
                  <c:v>0.7</c:v>
                </c:pt>
              </c:numCache>
            </c:numRef>
          </c:val>
          <c:smooth val="0"/>
        </c:ser>
        <c:hiLowLines>
          <c:spPr>
            <a:ln w="0">
              <a:noFill/>
            </a:ln>
          </c:spPr>
        </c:hiLowLines>
        <c:marker val="1"/>
        <c:axId val="53179313"/>
        <c:axId val="23959139"/>
      </c:lineChart>
      <c:catAx>
        <c:axId val="53179313"/>
        <c:scaling>
          <c:orientation val="minMax"/>
        </c:scaling>
        <c:delete val="0"/>
        <c:axPos val="b"/>
        <c:numFmt formatCode="General" sourceLinked="0"/>
        <c:majorTickMark val="none"/>
        <c:minorTickMark val="none"/>
        <c:tickLblPos val="low"/>
        <c:spPr>
          <a:ln w="25560">
            <a:solidFill>
              <a:srgbClr val="000000"/>
            </a:solidFill>
            <a:round/>
          </a:ln>
        </c:spPr>
        <c:txPr>
          <a:bodyPr/>
          <a:lstStyle/>
          <a:p>
            <a:pPr>
              <a:defRPr b="0" sz="800" strike="noStrike" u="none">
                <a:solidFill>
                  <a:srgbClr val="000000"/>
                </a:solidFill>
                <a:uFillTx/>
                <a:latin typeface="Times New Roman"/>
              </a:defRPr>
            </a:pPr>
          </a:p>
        </c:txPr>
        <c:crossAx val="23959139"/>
        <c:crosses val="autoZero"/>
        <c:auto val="1"/>
        <c:lblAlgn val="ctr"/>
        <c:lblOffset val="100"/>
        <c:noMultiLvlLbl val="0"/>
      </c:catAx>
      <c:valAx>
        <c:axId val="23959139"/>
        <c:scaling>
          <c:orientation val="minMax"/>
          <c:min val="0.695"/>
        </c:scaling>
        <c:delete val="0"/>
        <c:axPos val="l"/>
        <c:majorGridlines>
          <c:spPr>
            <a:ln w="9360">
              <a:solidFill>
                <a:srgbClr val="2f2f2f"/>
              </a:solidFill>
              <a:prstDash val="dot"/>
              <a:round/>
            </a:ln>
          </c:spPr>
        </c:majorGridlines>
        <c:title>
          <c:tx>
            <c:rich>
              <a:bodyPr rot="-5400000"/>
              <a:lstStyle/>
              <a:p>
                <a:pPr>
                  <a:defRPr b="0" sz="1300" strike="noStrike" u="none">
                    <a:uFillTx/>
                    <a:latin typeface="Arial"/>
                  </a:defRPr>
                </a:pPr>
                <a:r>
                  <a:rPr b="1" lang="tr-TR" sz="1000" strike="noStrike" u="none">
                    <a:solidFill>
                      <a:srgbClr val="000000"/>
                    </a:solidFill>
                    <a:uFillTx/>
                    <a:latin typeface="Times New Roman"/>
                  </a:rPr>
                  <a:t>Share of respondents</a:t>
                </a:r>
              </a:p>
            </c:rich>
          </c:tx>
          <c:overlay val="0"/>
          <c:spPr>
            <a:noFill/>
            <a:ln w="0">
              <a:noFill/>
            </a:ln>
          </c:spPr>
        </c:title>
        <c:numFmt formatCode="General" sourceLinked="0"/>
        <c:majorTickMark val="none"/>
        <c:minorTickMark val="none"/>
        <c:tickLblPos val="low"/>
        <c:spPr>
          <a:ln w="6480">
            <a:noFill/>
          </a:ln>
        </c:spPr>
        <c:txPr>
          <a:bodyPr/>
          <a:lstStyle/>
          <a:p>
            <a:pPr>
              <a:defRPr b="0" sz="1000" strike="noStrike" u="none">
                <a:solidFill>
                  <a:srgbClr val="000000"/>
                </a:solidFill>
                <a:uFillTx/>
                <a:latin typeface="Times New Roman"/>
              </a:defRPr>
            </a:pPr>
          </a:p>
        </c:txPr>
        <c:crossAx val="53179313"/>
        <c:crosses val="autoZero"/>
        <c:crossBetween val="between"/>
      </c:valAx>
      <c:spPr>
        <a:solidFill>
          <a:srgbClr val="ffffff"/>
        </a:solidFill>
        <a:ln w="0">
          <a:noFill/>
        </a:ln>
      </c:spPr>
    </c:plotArea>
    <c:plotVisOnly val="1"/>
    <c:dispBlanksAs val="gap"/>
  </c:chart>
  <c:spPr>
    <a:solidFill>
      <a:srgbClr val="ffffff"/>
    </a:solidFill>
    <a:ln w="9360">
      <a:solidFill>
        <a:srgbClr val="d9d9d9"/>
      </a:solidFill>
      <a:round/>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bar"/>
        <c:grouping val="clustered"/>
        <c:varyColors val="0"/>
        <c:ser>
          <c:idx val="0"/>
          <c:order val="0"/>
          <c:tx>
            <c:strRef>
              <c:f>label 0</c:f>
              <c:strCache>
                <c:ptCount val="1"/>
                <c:pt idx="0">
                  <c:v>Column1</c:v>
                </c:pt>
              </c:strCache>
            </c:strRef>
          </c:tx>
          <c:spPr>
            <a:solidFill>
              <a:srgbClr val="2875dd"/>
            </a:solidFill>
            <a:ln w="0">
              <a:solidFill>
                <a:srgbClr val="2875dd"/>
              </a:solidFill>
            </a:ln>
          </c:spPr>
          <c:invertIfNegative val="0"/>
          <c:dPt>
            <c:idx val="0"/>
            <c:invertIfNegative val="0"/>
            <c:spPr>
              <a:solidFill>
                <a:srgbClr val="2875dd"/>
              </a:solidFill>
              <a:ln w="0">
                <a:solidFill>
                  <a:srgbClr val="2875dd"/>
                </a:solidFill>
              </a:ln>
            </c:spPr>
          </c:dPt>
          <c:dPt>
            <c:idx val="1"/>
            <c:invertIfNegative val="0"/>
            <c:spPr>
              <a:solidFill>
                <a:srgbClr val="2875dd"/>
              </a:solidFill>
              <a:ln w="0">
                <a:solidFill>
                  <a:srgbClr val="2875dd"/>
                </a:solidFill>
              </a:ln>
            </c:spPr>
          </c:dPt>
          <c:dPt>
            <c:idx val="2"/>
            <c:invertIfNegative val="0"/>
            <c:spPr>
              <a:solidFill>
                <a:srgbClr val="2875dd"/>
              </a:solidFill>
              <a:ln w="0">
                <a:solidFill>
                  <a:srgbClr val="2875dd"/>
                </a:solidFill>
              </a:ln>
            </c:spPr>
          </c:dPt>
          <c:dPt>
            <c:idx val="3"/>
            <c:invertIfNegative val="0"/>
            <c:spPr>
              <a:solidFill>
                <a:srgbClr val="2875dd"/>
              </a:solidFill>
              <a:ln w="0">
                <a:solidFill>
                  <a:srgbClr val="2875dd"/>
                </a:solidFill>
              </a:ln>
            </c:spPr>
          </c:dPt>
          <c:dPt>
            <c:idx val="4"/>
            <c:invertIfNegative val="0"/>
            <c:spPr>
              <a:solidFill>
                <a:srgbClr val="2875dd"/>
              </a:solidFill>
              <a:ln w="0">
                <a:solidFill>
                  <a:srgbClr val="2875dd"/>
                </a:solidFill>
              </a:ln>
            </c:spPr>
          </c:dPt>
          <c:dPt>
            <c:idx val="5"/>
            <c:invertIfNegative val="0"/>
            <c:spPr>
              <a:solidFill>
                <a:srgbClr val="2875dd"/>
              </a:solidFill>
              <a:ln w="0">
                <a:solidFill>
                  <a:srgbClr val="2875dd"/>
                </a:solidFill>
              </a:ln>
            </c:spPr>
          </c:dPt>
          <c:dPt>
            <c:idx val="6"/>
            <c:invertIfNegative val="0"/>
            <c:spPr>
              <a:solidFill>
                <a:srgbClr val="2875dd"/>
              </a:solidFill>
              <a:ln w="0">
                <a:solidFill>
                  <a:srgbClr val="2875dd"/>
                </a:solidFill>
              </a:ln>
            </c:spPr>
          </c:dPt>
          <c:dPt>
            <c:idx val="7"/>
            <c:invertIfNegative val="0"/>
            <c:spPr>
              <a:solidFill>
                <a:srgbClr val="2875dd"/>
              </a:solidFill>
              <a:ln w="0">
                <a:solidFill>
                  <a:srgbClr val="2875dd"/>
                </a:solidFill>
              </a:ln>
            </c:spPr>
          </c:dPt>
          <c:dPt>
            <c:idx val="8"/>
            <c:invertIfNegative val="0"/>
            <c:spPr>
              <a:solidFill>
                <a:srgbClr val="2875dd"/>
              </a:solidFill>
              <a:ln w="0">
                <a:solidFill>
                  <a:srgbClr val="2875dd"/>
                </a:solidFill>
              </a:ln>
            </c:spPr>
          </c:dPt>
          <c:dLbls>
            <c:numFmt formatCode="General" sourceLinked="0"/>
            <c:dLbl>
              <c:idx val="0"/>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1"/>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2"/>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3"/>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4"/>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5"/>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6"/>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7"/>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dLbl>
              <c:idx val="8"/>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dLbl>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showLeaderLines val="0"/>
            <c:extLst>
              <c:ext xmlns:c15="http://schemas.microsoft.com/office/drawing/2012/chart" uri="{CE6537A1-D6FC-4f65-9D91-7224C49458BB}">
                <c15:showLeaderLines val="0"/>
              </c:ext>
            </c:extLst>
          </c:dLbls>
          <c:cat>
            <c:strRef>
              <c:f>categories</c:f>
              <c:strCache>
                <c:ptCount val="9"/>
                <c:pt idx="0">
                  <c:v>Apps which have everything I need to plan my travel</c:v>
                </c:pt>
                <c:pt idx="1">
                  <c:v>Virtual reality preview tours</c:v>
                </c:pt>
                <c:pt idx="2">
                  <c:v>Augmented reality preview tours</c:v>
                </c:pt>
                <c:pt idx="3">
                  <c:v>Online travel agency websites</c:v>
                </c:pt>
                <c:pt idx="4">
                  <c:v>Price comparison websites</c:v>
                </c:pt>
                <c:pt idx="5">
                  <c:v>Social media reviews</c:v>
                </c:pt>
                <c:pt idx="6">
                  <c:v>Automated suggestions based on my personal data</c:v>
                </c:pt>
                <c:pt idx="7">
                  <c:v>Verified guest reviews</c:v>
                </c:pt>
                <c:pt idx="8">
                  <c:v>Voice-based search engines</c:v>
                </c:pt>
              </c:strCache>
            </c:strRef>
          </c:cat>
          <c:val>
            <c:numRef>
              <c:f>0</c:f>
              <c:numCache>
                <c:formatCode>General</c:formatCode>
                <c:ptCount val="9"/>
                <c:pt idx="0">
                  <c:v>0.52</c:v>
                </c:pt>
                <c:pt idx="1">
                  <c:v>0.51</c:v>
                </c:pt>
                <c:pt idx="2">
                  <c:v>0.45</c:v>
                </c:pt>
                <c:pt idx="3">
                  <c:v>0.44</c:v>
                </c:pt>
                <c:pt idx="4">
                  <c:v>0.44</c:v>
                </c:pt>
                <c:pt idx="5">
                  <c:v>0.42</c:v>
                </c:pt>
                <c:pt idx="6">
                  <c:v>0.39</c:v>
                </c:pt>
                <c:pt idx="7">
                  <c:v>0.38</c:v>
                </c:pt>
                <c:pt idx="8">
                  <c:v>0.36</c:v>
                </c:pt>
              </c:numCache>
            </c:numRef>
          </c:val>
        </c:ser>
        <c:gapWidth val="80"/>
        <c:overlap val="-30"/>
        <c:axId val="85446913"/>
        <c:axId val="60467729"/>
      </c:barChart>
      <c:catAx>
        <c:axId val="85446913"/>
        <c:scaling>
          <c:orientation val="maxMin"/>
        </c:scaling>
        <c:delete val="0"/>
        <c:axPos val="b"/>
        <c:numFmt formatCode="General" sourceLinked="0"/>
        <c:majorTickMark val="none"/>
        <c:minorTickMark val="none"/>
        <c:tickLblPos val="low"/>
        <c:spPr>
          <a:ln w="9360">
            <a:solidFill>
              <a:srgbClr val="2f2f2f"/>
            </a:solidFill>
            <a:round/>
          </a:ln>
        </c:spPr>
        <c:txPr>
          <a:bodyPr/>
          <a:lstStyle/>
          <a:p>
            <a:pPr>
              <a:defRPr b="0" sz="1000" strike="noStrike" u="none">
                <a:solidFill>
                  <a:srgbClr val="000000"/>
                </a:solidFill>
                <a:uFillTx/>
                <a:latin typeface="Times New Roman"/>
              </a:defRPr>
            </a:pPr>
          </a:p>
        </c:txPr>
        <c:crossAx val="60467729"/>
        <c:crosses val="autoZero"/>
        <c:auto val="1"/>
        <c:lblAlgn val="ctr"/>
        <c:lblOffset val="100"/>
        <c:noMultiLvlLbl val="0"/>
      </c:catAx>
      <c:valAx>
        <c:axId val="60467729"/>
        <c:scaling>
          <c:orientation val="minMax"/>
          <c:min val="0"/>
        </c:scaling>
        <c:delete val="0"/>
        <c:axPos val="l"/>
        <c:majorGridlines>
          <c:spPr>
            <a:ln w="9360">
              <a:solidFill>
                <a:srgbClr val="2f2f2f"/>
              </a:solidFill>
              <a:prstDash val="dot"/>
              <a:round/>
            </a:ln>
          </c:spPr>
        </c:majorGridlines>
        <c:numFmt formatCode="General" sourceLinked="0"/>
        <c:majorTickMark val="none"/>
        <c:minorTickMark val="none"/>
        <c:tickLblPos val="nextTo"/>
        <c:spPr>
          <a:ln w="6480">
            <a:noFill/>
          </a:ln>
        </c:spPr>
        <c:txPr>
          <a:bodyPr/>
          <a:lstStyle/>
          <a:p>
            <a:pPr>
              <a:defRPr b="0" sz="1000" strike="noStrike" u="none">
                <a:solidFill>
                  <a:srgbClr val="000000"/>
                </a:solidFill>
                <a:uFillTx/>
                <a:latin typeface="Times New Roman"/>
              </a:defRPr>
            </a:pPr>
          </a:p>
        </c:txPr>
        <c:crossAx val="85446913"/>
        <c:crosses val="autoZero"/>
        <c:crossBetween val="between"/>
      </c:valAx>
      <c:spPr>
        <a:solidFill>
          <a:srgbClr val="ffffff"/>
        </a:solidFill>
        <a:ln w="0">
          <a:noFill/>
        </a:ln>
      </c:spPr>
    </c:plotArea>
    <c:plotVisOnly val="1"/>
    <c:dispBlanksAs val="gap"/>
  </c:chart>
  <c:spPr>
    <a:solidFill>
      <a:srgbClr val="ffffff"/>
    </a:solidFill>
    <a:ln w="9360">
      <a:solidFill>
        <a:srgbClr val="d9d9d9"/>
      </a:solidFill>
      <a:round/>
    </a:ln>
  </c:sp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2018</c:v>
                </c:pt>
              </c:strCache>
            </c:strRef>
          </c:tx>
          <c:spPr>
            <a:solidFill>
              <a:srgbClr val="8e2682"/>
            </a:solidFill>
            <a:ln w="0">
              <a:noFill/>
            </a:ln>
          </c:spPr>
          <c:invertIfNegative val="0"/>
          <c:dLbls>
            <c:numFmt formatCode="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0.65</c:v>
                </c:pt>
                <c:pt idx="1">
                  <c:v>0.7</c:v>
                </c:pt>
                <c:pt idx="2">
                  <c:v>0.6</c:v>
                </c:pt>
                <c:pt idx="3">
                  <c:v>0.65</c:v>
                </c:pt>
                <c:pt idx="4">
                  <c:v>0.25</c:v>
                </c:pt>
                <c:pt idx="5">
                  <c:v>0.2</c:v>
                </c:pt>
                <c:pt idx="6">
                  <c:v>0.15</c:v>
                </c:pt>
                <c:pt idx="7">
                  <c:v>0.03</c:v>
                </c:pt>
              </c:numCache>
            </c:numRef>
          </c:val>
        </c:ser>
        <c:ser>
          <c:idx val="1"/>
          <c:order val="1"/>
          <c:tx>
            <c:strRef>
              <c:f>label 1</c:f>
              <c:strCache>
                <c:ptCount val="1"/>
                <c:pt idx="0">
                  <c:v>2024</c:v>
                </c:pt>
              </c:strCache>
            </c:strRef>
          </c:tx>
          <c:spPr>
            <a:solidFill>
              <a:srgbClr val="bb89b3"/>
            </a:solidFill>
            <a:ln w="0">
              <a:noFill/>
            </a:ln>
          </c:spPr>
          <c:invertIfNegative val="0"/>
          <c:dLbls>
            <c:numFmt formatCode="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1</c:f>
              <c:numCache>
                <c:formatCode>General</c:formatCode>
                <c:ptCount val="8"/>
                <c:pt idx="0">
                  <c:v>0.8</c:v>
                </c:pt>
                <c:pt idx="1">
                  <c:v>0.85</c:v>
                </c:pt>
                <c:pt idx="2">
                  <c:v>0.75</c:v>
                </c:pt>
                <c:pt idx="3">
                  <c:v>0.75</c:v>
                </c:pt>
                <c:pt idx="4">
                  <c:v>0.5</c:v>
                </c:pt>
                <c:pt idx="5">
                  <c:v>0.4</c:v>
                </c:pt>
                <c:pt idx="6">
                  <c:v>0.3</c:v>
                </c:pt>
                <c:pt idx="7">
                  <c:v>0.05</c:v>
                </c:pt>
              </c:numCache>
            </c:numRef>
          </c:val>
        </c:ser>
        <c:gapWidth val="219"/>
        <c:overlap val="-27"/>
        <c:axId val="22195144"/>
        <c:axId val="17405786"/>
      </c:barChart>
      <c:catAx>
        <c:axId val="2219514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Aptos"/>
              </a:defRPr>
            </a:pPr>
          </a:p>
        </c:txPr>
        <c:crossAx val="17405786"/>
        <c:crosses val="autoZero"/>
        <c:auto val="1"/>
        <c:lblAlgn val="ctr"/>
        <c:lblOffset val="100"/>
        <c:noMultiLvlLbl val="0"/>
      </c:catAx>
      <c:valAx>
        <c:axId val="17405786"/>
        <c:scaling>
          <c:orientation val="minMax"/>
        </c:scaling>
        <c:delete val="1"/>
        <c:axPos val="l"/>
        <c:numFmt formatCode="General" sourceLinked="1"/>
        <c:majorTickMark val="none"/>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22195144"/>
        <c:crossBetween val="between"/>
      </c:valAx>
      <c:spPr>
        <a:noFill/>
        <a:ln w="0">
          <a:noFill/>
        </a:ln>
      </c:spPr>
    </c:plotArea>
    <c:legend>
      <c:legendPos val="b"/>
      <c:overlay val="0"/>
      <c:spPr>
        <a:noFill/>
        <a:ln w="0">
          <a:noFill/>
        </a:ln>
      </c:spPr>
      <c:txPr>
        <a:bodyPr/>
        <a:lstStyle/>
        <a:p>
          <a:pPr>
            <a:defRPr b="0" sz="900" strike="noStrike" u="none">
              <a:solidFill>
                <a:srgbClr val="595959"/>
              </a:solidFill>
              <a:uFillTx/>
              <a:latin typeface="Aptos"/>
            </a:defRPr>
          </a:pPr>
        </a:p>
      </c:txPr>
    </c:legend>
    <c:plotVisOnly val="1"/>
    <c:dispBlanksAs val="gap"/>
  </c:chart>
  <c:spPr>
    <a:solidFill>
      <a:srgbClr val="ffffff"/>
    </a:solidFill>
    <a:ln w="9360">
      <a:solidFill>
        <a:srgbClr val="d9d9d9"/>
      </a:solidFill>
      <a:round/>
    </a:ln>
  </c:spPr>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2018</c:v>
                </c:pt>
              </c:strCache>
            </c:strRef>
          </c:tx>
          <c:spPr>
            <a:solidFill>
              <a:srgbClr val="8e2682"/>
            </a:solidFill>
            <a:ln w="0">
              <a:noFill/>
            </a:ln>
          </c:spPr>
          <c:invertIfNegative val="0"/>
          <c:dLbls>
            <c:numFmt formatCode="0.0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2</c:v>
                </c:pt>
                <c:pt idx="1">
                  <c:v>2.5</c:v>
                </c:pt>
                <c:pt idx="2">
                  <c:v>2.2</c:v>
                </c:pt>
                <c:pt idx="3">
                  <c:v>2.3</c:v>
                </c:pt>
                <c:pt idx="4">
                  <c:v>1.2</c:v>
                </c:pt>
                <c:pt idx="5">
                  <c:v>0.9</c:v>
                </c:pt>
                <c:pt idx="6">
                  <c:v>0.7</c:v>
                </c:pt>
                <c:pt idx="7">
                  <c:v>0.4</c:v>
                </c:pt>
              </c:numCache>
            </c:numRef>
          </c:val>
        </c:ser>
        <c:ser>
          <c:idx val="1"/>
          <c:order val="1"/>
          <c:tx>
            <c:strRef>
              <c:f>label 1</c:f>
              <c:strCache>
                <c:ptCount val="1"/>
                <c:pt idx="0">
                  <c:v>2024</c:v>
                </c:pt>
              </c:strCache>
            </c:strRef>
          </c:tx>
          <c:spPr>
            <a:solidFill>
              <a:srgbClr val="bb89b3"/>
            </a:solidFill>
            <a:ln w="0">
              <a:noFill/>
            </a:ln>
          </c:spPr>
          <c:invertIfNegative val="0"/>
          <c:dLbls>
            <c:numFmt formatCode="0.0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1</c:f>
              <c:numCache>
                <c:formatCode>General</c:formatCode>
                <c:ptCount val="8"/>
                <c:pt idx="0">
                  <c:v>2.8</c:v>
                </c:pt>
                <c:pt idx="1">
                  <c:v>3</c:v>
                </c:pt>
                <c:pt idx="2">
                  <c:v>2.7</c:v>
                </c:pt>
                <c:pt idx="3">
                  <c:v>2.8</c:v>
                </c:pt>
                <c:pt idx="4">
                  <c:v>1.8</c:v>
                </c:pt>
                <c:pt idx="5">
                  <c:v>1.5</c:v>
                </c:pt>
                <c:pt idx="6">
                  <c:v>1.2</c:v>
                </c:pt>
                <c:pt idx="7">
                  <c:v>0.8</c:v>
                </c:pt>
              </c:numCache>
            </c:numRef>
          </c:val>
        </c:ser>
        <c:gapWidth val="219"/>
        <c:overlap val="-27"/>
        <c:axId val="25960298"/>
        <c:axId val="9514321"/>
      </c:barChart>
      <c:catAx>
        <c:axId val="25960298"/>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Aptos"/>
              </a:defRPr>
            </a:pPr>
          </a:p>
        </c:txPr>
        <c:crossAx val="9514321"/>
        <c:crosses val="autoZero"/>
        <c:auto val="1"/>
        <c:lblAlgn val="ctr"/>
        <c:lblOffset val="100"/>
        <c:noMultiLvlLbl val="0"/>
      </c:catAx>
      <c:valAx>
        <c:axId val="9514321"/>
        <c:scaling>
          <c:orientation val="minMax"/>
        </c:scaling>
        <c:delete val="1"/>
        <c:axPos val="l"/>
        <c:numFmt formatCode="General" sourceLinked="1"/>
        <c:majorTickMark val="none"/>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25960298"/>
        <c:crossBetween val="between"/>
      </c:valAx>
      <c:spPr>
        <a:noFill/>
        <a:ln w="0">
          <a:noFill/>
        </a:ln>
      </c:spPr>
    </c:plotArea>
    <c:legend>
      <c:legendPos val="b"/>
      <c:layout>
        <c:manualLayout>
          <c:xMode val="edge"/>
          <c:yMode val="edge"/>
          <c:x val="0.4278125"/>
          <c:y val="0.842333333333333"/>
          <c:w val="0.144321520095006"/>
          <c:h val="0.0920102233581509"/>
        </c:manualLayout>
      </c:layout>
      <c:overlay val="0"/>
      <c:spPr>
        <a:noFill/>
        <a:ln w="0">
          <a:noFill/>
        </a:ln>
      </c:spPr>
      <c:txPr>
        <a:bodyPr/>
        <a:lstStyle/>
        <a:p>
          <a:pPr>
            <a:defRPr b="0" sz="900" strike="noStrike" u="none">
              <a:solidFill>
                <a:srgbClr val="595959"/>
              </a:solidFill>
              <a:uFillTx/>
              <a:latin typeface="Aptos"/>
            </a:defRPr>
          </a:pPr>
        </a:p>
      </c:txPr>
    </c:legend>
    <c:plotVisOnly val="1"/>
    <c:dispBlanksAs val="gap"/>
  </c:chart>
  <c:spPr>
    <a:solidFill>
      <a:srgbClr val="ffffff"/>
    </a:solidFill>
    <a:ln w="9360">
      <a:solidFill>
        <a:srgbClr val="d9d9d9"/>
      </a:solidFill>
      <a:round/>
    </a:ln>
  </c:spPr>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2375"/>
          <c:y val="0.00777777777777778"/>
          <c:w val="0.9719375"/>
          <c:h val="0.734555555555556"/>
        </c:manualLayout>
      </c:layout>
      <c:barChart>
        <c:barDir val="col"/>
        <c:grouping val="clustered"/>
        <c:varyColors val="0"/>
        <c:ser>
          <c:idx val="0"/>
          <c:order val="0"/>
          <c:tx>
            <c:strRef>
              <c:f>label 0</c:f>
              <c:strCache>
                <c:ptCount val="1"/>
                <c:pt idx="0">
                  <c:v>2018</c:v>
                </c:pt>
              </c:strCache>
            </c:strRef>
          </c:tx>
          <c:spPr>
            <a:solidFill>
              <a:srgbClr val="8e2682"/>
            </a:solidFill>
            <a:ln w="0">
              <a:noFill/>
            </a:ln>
          </c:spPr>
          <c:invertIfNegative val="0"/>
          <c:dLbls>
            <c:numFmt formatCode="0.0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0.028</c:v>
                </c:pt>
                <c:pt idx="1">
                  <c:v>0.025</c:v>
                </c:pt>
                <c:pt idx="2">
                  <c:v>0.023</c:v>
                </c:pt>
                <c:pt idx="3">
                  <c:v>0.026</c:v>
                </c:pt>
                <c:pt idx="4">
                  <c:v>0.015</c:v>
                </c:pt>
                <c:pt idx="5">
                  <c:v>0.008</c:v>
                </c:pt>
                <c:pt idx="6">
                  <c:v>0.007</c:v>
                </c:pt>
                <c:pt idx="7">
                  <c:v>0.003</c:v>
                </c:pt>
              </c:numCache>
            </c:numRef>
          </c:val>
        </c:ser>
        <c:ser>
          <c:idx val="1"/>
          <c:order val="1"/>
          <c:tx>
            <c:strRef>
              <c:f>label 1</c:f>
              <c:strCache>
                <c:ptCount val="1"/>
                <c:pt idx="0">
                  <c:v>2024</c:v>
                </c:pt>
              </c:strCache>
            </c:strRef>
          </c:tx>
          <c:spPr>
            <a:solidFill>
              <a:srgbClr val="bb89b3"/>
            </a:solidFill>
            <a:ln w="0">
              <a:noFill/>
            </a:ln>
          </c:spPr>
          <c:invertIfNegative val="0"/>
          <c:dLbls>
            <c:numFmt formatCode="0.0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1</c:f>
              <c:numCache>
                <c:formatCode>General</c:formatCode>
                <c:ptCount val="8"/>
                <c:pt idx="0">
                  <c:v>0.032</c:v>
                </c:pt>
                <c:pt idx="1">
                  <c:v>0.03</c:v>
                </c:pt>
                <c:pt idx="2">
                  <c:v>0.028</c:v>
                </c:pt>
                <c:pt idx="3">
                  <c:v>0.031</c:v>
                </c:pt>
                <c:pt idx="4">
                  <c:v>0.022</c:v>
                </c:pt>
                <c:pt idx="5">
                  <c:v>0.015</c:v>
                </c:pt>
                <c:pt idx="6">
                  <c:v>0.012</c:v>
                </c:pt>
                <c:pt idx="7">
                  <c:v>0.005</c:v>
                </c:pt>
              </c:numCache>
            </c:numRef>
          </c:val>
        </c:ser>
        <c:gapWidth val="219"/>
        <c:overlap val="-27"/>
        <c:axId val="69722897"/>
        <c:axId val="26197942"/>
      </c:barChart>
      <c:catAx>
        <c:axId val="69722897"/>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Aptos"/>
              </a:defRPr>
            </a:pPr>
          </a:p>
        </c:txPr>
        <c:crossAx val="26197942"/>
        <c:crosses val="autoZero"/>
        <c:auto val="1"/>
        <c:lblAlgn val="ctr"/>
        <c:lblOffset val="100"/>
        <c:noMultiLvlLbl val="0"/>
      </c:catAx>
      <c:valAx>
        <c:axId val="26197942"/>
        <c:scaling>
          <c:orientation val="minMax"/>
        </c:scaling>
        <c:delete val="1"/>
        <c:axPos val="l"/>
        <c:numFmt formatCode="General" sourceLinked="1"/>
        <c:majorTickMark val="none"/>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69722897"/>
        <c:crossBetween val="between"/>
      </c:valAx>
      <c:spPr>
        <a:noFill/>
        <a:ln w="0">
          <a:noFill/>
        </a:ln>
      </c:spPr>
    </c:plotArea>
    <c:legend>
      <c:legendPos val="b"/>
      <c:layout>
        <c:manualLayout>
          <c:xMode val="edge"/>
          <c:yMode val="edge"/>
          <c:x val="0.427125"/>
          <c:y val="0.877222222222222"/>
          <c:w val="0.145634102131383"/>
          <c:h val="0.117124124902767"/>
        </c:manualLayout>
      </c:layout>
      <c:overlay val="0"/>
      <c:spPr>
        <a:noFill/>
        <a:ln w="0">
          <a:noFill/>
        </a:ln>
      </c:spPr>
      <c:txPr>
        <a:bodyPr/>
        <a:lstStyle/>
        <a:p>
          <a:pPr>
            <a:defRPr b="0" sz="900" strike="noStrike" u="none">
              <a:solidFill>
                <a:srgbClr val="595959"/>
              </a:solidFill>
              <a:uFillTx/>
              <a:latin typeface="Aptos"/>
            </a:defRPr>
          </a:pPr>
        </a:p>
      </c:txPr>
    </c:legend>
    <c:plotVisOnly val="1"/>
    <c:dispBlanksAs val="gap"/>
  </c:chart>
  <c:spPr>
    <a:solidFill>
      <a:srgbClr val="ffffff"/>
    </a:solidFill>
    <a:ln w="9360">
      <a:solidFill>
        <a:srgbClr val="d9d9d9"/>
      </a:solidFill>
      <a:round/>
    </a:ln>
  </c:spPr>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2024</c:v>
                </c:pt>
              </c:strCache>
            </c:strRef>
          </c:tx>
          <c:spPr>
            <a:solidFill>
              <a:srgbClr val="a02b93"/>
            </a:solidFill>
            <a:ln w="0">
              <a:noFill/>
            </a:ln>
          </c:spPr>
          <c:invertIfNegative val="0"/>
          <c:dLbls>
            <c:numFmt formatCode="0.00%" sourceLinked="0"/>
            <c:txPr>
              <a:bodyPr wrap="square"/>
              <a:lstStyle/>
              <a:p>
                <a:pPr>
                  <a:defRPr b="0" sz="900" strike="noStrike" u="none">
                    <a:solidFill>
                      <a:srgbClr val="404040"/>
                    </a:solidFill>
                    <a:uFillTx/>
                    <a:latin typeface="Aptos"/>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1.4</c:v>
                </c:pt>
                <c:pt idx="1">
                  <c:v>1.5</c:v>
                </c:pt>
                <c:pt idx="2">
                  <c:v>1.35</c:v>
                </c:pt>
                <c:pt idx="3">
                  <c:v>1.45</c:v>
                </c:pt>
                <c:pt idx="4">
                  <c:v>1.8</c:v>
                </c:pt>
                <c:pt idx="5">
                  <c:v>1.6</c:v>
                </c:pt>
                <c:pt idx="6">
                  <c:v>1.3</c:v>
                </c:pt>
                <c:pt idx="7">
                  <c:v>1.1</c:v>
                </c:pt>
              </c:numCache>
            </c:numRef>
          </c:val>
        </c:ser>
        <c:gapWidth val="219"/>
        <c:overlap val="-27"/>
        <c:axId val="36906813"/>
        <c:axId val="51541943"/>
      </c:barChart>
      <c:catAx>
        <c:axId val="36906813"/>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Aptos"/>
              </a:defRPr>
            </a:pPr>
          </a:p>
        </c:txPr>
        <c:crossAx val="51541943"/>
        <c:crosses val="autoZero"/>
        <c:auto val="1"/>
        <c:lblAlgn val="ctr"/>
        <c:lblOffset val="100"/>
        <c:noMultiLvlLbl val="0"/>
      </c:catAx>
      <c:valAx>
        <c:axId val="51541943"/>
        <c:scaling>
          <c:orientation val="minMax"/>
        </c:scaling>
        <c:delete val="1"/>
        <c:axPos val="l"/>
        <c:numFmt formatCode="General" sourceLinked="1"/>
        <c:majorTickMark val="none"/>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36906813"/>
        <c:crossBetween val="between"/>
      </c:valAx>
      <c:spPr>
        <a:noFill/>
        <a:ln w="0">
          <a:noFill/>
        </a:ln>
      </c:spPr>
    </c:plotArea>
    <c:plotVisOnly val="1"/>
    <c:dispBlanksAs val="gap"/>
  </c:chart>
  <c:spPr>
    <a:solidFill>
      <a:srgbClr val="ffffff"/>
    </a:solidFill>
    <a:ln w="9360">
      <a:solidFill>
        <a:srgbClr val="d9d9d9"/>
      </a:solidFill>
      <a:round/>
    </a:ln>
  </c:spPr>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bar"/>
        <c:grouping val="clustered"/>
        <c:varyColors val="0"/>
        <c:ser>
          <c:idx val="0"/>
          <c:order val="0"/>
          <c:tx>
            <c:strRef>
              <c:f>label 0</c:f>
              <c:strCache>
                <c:ptCount val="1"/>
                <c:pt idx="0">
                  <c:v>Ряд 1</c:v>
                </c:pt>
              </c:strCache>
            </c:strRef>
          </c:tx>
          <c:spPr>
            <a:solidFill>
              <a:srgbClr val="70ad47"/>
            </a:solidFill>
            <a:ln w="0">
              <a:noFill/>
            </a:ln>
          </c:spPr>
          <c:invertIfNegative val="0"/>
          <c:dLbls>
            <c:txPr>
              <a:bodyPr wrap="square"/>
              <a:lstStyle/>
              <a:p>
                <a:pPr>
                  <a:defRPr b="0" sz="1000" strike="noStrike" u="none">
                    <a:solidFill>
                      <a:srgbClr val="000000"/>
                    </a:solidFill>
                    <a:uFillTx/>
                    <a:latin typeface="Calibri"/>
                  </a:defRPr>
                </a:pPr>
              </a:p>
            </c:txPr>
            <c:dLblPos val="outEnd"/>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7"/>
                <c:pt idx="0">
                  <c:v>Өзбекістан</c:v>
                </c:pt>
                <c:pt idx="1">
                  <c:v>Тәжікістан</c:v>
                </c:pt>
                <c:pt idx="2">
                  <c:v>Қыргызстан</c:v>
                </c:pt>
                <c:pt idx="3">
                  <c:v>Беларусь</c:v>
                </c:pt>
                <c:pt idx="4">
                  <c:v>Армения</c:v>
                </c:pt>
                <c:pt idx="5">
                  <c:v>Қазақстан</c:v>
                </c:pt>
                <c:pt idx="6">
                  <c:v>Ресей</c:v>
                </c:pt>
              </c:strCache>
            </c:strRef>
          </c:cat>
          <c:val>
            <c:numRef>
              <c:f>0</c:f>
              <c:numCache>
                <c:formatCode>General</c:formatCode>
                <c:ptCount val="7"/>
                <c:pt idx="0">
                  <c:v>35</c:v>
                </c:pt>
                <c:pt idx="1">
                  <c:v>37</c:v>
                </c:pt>
                <c:pt idx="2">
                  <c:v>43</c:v>
                </c:pt>
                <c:pt idx="3">
                  <c:v>47</c:v>
                </c:pt>
                <c:pt idx="4">
                  <c:v>49</c:v>
                </c:pt>
                <c:pt idx="5">
                  <c:v>55</c:v>
                </c:pt>
                <c:pt idx="6">
                  <c:v>56</c:v>
                </c:pt>
              </c:numCache>
            </c:numRef>
          </c:val>
        </c:ser>
        <c:gapWidth val="182"/>
        <c:overlap val="0"/>
        <c:axId val="61493365"/>
        <c:axId val="61932501"/>
      </c:barChart>
      <c:catAx>
        <c:axId val="61493365"/>
        <c:scaling>
          <c:orientation val="minMax"/>
        </c:scaling>
        <c:delete val="0"/>
        <c:axPos val="b"/>
        <c:numFmt formatCode="General" sourceLinked="0"/>
        <c:majorTickMark val="in"/>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61932501"/>
        <c:crosses val="autoZero"/>
        <c:auto val="1"/>
        <c:lblAlgn val="ctr"/>
        <c:lblOffset val="100"/>
        <c:noMultiLvlLbl val="0"/>
      </c:catAx>
      <c:valAx>
        <c:axId val="61932501"/>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61493365"/>
        <c:crosses val="autoZero"/>
        <c:crossBetween val="between"/>
      </c:valAx>
      <c:spPr>
        <a:noFill/>
        <a:ln w="0">
          <a:noFill/>
        </a:ln>
      </c:spPr>
    </c:plotArea>
    <c:plotVisOnly val="1"/>
    <c:dispBlanksAs val="gap"/>
  </c:chart>
  <c:spPr>
    <a:solidFill>
      <a:srgbClr val="ffffff"/>
    </a:solidFill>
    <a:ln w="9360">
      <a:solidFill>
        <a:srgbClr val="d9d9d9"/>
      </a:solidFill>
      <a:round/>
    </a:ln>
  </c:sp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Ряд 1</c:v>
                </c:pt>
              </c:strCache>
            </c:strRef>
          </c:tx>
          <c:spPr>
            <a:solidFill>
              <a:srgbClr val="5b9bd5"/>
            </a:solidFill>
            <a:ln w="0">
              <a:noFill/>
            </a:ln>
          </c:spPr>
          <c:invertIfNegative val="0"/>
          <c:dLbls>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2357</c:v>
                </c:pt>
                <c:pt idx="1">
                  <c:v>2410</c:v>
                </c:pt>
                <c:pt idx="2">
                  <c:v>2518</c:v>
                </c:pt>
                <c:pt idx="3">
                  <c:v>2448</c:v>
                </c:pt>
                <c:pt idx="4">
                  <c:v>2463</c:v>
                </c:pt>
              </c:numCache>
            </c:numRef>
          </c:val>
        </c:ser>
        <c:gapWidth val="219"/>
        <c:overlap val="-27"/>
        <c:axId val="39520459"/>
        <c:axId val="82680760"/>
      </c:barChart>
      <c:catAx>
        <c:axId val="39520459"/>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1000" strike="noStrike" u="none">
                <a:solidFill>
                  <a:srgbClr val="000000"/>
                </a:solidFill>
                <a:uFillTx/>
                <a:latin typeface="Times New Roman"/>
              </a:defRPr>
            </a:pPr>
          </a:p>
        </c:txPr>
        <c:crossAx val="82680760"/>
        <c:crosses val="autoZero"/>
        <c:auto val="1"/>
        <c:lblAlgn val="ctr"/>
        <c:lblOffset val="100"/>
        <c:noMultiLvlLbl val="0"/>
      </c:catAx>
      <c:valAx>
        <c:axId val="82680760"/>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1000" strike="noStrike" u="none">
                <a:solidFill>
                  <a:srgbClr val="000000"/>
                </a:solidFill>
                <a:uFillTx/>
                <a:latin typeface="Times New Roman"/>
              </a:defRPr>
            </a:pPr>
          </a:p>
        </c:txPr>
        <c:crossAx val="39520459"/>
        <c:crosses val="autoZero"/>
        <c:crossBetween val="between"/>
      </c:valAx>
      <c:spPr>
        <a:noFill/>
        <a:ln w="0">
          <a:noFill/>
        </a:ln>
      </c:spPr>
    </c:plotArea>
    <c:plotVisOnly val="1"/>
    <c:dispBlanksAs val="gap"/>
  </c:chart>
  <c:spPr>
    <a:solidFill>
      <a:srgbClr val="ffffff"/>
    </a:solidFill>
    <a:ln w="9360">
      <a:solidFill>
        <a:srgbClr val="d9d9d9"/>
      </a:solidFill>
      <a:round/>
    </a:ln>
  </c:sp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Ряд 1</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 ж</c:v>
                </c:pt>
                <c:pt idx="1">
                  <c:v>2021 ж</c:v>
                </c:pt>
                <c:pt idx="2">
                  <c:v>2022 ж</c:v>
                </c:pt>
                <c:pt idx="3">
                  <c:v>2023 ж</c:v>
                </c:pt>
                <c:pt idx="4">
                  <c:v>2024 ж</c:v>
                </c:pt>
              </c:strCache>
            </c:strRef>
          </c:cat>
          <c:val>
            <c:numRef>
              <c:f>0</c:f>
              <c:numCache>
                <c:formatCode>General</c:formatCode>
                <c:ptCount val="5"/>
                <c:pt idx="0">
                  <c:v>7.1</c:v>
                </c:pt>
                <c:pt idx="1">
                  <c:v>9.1</c:v>
                </c:pt>
                <c:pt idx="2">
                  <c:v>10</c:v>
                </c:pt>
                <c:pt idx="3">
                  <c:v>7.2</c:v>
                </c:pt>
                <c:pt idx="4">
                  <c:v>10</c:v>
                </c:pt>
              </c:numCache>
            </c:numRef>
          </c:val>
        </c:ser>
        <c:gapWidth val="219"/>
        <c:overlap val="-27"/>
        <c:axId val="28528624"/>
        <c:axId val="22818597"/>
      </c:barChart>
      <c:catAx>
        <c:axId val="2852862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22818597"/>
        <c:crosses val="autoZero"/>
        <c:auto val="1"/>
        <c:lblAlgn val="ctr"/>
        <c:lblOffset val="100"/>
        <c:noMultiLvlLbl val="0"/>
      </c:catAx>
      <c:valAx>
        <c:axId val="22818597"/>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28528624"/>
        <c:crosses val="autoZero"/>
        <c:crossBetween val="between"/>
      </c:valAx>
      <c:spPr>
        <a:noFill/>
        <a:ln w="0">
          <a:noFill/>
        </a:ln>
      </c:spPr>
    </c:plotArea>
    <c:plotVisOnly val="1"/>
    <c:dispBlanksAs val="gap"/>
  </c:chart>
  <c:spPr>
    <a:solidFill>
      <a:srgbClr val="ffffff"/>
    </a:solidFill>
    <a:ln w="9360">
      <a:solidFill>
        <a:srgbClr val="d9d9d9"/>
      </a:solidFill>
      <a:round/>
    </a:ln>
  </c:spPr>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Столбец3</c:v>
                </c:pt>
              </c:strCache>
            </c:strRef>
          </c:tx>
          <c:spPr>
            <a:solidFill>
              <a:srgbClr val="5b9bd5"/>
            </a:solidFill>
            <a:ln w="0">
              <a:noFill/>
            </a:ln>
          </c:spPr>
          <c:invertIfNegative val="0"/>
          <c:dLbls>
            <c:numFmt formatCode="General" sourceLinked="0"/>
            <c:txPr>
              <a:bodyPr wrap="square"/>
              <a:lstStyle/>
              <a:p>
                <a:pPr>
                  <a:defRPr b="0" sz="10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213003</c:v>
                </c:pt>
                <c:pt idx="1">
                  <c:v>250311</c:v>
                </c:pt>
                <c:pt idx="2">
                  <c:v>309697</c:v>
                </c:pt>
                <c:pt idx="3">
                  <c:v>364295</c:v>
                </c:pt>
                <c:pt idx="4">
                  <c:v>405416</c:v>
                </c:pt>
              </c:numCache>
            </c:numRef>
          </c:val>
        </c:ser>
        <c:gapWidth val="219"/>
        <c:overlap val="-27"/>
        <c:axId val="77240742"/>
        <c:axId val="28317515"/>
      </c:barChart>
      <c:catAx>
        <c:axId val="77240742"/>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1000" strike="noStrike" u="none">
                <a:solidFill>
                  <a:srgbClr val="000000"/>
                </a:solidFill>
                <a:uFillTx/>
                <a:latin typeface="Times New Roman"/>
              </a:defRPr>
            </a:pPr>
          </a:p>
        </c:txPr>
        <c:crossAx val="28317515"/>
        <c:crosses val="autoZero"/>
        <c:auto val="1"/>
        <c:lblAlgn val="ctr"/>
        <c:lblOffset val="100"/>
        <c:noMultiLvlLbl val="0"/>
      </c:catAx>
      <c:valAx>
        <c:axId val="28317515"/>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1000" strike="noStrike" u="none">
                <a:solidFill>
                  <a:srgbClr val="000000"/>
                </a:solidFill>
                <a:uFillTx/>
                <a:latin typeface="Times New Roman"/>
              </a:defRPr>
            </a:pPr>
          </a:p>
        </c:txPr>
        <c:crossAx val="77240742"/>
        <c:crosses val="autoZero"/>
        <c:crossBetween val="between"/>
      </c:valAx>
      <c:spPr>
        <a:noFill/>
        <a:ln w="0">
          <a:noFill/>
        </a:ln>
      </c:spPr>
    </c:plotArea>
    <c:plotVisOnly val="1"/>
    <c:dispBlanksAs val="gap"/>
  </c:chart>
  <c:spPr>
    <a:solidFill>
      <a:srgbClr val="ffffff"/>
    </a:solidFill>
    <a:ln w="9360">
      <a:solidFill>
        <a:srgbClr val="d9d9d9"/>
      </a:solidFill>
      <a:round/>
    </a:ln>
  </c:spPr>
  <c:externalData r:id="rId1"/>
</c:chartSpace>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LibreOffice/25.2.6.2$Linux_X86_64 LibreOffice_project/520$Build-2</Application>
  <AppVersion>15.0000</AppVersion>
  <Pages>165</Pages>
  <Words>83378</Words>
  <Characters>475258</Characters>
  <CharactersWithSpaces>557521</CharactersWithSpaces>
  <Paragraphs>1115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2025-12-22T05:02:00Z</dcterms:created>
  <dc:creator>admin</dc:creator>
  <dc:description/>
  <dc:language>en-US</dc:language>
  <cp:lastModifiedBy/>
  <dcterms:modified xsi:type="dcterms:W3CDTF">2025-12-25T22:06:24Z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