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Arial" w:cs="Arial" w:eastAsia="Arial" w:hAnsi="Arial"/>
          <w:caps/>
          <w:color w:val="6B6B6B"/>
          <w:spacing w:val="80"/>
          <w:sz w:val="20"/>
          <w:szCs w:val="20"/>
        </w:rPr>
        <w:t xml:space="preserve">AIOPS &amp; PRODUCTION MANAGEMENT</w:t>
      </w:r>
    </w:p>
    <w:p>
      <w:pPr>
        <w:spacing w:after="0"/>
        <w:jc w:val="center"/>
      </w:pPr>
      <w:r>
        <w:rPr>
          <w:rFonts w:ascii="Arial" w:cs="Arial" w:eastAsia="Arial" w:hAnsi="Arial"/>
          <w:b/>
          <w:bCs/>
          <w:color w:val="1B3A5C"/>
          <w:sz w:val="52"/>
          <w:szCs w:val="52"/>
        </w:rPr>
        <w:t xml:space="preserve">MongoDB Standards &amp;</w:t>
      </w:r>
    </w:p>
    <w:p>
      <w:pPr>
        <w:spacing w:after="160"/>
        <w:jc w:val="center"/>
      </w:pPr>
      <w:r>
        <w:rPr>
          <w:rFonts w:ascii="Arial" w:cs="Arial" w:eastAsia="Arial" w:hAnsi="Arial"/>
          <w:b/>
          <w:bCs/>
          <w:color w:val="1B3A5C"/>
          <w:sz w:val="52"/>
          <w:szCs w:val="52"/>
        </w:rPr>
        <w:t xml:space="preserve">Best Practices Booklet</w:t>
      </w:r>
    </w:p>
    <w:p>
      <w:pPr>
        <w:pBdr>
          <w:bottom w:val="single" w:color="C8860A" w:sz="16" w:space="1"/>
        </w:pBdr>
        <w:spacing w:after="160"/>
        <w:jc w:val="center"/>
      </w:pPr>
    </w:p>
    <w:p>
      <w:pPr>
        <w:spacing w:after="80"/>
      </w:pPr>
    </w:p>
    <w:p>
      <w:pPr>
        <w:spacing w:after="40"/>
        <w:jc w:val="center"/>
      </w:pPr>
      <w:r>
        <w:rPr>
          <w:rFonts w:ascii="Arial" w:cs="Arial" w:eastAsia="Arial" w:hAnsi="Arial"/>
          <w:i/>
          <w:iCs/>
          <w:color w:val="6B6B6B"/>
          <w:sz w:val="22"/>
          <w:szCs w:val="22"/>
        </w:rPr>
        <w:t xml:space="preserve">Every team member must read, understand, and adhere to these rules.</w:t>
      </w:r>
    </w:p>
    <w:p>
      <w:pPr>
        <w:jc w:val="center"/>
      </w:pPr>
      <w:r>
        <w:rPr>
          <w:rFonts w:ascii="Arial" w:cs="Arial" w:eastAsia="Arial" w:hAnsi="Arial"/>
          <w:i/>
          <w:iCs/>
          <w:color w:val="C8860A"/>
          <w:sz w:val="22"/>
          <w:szCs w:val="22"/>
        </w:rPr>
        <w:t xml:space="preserve">Non-compliance will be reviewed in code and design reviews.</w:t>
      </w:r>
    </w:p>
    <w:p>
      <w:pPr>
        <w:spacing w:after="600"/>
      </w:pPr>
    </w:p>
    <w:tbl>
      <w:tblPr>
        <w:tblpPr w:tblpX="1620" w:horzAnchor="margin"/>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color w:val="1B3A5C"/>
                <w:sz w:val="19"/>
                <w:szCs w:val="19"/>
              </w:rPr>
              <w:t xml:space="preserve">Team</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AIOps / Production Management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color w:val="1B3A5C"/>
                <w:sz w:val="19"/>
                <w:szCs w:val="19"/>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MongoDB (3-node Replica Set)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color w:val="1B3A5C"/>
                <w:sz w:val="19"/>
                <w:szCs w:val="19"/>
              </w:rPr>
              <w:t xml:space="preserve">Environments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DEV  |  UAT  |  PROD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color w:val="1B3A5C"/>
                <w:sz w:val="19"/>
                <w:szCs w:val="19"/>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Python  |  Angular / ReactJS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color w:val="1B3A5C"/>
                <w:sz w:val="19"/>
                <w:szCs w:val="19"/>
              </w:rPr>
              <w:t xml:space="preserve">Revision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v1.0  —  April 10, 2026</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01  </w:t>
      </w:r>
      <w:r>
        <w:rPr>
          <w:rFonts w:ascii="Arial" w:cs="Arial" w:eastAsia="Arial" w:hAnsi="Arial"/>
          <w:b/>
          <w:bCs/>
          <w:color w:val="1B3A5C"/>
          <w:sz w:val="28"/>
          <w:szCs w:val="28"/>
        </w:rPr>
        <w:t xml:space="preserve">Environment &amp; Cluster Architecture</w:t>
      </w:r>
    </w:p>
    <w:p>
      <w:pPr>
        <w:pBdr>
          <w:bottom w:val="single" w:color="2E6DA4" w:sz="8" w:space="1"/>
        </w:pBdr>
        <w:spacing w:after="80"/>
      </w:pPr>
    </w:p>
    <w:p>
      <w:pPr>
        <w:spacing w:after="100"/>
      </w:pPr>
      <w:r>
        <w:rPr>
          <w:rFonts w:ascii="Arial" w:cs="Arial" w:eastAsia="Arial" w:hAnsi="Arial"/>
        </w:rPr>
        <w:t xml:space="preserve">Our MongoDB infrastructure consists of three independent replica set clusters — one per environment. Understanding this structure is the foundation for every naming, connection, and access decision you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C8860A"/>
                <w:sz w:val="19"/>
                <w:szCs w:val="19"/>
              </w:rPr>
              <w:t xml:space="preserve">DEV</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C8860A"/>
                <w:sz w:val="19"/>
                <w:szCs w:val="19"/>
              </w:rPr>
              <w:t xml:space="preserve">UAT</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C8860A"/>
                <w:sz w:val="19"/>
                <w:szCs w:val="19"/>
              </w:rPr>
              <w:t xml:space="preserve">PROD</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3A5C"/>
                <w:sz w:val="18"/>
                <w:szCs w:val="18"/>
              </w:rPr>
              <w:t xml:space="preserve">Purpose</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Active development &amp; unit testing</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Integration, regression &amp; UAT sign-off</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Live production workloads</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3A5C"/>
                <w:sz w:val="18"/>
                <w:szCs w:val="18"/>
              </w:rPr>
              <w:t xml:space="preserve">Topology</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3-node Replica Set</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3-node Replica Set</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3-node Replica Set</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3A5C"/>
                <w:sz w:val="18"/>
                <w:szCs w:val="18"/>
              </w:rPr>
              <w:t xml:space="preserve">Write Concern</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w:1 acceptable</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w:majority required</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w:majority required</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3A5C"/>
                <w:sz w:val="18"/>
                <w:szCs w:val="18"/>
              </w:rPr>
              <w:t xml:space="preserve">Read Preference</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primaryPreferred</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primaryPreferred</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primary (default)</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3A5C"/>
                <w:sz w:val="18"/>
                <w:szCs w:val="18"/>
              </w:rPr>
              <w:t xml:space="preserve">Schema Enforced</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Relaxed</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Strict</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Strict</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3A5C"/>
                <w:sz w:val="18"/>
                <w:szCs w:val="18"/>
              </w:rPr>
              <w:t xml:space="preserve">Data Sensitivity</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Synthetic/masked only</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Masked only</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Live PII — handle with care</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3A5C"/>
                <w:sz w:val="18"/>
                <w:szCs w:val="18"/>
              </w:rPr>
              <w:t xml:space="preserve">Access</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Dev team (all)</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Dev + QA leads</w:t>
            </w:r>
          </w:p>
        </w:tc>
        <w:tc>
          <w:tcPr>
            <w:tcW w:type="dxa" w:w="25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Lead + DBA team only</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02  </w:t>
      </w:r>
      <w:r>
        <w:rPr>
          <w:rFonts w:ascii="Arial" w:cs="Arial" w:eastAsia="Arial" w:hAnsi="Arial"/>
          <w:b/>
          <w:bCs/>
          <w:color w:val="1B3A5C"/>
          <w:sz w:val="28"/>
          <w:szCs w:val="28"/>
        </w:rPr>
        <w:t xml:space="preserve">Naming Conventions</w:t>
      </w:r>
    </w:p>
    <w:p>
      <w:pPr>
        <w:pBdr>
          <w:bottom w:val="single" w:color="2E6DA4" w:sz="8" w:space="1"/>
        </w:pBdr>
        <w:spacing w:after="80"/>
      </w:pPr>
    </w:p>
    <w:p>
      <w:pPr>
        <w:spacing w:after="100"/>
      </w:pPr>
      <w:r>
        <w:rPr>
          <w:rFonts w:ascii="Arial" w:cs="Arial" w:eastAsia="Arial" w:hAnsi="Arial"/>
        </w:rPr>
        <w:t xml:space="preserve">Consistent naming is non-negotiable. It is the single biggest factor in how quickly a team member — or an on-call responder at 2AM — can understand what they are looking at. Every name must communicate environment, product domain, and purpose without needing to open the collection.</w:t>
      </w:r>
    </w:p>
    <w:p>
      <w:pPr>
        <w:pStyle w:val="Heading2"/>
        <w:spacing w:after="80" w:before="200"/>
      </w:pPr>
      <w:r>
        <w:rPr>
          <w:rFonts w:ascii="Arial" w:cs="Arial" w:eastAsia="Arial" w:hAnsi="Arial"/>
          <w:b/>
          <w:bCs/>
          <w:color w:val="2E6DA4"/>
          <w:sz w:val="24"/>
          <w:szCs w:val="24"/>
        </w:rPr>
        <w:t xml:space="preserve">2.1  General Rules (apply to all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Lowercase only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All database names, collection names, and field names must be fully lowercase. Mixed case leads to cross-platform inconsistencies and human error.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Underscore as separator</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Use underscore (_) as the only word separator. Never use hyphens, dots, camelCase, or spaces. Example: incident_reports not incidentReports or incident-reports.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abbreviations (unless approved)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Spell words out in full unless the abbreviation is in the team's Approved Abbreviations Register (e.g. ops, cfg, svc, mgmt, notif, auth). When in doubt, spell it out.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generic names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Names like data, info, records, test123, temp, misc are banned. Every name must be self-descriptive of its content and purpose.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Maximum length</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Database names: 38 chars max. Collection names: 64 chars max. Field names: 48 chars max. Names approaching limits are a signal to rethink the structure.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leading underscores or digits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Names must start with a letter. Never start with _ or a digit (e.g. _logs, 1st_run). These cause driver and shell parsing issues.</w:t>
            </w:r>
          </w:p>
        </w:tc>
      </w:tr>
    </w:tbl>
    <w:p>
      <w:pPr>
        <w:spacing w:after="120"/>
      </w:pPr>
    </w:p>
    <w:p>
      <w:pPr>
        <w:pStyle w:val="Heading2"/>
        <w:spacing w:after="80" w:before="200"/>
      </w:pPr>
      <w:r>
        <w:rPr>
          <w:rFonts w:ascii="Arial" w:cs="Arial" w:eastAsia="Arial" w:hAnsi="Arial"/>
          <w:b/>
          <w:bCs/>
          <w:color w:val="2E6DA4"/>
          <w:sz w:val="24"/>
          <w:szCs w:val="24"/>
        </w:rPr>
        <w:t xml:space="preserve">2.2  Database Naming Convention</w:t>
      </w:r>
    </w:p>
    <w:p>
      <w:pPr>
        <w:spacing w:after="60"/>
      </w:pPr>
      <w:r>
        <w:rPr>
          <w:rFonts w:ascii="Arial" w:cs="Arial" w:eastAsia="Arial" w:hAnsi="Arial"/>
        </w:rPr>
        <w:t xml:space="preserve">Database names follow a strict three-part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6"/>
              <w:bottom w:val="single" w:color="2E6DA4" w:sz="1"/>
              <w:right w:val="single" w:color="2E6DA4" w:sz="1"/>
            </w:tcBorders>
            <w:shd w:fill="D6E8F7" w:val="clear"/>
            <w:tcMar>
              <w:top w:type="dxa" w:w="120"/>
              <w:left w:type="dxa" w:w="200"/>
              <w:bottom w:type="dxa" w:w="120"/>
              <w:right w:type="dxa" w:w="200"/>
            </w:tcMar>
          </w:tcPr>
          <w:p>
            <w:pPr>
              <w:jc w:val="center"/>
            </w:pPr>
            <w:r>
              <w:rPr>
                <w:rFonts w:ascii="Courier New" w:cs="Courier New" w:eastAsia="Courier New" w:hAnsi="Courier New"/>
                <w:b/>
                <w:bCs/>
                <w:color w:val="C8860A"/>
                <w:sz w:val="26"/>
                <w:szCs w:val="26"/>
              </w:rPr>
              <w:t xml:space="preserve">{env}</w:t>
            </w:r>
            <w:r>
              <w:rPr>
                <w:rFonts w:ascii="Courier New" w:cs="Courier New" w:eastAsia="Courier New" w:hAnsi="Courier New"/>
                <w:b/>
                <w:bCs/>
                <w:color w:val="1B3A5C"/>
                <w:sz w:val="26"/>
                <w:szCs w:val="26"/>
              </w:rPr>
              <w:t xml:space="preserve">_</w:t>
            </w:r>
            <w:r>
              <w:rPr>
                <w:rFonts w:ascii="Courier New" w:cs="Courier New" w:eastAsia="Courier New" w:hAnsi="Courier New"/>
                <w:b/>
                <w:bCs/>
                <w:color w:val="2E6DA4"/>
                <w:sz w:val="26"/>
                <w:szCs w:val="26"/>
              </w:rPr>
              <w:t xml:space="preserve">{product_domain}</w:t>
            </w:r>
            <w:r>
              <w:rPr>
                <w:rFonts w:ascii="Courier New" w:cs="Courier New" w:eastAsia="Courier New" w:hAnsi="Courier New"/>
                <w:b/>
                <w:bCs/>
                <w:color w:val="1B3A5C"/>
                <w:sz w:val="26"/>
                <w:szCs w:val="26"/>
              </w:rPr>
              <w:t xml:space="preserve">_</w:t>
            </w:r>
            <w:r>
              <w:rPr>
                <w:rFonts w:ascii="Courier New" w:cs="Courier New" w:eastAsia="Courier New" w:hAnsi="Courier New"/>
                <w:b/>
                <w:bCs/>
                <w:color w:val="1B3A5C"/>
                <w:sz w:val="26"/>
                <w:szCs w:val="26"/>
              </w:rPr>
              <w:t xml:space="preserve">{sub_application}</w:t>
            </w:r>
          </w:p>
        </w:tc>
      </w:tr>
    </w:tbl>
    <w:p>
      <w:pPr>
        <w:spacing w:after="80"/>
      </w:pPr>
    </w:p>
    <w:p>
      <w:pPr>
        <w:spacing w:after="100"/>
      </w:pPr>
      <w:r>
        <w:rPr>
          <w:rFonts w:ascii="Arial" w:cs="Arial" w:eastAsia="Arial" w:hAnsi="Arial"/>
          <w:b/>
          <w:bCs/>
          <w:color w:val="C8860A"/>
        </w:rPr>
        <w:t xml:space="preserve">env</w:t>
      </w:r>
      <w:r>
        <w:rPr>
          <w:rFonts w:ascii="Arial" w:cs="Arial" w:eastAsia="Arial" w:hAnsi="Arial"/>
          <w:color w:val="3A3A3A"/>
        </w:rPr>
        <w:t xml:space="preserve"> = dev | uat | prod    </w:t>
      </w:r>
      <w:r>
        <w:rPr>
          <w:rFonts w:ascii="Arial" w:cs="Arial" w:eastAsia="Arial" w:hAnsi="Arial"/>
          <w:b/>
          <w:bCs/>
          <w:color w:val="2E6DA4"/>
        </w:rPr>
        <w:t xml:space="preserve">product_domain</w:t>
      </w:r>
      <w:r>
        <w:rPr>
          <w:rFonts w:ascii="Arial" w:cs="Arial" w:eastAsia="Arial" w:hAnsi="Arial"/>
          <w:color w:val="3A3A3A"/>
        </w:rPr>
        <w:t xml:space="preserve"> = the product or project (e.g. aiops, incmgmt, autom)    </w:t>
      </w:r>
      <w:r>
        <w:rPr>
          <w:rFonts w:ascii="Arial" w:cs="Arial" w:eastAsia="Arial" w:hAnsi="Arial"/>
          <w:b/>
          <w:bCs/>
          <w:color w:val="1B3A5C"/>
        </w:rPr>
        <w:t xml:space="preserve">sub_application</w:t>
      </w:r>
      <w:r>
        <w:rPr>
          <w:rFonts w:ascii="Arial" w:cs="Arial" w:eastAsia="Arial" w:hAnsi="Arial"/>
          <w:color w:val="3A3A3A"/>
        </w:rPr>
        <w:t xml:space="preserve"> = the functional sub-area (e.g. alerts, workflows,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Env prefix required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database name must begin with the environment prefix. There are no exceptions. This prevents cross-environment confusion and is the first line of defence against writing to the wrong cluster.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Product domain required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The second segment is the product or project name your work belongs to. This aligns with your sprint/JIRA project key where possible.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N-09</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Sub-application optional but preferred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If the product has multiple functional areas, separate them into their own database. Do not build one monolithic database for an entire product.</w:t>
            </w:r>
          </w:p>
        </w:tc>
      </w:tr>
    </w:tbl>
    <w:p>
      <w:pPr>
        <w:spacing w:after="40"/>
      </w:pPr>
    </w:p>
    <w:p>
      <w:pPr>
        <w:spacing w:after="60"/>
      </w:pPr>
      <w:r>
        <w:rPr>
          <w:rFonts w:ascii="Arial" w:cs="Arial" w:eastAsia="Arial" w:hAnsi="Arial"/>
        </w:rPr>
        <w:t xml:space="preserve">Naming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  Do NOT use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  Correct Format</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aiops_db</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dev_aiops_alerts</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prod_data</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prod_aiops_workflows</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UAT_IncidentMgmt</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uat_incmgmt_incidents</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automation_prod_db</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prod_autom_scheduler</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dev-monitoring-stuff</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dev_monitoring_infra</w:t>
            </w:r>
          </w:p>
        </w:tc>
      </w:tr>
    </w:tbl>
    <w:p>
      <w:pPr>
        <w:spacing w:after="120"/>
      </w:pPr>
    </w:p>
    <w:p>
      <w:pPr>
        <w:pStyle w:val="Heading2"/>
        <w:spacing w:after="80" w:before="200"/>
      </w:pPr>
      <w:r>
        <w:rPr>
          <w:rFonts w:ascii="Arial" w:cs="Arial" w:eastAsia="Arial" w:hAnsi="Arial"/>
          <w:b/>
          <w:bCs/>
          <w:color w:val="2E6DA4"/>
          <w:sz w:val="24"/>
          <w:szCs w:val="24"/>
        </w:rPr>
        <w:t xml:space="preserve">2.3  Collection Naming Convention</w:t>
      </w:r>
    </w:p>
    <w:p>
      <w:pPr>
        <w:spacing w:after="60"/>
      </w:pPr>
      <w:r>
        <w:rPr>
          <w:rFonts w:ascii="Arial" w:cs="Arial" w:eastAsia="Arial" w:hAnsi="Arial"/>
        </w:rPr>
        <w:t xml:space="preserve">Collection names follow a two-part pattern within their parent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6"/>
              <w:bottom w:val="single" w:color="2E6DA4" w:sz="1"/>
              <w:right w:val="single" w:color="2E6DA4" w:sz="1"/>
            </w:tcBorders>
            <w:shd w:fill="D6E8F7" w:val="clear"/>
            <w:tcMar>
              <w:top w:type="dxa" w:w="120"/>
              <w:left w:type="dxa" w:w="200"/>
              <w:bottom w:type="dxa" w:w="120"/>
              <w:right w:type="dxa" w:w="200"/>
            </w:tcMar>
          </w:tcPr>
          <w:p>
            <w:pPr>
              <w:jc w:val="center"/>
            </w:pPr>
            <w:r>
              <w:rPr>
                <w:rFonts w:ascii="Courier New" w:cs="Courier New" w:eastAsia="Courier New" w:hAnsi="Courier New"/>
                <w:b/>
                <w:bCs/>
                <w:color w:val="2E6DA4"/>
                <w:sz w:val="26"/>
                <w:szCs w:val="26"/>
              </w:rPr>
              <w:t xml:space="preserve">{entity}</w:t>
            </w:r>
            <w:r>
              <w:rPr>
                <w:rFonts w:ascii="Courier New" w:cs="Courier New" w:eastAsia="Courier New" w:hAnsi="Courier New"/>
                <w:b/>
                <w:bCs/>
                <w:color w:val="1B3A5C"/>
                <w:sz w:val="26"/>
                <w:szCs w:val="26"/>
              </w:rPr>
              <w:t xml:space="preserve">_</w:t>
            </w:r>
            <w:r>
              <w:rPr>
                <w:rFonts w:ascii="Courier New" w:cs="Courier New" w:eastAsia="Courier New" w:hAnsi="Courier New"/>
                <w:b/>
                <w:bCs/>
                <w:color w:val="1B3A5C"/>
                <w:sz w:val="26"/>
                <w:szCs w:val="26"/>
              </w:rPr>
              <w:t xml:space="preserve">{qualifier}</w:t>
            </w:r>
            <w:r>
              <w:rPr>
                <w:rFonts w:ascii="Arial" w:cs="Arial" w:eastAsia="Arial" w:hAnsi="Arial"/>
                <w:i/>
                <w:iCs/>
                <w:color w:val="6B6B6B"/>
                <w:sz w:val="20"/>
                <w:szCs w:val="20"/>
              </w:rPr>
              <w:t xml:space="preserve">  (qualifier optional)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N-10</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Plural entity names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Collection names must be plural nouns representing the entity stored. Examples: incidents, alerts, users, workflows, audit_logs — not incident, alert, user.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Do not repeat the database name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If your database is dev_aiops_alerts, do not name a collection aiops_alerts_records. Call it records or alert_rules. The database context is already established.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Use qualifier for purpose-specific collections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When a collection serves a specific purpose within an entity domain, add a qualifier suffix: incidents_archive, alerts_thresholds, users_sessions, jobs_history.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Lookup/reference collections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Collections holding static or semi-static lookup data must be suffixed with _ref. Example: priority_levels_ref, status_codes_ref, team_mapping_ref.</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Staging/temp collections forbidden in PROD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Collections used for staging, buffering, or temp processing must only exist in DEV. If a workflow requires staging in UAT/PROD, discuss with the lead first and name them with _staging suffix and a mandatory TTL index.</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  Do NOT use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  Correct Format</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incidentData</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incidents</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alert</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alerts</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aiops_alert_records</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alert_rules</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Workflow_List</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workflows</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temp_stuff</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jobs_staging  (DEV only, with TTL)</w:t>
            </w:r>
          </w:p>
        </w:tc>
      </w:tr>
      <w:tr>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Courier New" w:cs="Courier New" w:eastAsia="Courier New" w:hAnsi="Courier New"/>
                <w:color w:val="3A3A3A"/>
                <w:sz w:val="18"/>
                <w:szCs w:val="18"/>
              </w:rPr>
              <w:t xml:space="preserve">priorityRef</w:t>
            </w:r>
          </w:p>
        </w:tc>
        <w:tc>
          <w:tcPr>
            <w:tcW w:type="dxa" w:w="4680"/>
            <w:tcBorders>
              <w:top w:val="single" w:color="CCCCCC" w:sz="1"/>
              <w:left w:val="single" w:color="CCCCCC" w:sz="1"/>
              <w:bottom w:val="single" w:color="CCCCCC" w:sz="1"/>
              <w:right w:val="single" w:color="CCCCCC" w:sz="1"/>
            </w:tcBorders>
            <w:shd w:fill="EAF7EA" w:val="clear"/>
            <w:tcMar>
              <w:top w:type="dxa" w:w="70"/>
              <w:left w:type="dxa" w:w="120"/>
              <w:bottom w:type="dxa" w:w="70"/>
              <w:right w:type="dxa" w:w="120"/>
            </w:tcMar>
          </w:tcPr>
          <w:p>
            <w:r>
              <w:rPr>
                <w:rFonts w:ascii="Courier New" w:cs="Courier New" w:eastAsia="Courier New" w:hAnsi="Courier New"/>
                <w:color w:val="3A3A3A"/>
                <w:sz w:val="18"/>
                <w:szCs w:val="18"/>
              </w:rPr>
              <w:t xml:space="preserve">priority_levels_ref</w:t>
            </w:r>
          </w:p>
        </w:tc>
      </w:tr>
    </w:tbl>
    <w:p>
      <w:pPr>
        <w:spacing w:after="120"/>
      </w:pPr>
    </w:p>
    <w:p>
      <w:pPr>
        <w:pStyle w:val="Heading2"/>
        <w:spacing w:after="80" w:before="200"/>
      </w:pPr>
      <w:r>
        <w:rPr>
          <w:rFonts w:ascii="Arial" w:cs="Arial" w:eastAsia="Arial" w:hAnsi="Arial"/>
          <w:b/>
          <w:bCs/>
          <w:color w:val="2E6DA4"/>
          <w:sz w:val="24"/>
          <w:szCs w:val="24"/>
        </w:rPr>
        <w:t xml:space="preserve">2.4  Field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snake_case for all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All document field names use snake_case. Never camelCase, PascalCase, or hyphen-case. This applies to nested fields too.</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Standard system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document must include these standard fields: _id, created_at (UTC datetime), updated_at (UTC datetime), created_by (username/service name), is_active (boolean — never use 'status' strings to represent active/inactive state).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Boolean field naming</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Boolean fields must start with is_ or has_ or can_. Example: is_active, has_attachments, can_auto_close. Never use active, flag, enabled as standalone names.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Date/time field naming</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All date/time fields must end with _at (point in time) or _date (calendar date only) or _duration_secs (duration). Examples: resolved_at, due_date, retry_duration_secs.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N-19</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Foreign reference field naming</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Fields holding a reference to another document's _id must be named {entity}_id. Example: incident_id, assigned_user_id, workflow_id. Never use ref, link, fk, or key.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N-20</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Count/metric field naming</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Numeric count fields must end with _count. Numeric amount fields end with _amount. Numeric percentage fields end with _pct. Example: retry_count, alert_count, resolution_pct.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N-21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single-letter field names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Field names must always be descriptive. v, d, t, x are not acceptable. Exceptions: _id and established domain standards (e.g. geo coordinate fields lat, lng).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N-22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Index-backing fields named clearly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Fields that exist specifically to support an index (composite or otherwise) should be named in a way that makes their query purpose obvious. Avoid generic names like key or tag.</w:t>
            </w:r>
          </w:p>
        </w:tc>
      </w:tr>
    </w:tbl>
    <w:p>
      <w:pPr>
        <w:spacing w:after="120"/>
      </w:pPr>
    </w:p>
    <w:p>
      <w:pPr>
        <w:pStyle w:val="Heading2"/>
        <w:spacing w:after="80" w:before="200"/>
      </w:pPr>
      <w:r>
        <w:rPr>
          <w:rFonts w:ascii="Arial" w:cs="Arial" w:eastAsia="Arial" w:hAnsi="Arial"/>
          <w:b/>
          <w:bCs/>
          <w:color w:val="2E6DA4"/>
          <w:sz w:val="24"/>
          <w:szCs w:val="24"/>
        </w:rPr>
        <w:t xml:space="preserve">2.5  Index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N-23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Always name your indexes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Never leave indexes with auto-generated names. Every index must be explicitly named using the pattern: idx_{collection}_{field(s)}_{type}. Example: idx_incidents_created_at_1, idx_alerts_status_assigned_compound.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N-24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Index name must reflect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The index name must list every field in the index. For compound indexes, separate fields with underscores and append _compound. For text indexes, append _text. For TTL, append _ttl.</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03  </w:t>
      </w:r>
      <w:r>
        <w:rPr>
          <w:rFonts w:ascii="Arial" w:cs="Arial" w:eastAsia="Arial" w:hAnsi="Arial"/>
          <w:b/>
          <w:bCs/>
          <w:color w:val="1B3A5C"/>
          <w:sz w:val="28"/>
          <w:szCs w:val="28"/>
        </w:rPr>
        <w:t xml:space="preserve">Connection Management</w:t>
      </w:r>
    </w:p>
    <w:p>
      <w:pPr>
        <w:pBdr>
          <w:bottom w:val="single" w:color="2E6DA4" w:sz="8" w:space="1"/>
        </w:pBdr>
        <w:spacing w:after="80"/>
      </w:pPr>
    </w:p>
    <w:p>
      <w:pPr>
        <w:spacing w:after="100"/>
      </w:pPr>
      <w:r>
        <w:rPr>
          <w:rFonts w:ascii="Arial" w:cs="Arial" w:eastAsia="Arial" w:hAnsi="Arial"/>
        </w:rPr>
        <w:t xml:space="preserve">The connection to MongoDB is not a throwaway. On a 3-node replica set with a shared DBA team managing the cluster, a badly configured client can cause connection pool exhaustion, replication lag observation failures, and hard-to-diagnose production incidents. Every developer must use the team's standard Python MongoDB client — no raw MongoClient instantiation in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100"/>
              <w:left w:type="dxa" w:w="180"/>
              <w:bottom w:type="dxa" w:w="100"/>
              <w:right w:type="dxa" w:w="180"/>
            </w:tcMar>
          </w:tcPr>
          <w:p>
            <w:r>
              <w:rPr>
                <w:rFonts w:ascii="Arial" w:cs="Arial" w:eastAsia="Arial" w:hAnsi="Arial"/>
                <w:b/>
                <w:bCs/>
                <w:color w:val="C0392B"/>
                <w:sz w:val="18"/>
                <w:szCs w:val="18"/>
              </w:rPr>
              <w:t xml:space="preserve">✖  CRITICAL</w:t>
            </w:r>
          </w:p>
          <w:p>
            <w:pPr>
              <w:spacing w:before="60"/>
            </w:pPr>
            <w:r>
              <w:rPr>
                <w:rFonts w:ascii="Arial" w:cs="Arial" w:eastAsia="Arial" w:hAnsi="Arial"/>
                <w:color w:val="3A3A3A"/>
                <w:sz w:val="18"/>
                <w:szCs w:val="18"/>
              </w:rPr>
              <w:t xml:space="preserve">You must NEVER instantiate MongoClient directly in application or script code. Always use the team's shared client wrapper. Pull requests that bypass the wrapper will be rejected without review.</w:t>
            </w:r>
          </w:p>
        </w:tc>
      </w:tr>
    </w:tbl>
    <w:p>
      <w:pPr>
        <w:spacing w:after="80"/>
      </w:pPr>
    </w:p>
    <w:p>
      <w:pPr>
        <w:pStyle w:val="Heading2"/>
        <w:spacing w:after="80" w:before="200"/>
      </w:pPr>
      <w:r>
        <w:rPr>
          <w:rFonts w:ascii="Arial" w:cs="Arial" w:eastAsia="Arial" w:hAnsi="Arial"/>
          <w:b/>
          <w:bCs/>
          <w:color w:val="2E6DA4"/>
          <w:sz w:val="24"/>
          <w:szCs w:val="24"/>
        </w:rPr>
        <w:t xml:space="preserve">3.1  Connection Pool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Use the team client wrapper</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Import and use the team's MongoDBClient class for all connections. This wrapper enforces all settings below automatically. Location: shared/db/mongo_client.py.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maxPoolSize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Set maxPoolSize to 10 for standard services. High-throughput services may request up to 25 — requires lead approval. Never set maxPoolSize above 50 without DBA team involvement.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minPoolSize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Set minPoolSize to 2. This keeps at least 2 connections warm and avoids cold-start latency on low-traffic services.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maxIdleTimeMS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Set maxIdleTimeMS to 30000 (30 seconds). Connections idle longer than this are automatically closed, preventing stale connection accumulation on the replica set.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connectTimeoutMS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Set connectTimeoutMS to 5000 (5 seconds). Do not set this higher. If a connection cannot be established in 5 seconds, the request should fail fast and surface the network or cluster issue.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serverSelectionTimeoutMS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Set serverSelectionTimeoutMS to 10000 (10 seconds). This governs how long the driver waits to find an available replica set member. On a 3-node set, 10 seconds is generous — if you're hitting this, there is a cluster issue to escalate.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socketTimeoutMS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Set socketTimeoutMS to 20000 (20 seconds) for standard queries. Long-running aggregation or ETL jobs may use 60000 — but not via the default wrapper; use a specialized long-running session.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retryWrites = True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Always enable retryWrites=True. On a replica set, this transparently retries one-time transient write failures (e.g. primary failover) without surfacing them to the application.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C-09</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retryReads = True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Always enable retryReads=True. Same principle as retryWrites — essential for resilience during replica set elections.</w:t>
            </w:r>
          </w:p>
        </w:tc>
      </w:tr>
    </w:tbl>
    <w:p>
      <w:pPr>
        <w:spacing w:after="120"/>
      </w:pPr>
    </w:p>
    <w:p>
      <w:pPr>
        <w:pStyle w:val="Heading2"/>
        <w:spacing w:after="80" w:before="200"/>
      </w:pPr>
      <w:r>
        <w:rPr>
          <w:rFonts w:ascii="Arial" w:cs="Arial" w:eastAsia="Arial" w:hAnsi="Arial"/>
          <w:b/>
          <w:bCs/>
          <w:color w:val="2E6DA4"/>
          <w:sz w:val="24"/>
          <w:szCs w:val="24"/>
        </w:rPr>
        <w:t xml:space="preserve">3.2  Connection Identification (Named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7AE60" w:sz="1"/>
              <w:left w:val="single" w:color="27AE60" w:sz="12"/>
              <w:bottom w:val="single" w:color="27AE60" w:sz="1"/>
              <w:right w:val="single" w:color="27AE60" w:sz="1"/>
            </w:tcBorders>
            <w:shd w:fill="EAF7EA" w:val="clear"/>
            <w:tcMar>
              <w:top w:type="dxa" w:w="100"/>
              <w:left w:type="dxa" w:w="180"/>
              <w:bottom w:type="dxa" w:w="100"/>
              <w:right w:type="dxa" w:w="180"/>
            </w:tcMar>
          </w:tcPr>
          <w:p>
            <w:r>
              <w:rPr>
                <w:rFonts w:ascii="Arial" w:cs="Arial" w:eastAsia="Arial" w:hAnsi="Arial"/>
                <w:b/>
                <w:bCs/>
                <w:color w:val="27AE60"/>
                <w:sz w:val="18"/>
                <w:szCs w:val="18"/>
              </w:rPr>
              <w:t xml:space="preserve">✔  BEST PRACTICE</w:t>
            </w:r>
          </w:p>
          <w:p>
            <w:pPr>
              <w:spacing w:before="60"/>
            </w:pPr>
            <w:r>
              <w:rPr>
                <w:rFonts w:ascii="Arial" w:cs="Arial" w:eastAsia="Arial" w:hAnsi="Arial"/>
                <w:color w:val="3A3A3A"/>
                <w:sz w:val="18"/>
                <w:szCs w:val="18"/>
              </w:rPr>
              <w:t xml:space="preserve">Named connections are the single most valuable troubleshooting tool you have. When the DBA team runs db.currentOp() or checks the serverStatus, they will see your connection name. An unnamed connection is unidentifiable and wastes everyone's time during an incident.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C-10</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Always name your connection</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MongoClient instance must pass an appName parameter. This appears in server logs, db.currentOp(), and Atlas (if ever migrated). It costs nothing and saves hours in diagnosis.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appName format</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Use the format: {env}_{product}_{service_name}. Example: prod_aiops_alert_consumer, uat_incmgmt_api_server, dev_autom_scheduler. This maps directly back to the owning service.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One client per service process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 single service process must have one shared MongoClient. Never instantiate per-request or per-function. MongoClient is thread-safe and designed to be shared.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Explicit close on shutdown</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Register a shutdown hook to call client.close() on SIGTERM/SIGINT. Do not rely on garbage collection to close connections. Orphaned connections accumulate on the server side.</w:t>
            </w:r>
          </w:p>
        </w:tc>
      </w:tr>
    </w:tbl>
    <w:p>
      <w:pPr>
        <w:spacing w:after="120"/>
      </w:pPr>
    </w:p>
    <w:p>
      <w:pPr>
        <w:pStyle w:val="Heading2"/>
        <w:spacing w:after="80" w:before="200"/>
      </w:pPr>
      <w:r>
        <w:rPr>
          <w:rFonts w:ascii="Arial" w:cs="Arial" w:eastAsia="Arial" w:hAnsi="Arial"/>
          <w:b/>
          <w:bCs/>
          <w:color w:val="2E6DA4"/>
          <w:sz w:val="24"/>
          <w:szCs w:val="24"/>
        </w:rPr>
        <w:t xml:space="preserve">3.3  Timezone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8860A" w:sz="1"/>
              <w:left w:val="single" w:color="C8860A" w:sz="12"/>
              <w:bottom w:val="single" w:color="C8860A" w:sz="1"/>
              <w:right w:val="single" w:color="C8860A" w:sz="1"/>
            </w:tcBorders>
            <w:shd w:fill="FFF4CC" w:val="clear"/>
            <w:tcMar>
              <w:top w:type="dxa" w:w="100"/>
              <w:left w:type="dxa" w:w="180"/>
              <w:bottom w:type="dxa" w:w="100"/>
              <w:right w:type="dxa" w:w="180"/>
            </w:tcMar>
          </w:tcPr>
          <w:p>
            <w:r>
              <w:rPr>
                <w:rFonts w:ascii="Arial" w:cs="Arial" w:eastAsia="Arial" w:hAnsi="Arial"/>
                <w:b/>
                <w:bCs/>
                <w:color w:val="C8860A"/>
                <w:sz w:val="18"/>
                <w:szCs w:val="18"/>
              </w:rPr>
              <w:t xml:space="preserve">⚠  WARNING</w:t>
            </w:r>
          </w:p>
          <w:p>
            <w:pPr>
              <w:spacing w:before="60"/>
            </w:pPr>
            <w:r>
              <w:rPr>
                <w:rFonts w:ascii="Arial" w:cs="Arial" w:eastAsia="Arial" w:hAnsi="Arial"/>
                <w:color w:val="3A3A3A"/>
                <w:sz w:val="18"/>
                <w:szCs w:val="18"/>
              </w:rPr>
              <w:t xml:space="preserve">Timezone bugs are among the hardest to diagnose and most damaging in production monitoring systems. Our team has a strict UTC-everywhere policy. Violations will cause data integrity issues that span months before discovery.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Store all datetimes in UTC</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datetime value stored in MongoDB must be UTC. No local times, no offset-aware strings. The database stores naive datetimes that are, by team convention, always UTC.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Use datetime.utcnow() or datetime.now(UTC)</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In Python, never use datetime.now() without a timezone argument. Use datetime.utcnow() or datetime.now(timezone.utc). The team client provides a utc_now() utility function — use it.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tzinfo=timezone.utc on retrieval</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When reading datetimes from MongoDB for comparison or calculation, always attach timezone.utc before arithmetic. Naive datetime arithmetic produces silent wrong results.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Convert to local only at display layer</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The only place a datetime may be converted to local time (CST, EST, etc.) is in the frontend display layer. The conversion must never happen in backend business logic or at write time.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timezone strings in DB</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Do not store timezone information as a string field alongside a datetime field (e.g. timezone: 'America/Chicago'). Store UTC datetimes only. If you need user timezone preference, store it on the user profile document, not on the event document.</w:t>
            </w:r>
          </w:p>
        </w:tc>
      </w:tr>
    </w:tbl>
    <w:p>
      <w:pPr>
        <w:spacing w:after="120"/>
      </w:pPr>
    </w:p>
    <w:p>
      <w:pPr>
        <w:pStyle w:val="Heading2"/>
        <w:spacing w:after="80" w:before="200"/>
      </w:pPr>
      <w:r>
        <w:rPr>
          <w:rFonts w:ascii="Arial" w:cs="Arial" w:eastAsia="Arial" w:hAnsi="Arial"/>
          <w:b/>
          <w:bCs/>
          <w:color w:val="2E6DA4"/>
          <w:sz w:val="24"/>
          <w:szCs w:val="24"/>
        </w:rPr>
        <w:t xml:space="preserve">3.4  Write Concern &amp; Read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C-19</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PROD/UAT write concern: majority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All write operations to PROD and UAT clusters must use write_concern=WriteConcern('majority'). This guarantees that writes are committed to a majority of replica set members before acknowledgement, preventing data loss on failover.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C-20</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DEV write concern: w=1 acceptable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In DEV, w=1 is acceptable for speed during development. However, if you are writing DEV tests that simulate PROD behaviour, use majority there too.</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C-21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Read preference: primary for PROD writes flow</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Any read that is part of a read-then-write flow (e.g. read a document, modify it, write it back) must read from the primary. Use ReadPreference.PRIMARY for these reads to prevent stale read anomalies.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C-22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Analytics reads: secondaryPreferred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Heavy aggregation or reporting queries that do not feed into write flows should use ReadPreference.SECONDARY_PREFERRED. This offloads work from the primary and is how the replica set secondaries earn their keep.</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04  </w:t>
      </w:r>
      <w:r>
        <w:rPr>
          <w:rFonts w:ascii="Arial" w:cs="Arial" w:eastAsia="Arial" w:hAnsi="Arial"/>
          <w:b/>
          <w:bCs/>
          <w:color w:val="1B3A5C"/>
          <w:sz w:val="28"/>
          <w:szCs w:val="28"/>
        </w:rPr>
        <w:t xml:space="preserve">Data Types &amp; Schema Enforcement</w:t>
      </w:r>
    </w:p>
    <w:p>
      <w:pPr>
        <w:pBdr>
          <w:bottom w:val="single" w:color="2E6DA4" w:sz="8" w:space="1"/>
        </w:pBdr>
        <w:spacing w:after="80"/>
      </w:pPr>
    </w:p>
    <w:p>
      <w:pPr>
        <w:spacing w:after="100"/>
      </w:pPr>
      <w:r>
        <w:rPr>
          <w:rFonts w:ascii="Arial" w:cs="Arial" w:eastAsia="Arial" w:hAnsi="Arial"/>
        </w:rPr>
        <w:t xml:space="preserve">MongoDB's flexibility with data types is its greatest strength and its most dangerous footgun. Our team enforces strict typing — not because we are constrained by the database engine, but because inconsistent types destroy query correctness, index efficiency, and data pipeline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100"/>
              <w:left w:type="dxa" w:w="180"/>
              <w:bottom w:type="dxa" w:w="100"/>
              <w:right w:type="dxa" w:w="180"/>
            </w:tcMar>
          </w:tcPr>
          <w:p>
            <w:r>
              <w:rPr>
                <w:rFonts w:ascii="Arial" w:cs="Arial" w:eastAsia="Arial" w:hAnsi="Arial"/>
                <w:b/>
                <w:bCs/>
                <w:color w:val="C0392B"/>
                <w:sz w:val="18"/>
                <w:szCs w:val="18"/>
              </w:rPr>
              <w:t xml:space="preserve">✖  CRITICAL</w:t>
            </w:r>
          </w:p>
          <w:p>
            <w:pPr>
              <w:spacing w:before="60"/>
            </w:pPr>
            <w:r>
              <w:rPr>
                <w:rFonts w:ascii="Arial" w:cs="Arial" w:eastAsia="Arial" w:hAnsi="Arial"/>
                <w:color w:val="3A3A3A"/>
                <w:sz w:val="18"/>
                <w:szCs w:val="18"/>
              </w:rPr>
              <w:t xml:space="preserve">Type inconsistency in a collection is classified as a data quality defect. If you discover a field storing mixed types (e.g. some documents have status as a string '1', others as an integer 1), raise it immediately. Do not work around it — fix it.</w:t>
            </w:r>
          </w:p>
        </w:tc>
      </w:tr>
    </w:tbl>
    <w:p>
      <w:pPr>
        <w:spacing w:after="80"/>
      </w:pPr>
    </w:p>
    <w:p>
      <w:pPr>
        <w:pStyle w:val="Heading2"/>
        <w:spacing w:after="80" w:before="200"/>
      </w:pPr>
      <w:r>
        <w:rPr>
          <w:rFonts w:ascii="Arial" w:cs="Arial" w:eastAsia="Arial" w:hAnsi="Arial"/>
          <w:b/>
          <w:bCs/>
          <w:color w:val="2E6DA4"/>
          <w:sz w:val="24"/>
          <w:szCs w:val="24"/>
        </w:rPr>
        <w:t xml:space="preserve">4.1  Core Type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Define types before you write code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For every new collection, the data types of every field must be defined and documented in the Collection Schema Registry (see Appendix) before any code is written. The registry is the source of truth.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String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String fields must only contain text values. Never store numbers, dates, booleans, or status codes as strings. If the value is numeric — even if it looks like a code — store it as a number.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Integer vs Float</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Be explicit: if a field will only ever hold whole numbers (counts, retries, priorities), use Python int — MongoDB stores as BSON Int32 or Int64. If decimals are possible (percentages, rates), use Python float (BSON Double) or Decimal128 for financial precision.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Boolean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Boolean fields must only store True or False (Python booleans). Never store 1/0, 'Y'/'N', 'yes'/'no', 'true'/'false' strings. MongoDB's BSON Boolean is the only acceptable type.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Datetime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All timestamp fields must store Python datetime objects (BSON Date). Never store timestamps as: Unix epoch integers, ISO-8601 strings, or formatted date strings. BSON Date is the only acceptable type for time data.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_id field type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The _id field must use MongoDB's default ObjectId() unless there is an explicit architectural reason for a custom _id (e.g. natural key from an external system). Custom _id choices must be documented and approved by the lead. Never use auto-increment integers as _id.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Enumerations as strings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Fields with a defined set of allowed values (status, priority, category) must store the string value — not a code integer. Store 'open', 'closed', 'in_progress' — not 1, 2, 3. The allowed values must be listed in the Collection Schema Registry.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Arrays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Array fields must be homogeneous — every element must be the same type. Never store a mixed array like [1, 'two', True]. If an array may be empty, it must be stored as [] (empty array), never null or omitted.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T-09</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Embedded documents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Embedded sub-documents must follow the same typing and naming rules as top-level fields. Define their schema in the Collection Schema Registry as a nested type definition.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T-10</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Null vs missing field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 field with a null value and an absent field are different things in MongoDB. Decide explicitly: if a field is always present but may have no value, store null. If a field is conditionally applicable, omit it when not applicable. Never mix both patterns on the same field across documents.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T-11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Python None as a proxy for 0 or False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Do not use Python None to represent zero counts or false states. If the value is 0, store 0. If it is False, store False. None/null means unknown or not applicable.</w:t>
            </w:r>
          </w:p>
        </w:tc>
      </w:tr>
    </w:tbl>
    <w:p>
      <w:pPr>
        <w:spacing w:after="40"/>
      </w:pPr>
    </w:p>
    <w:p>
      <w:pPr>
        <w:pStyle w:val="Heading2"/>
        <w:spacing w:after="80" w:before="200"/>
      </w:pPr>
      <w:r>
        <w:rPr>
          <w:rFonts w:ascii="Arial" w:cs="Arial" w:eastAsia="Arial" w:hAnsi="Arial"/>
          <w:b/>
          <w:bCs/>
          <w:color w:val="2E6DA4"/>
          <w:sz w:val="24"/>
          <w:szCs w:val="24"/>
        </w:rPr>
        <w:t xml:space="preserve">4.2  Schema Validation (MongoDB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T-12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Use schema validators in UAT and PROD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collection in UAT and PROD must have a MongoDB JSON Schema validator applied via db.create_collection() with a validator option, or via collMod. The validator enforces required fields and field types at the database engine level.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T-13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validationAction: error in PROD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In PROD, set validationAction to 'error'. Writes that violate the schema are rejected entirely. In UAT, 'error' is also preferred. In DEV, 'warn' is acceptable to support iterative development.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T-14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Schema changes require approval</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Any modification to a collection's schema validator (adding required fields, changing types) in UAT or PROD must go through a change request with the DBA team. Schema changes in DEV are self-service.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7AE60" w:sz="1"/>
              <w:left w:val="single" w:color="27AE60" w:sz="12"/>
              <w:bottom w:val="single" w:color="27AE60" w:sz="1"/>
              <w:right w:val="single" w:color="27AE60" w:sz="1"/>
            </w:tcBorders>
            <w:shd w:fill="EAF7EA" w:val="clear"/>
            <w:tcMar>
              <w:top w:type="dxa" w:w="100"/>
              <w:left w:type="dxa" w:w="180"/>
              <w:bottom w:type="dxa" w:w="100"/>
              <w:right w:type="dxa" w:w="180"/>
            </w:tcMar>
          </w:tcPr>
          <w:p>
            <w:r>
              <w:rPr>
                <w:rFonts w:ascii="Arial" w:cs="Arial" w:eastAsia="Arial" w:hAnsi="Arial"/>
                <w:b/>
                <w:bCs/>
                <w:color w:val="27AE60"/>
                <w:sz w:val="18"/>
                <w:szCs w:val="18"/>
              </w:rPr>
              <w:t xml:space="preserve">✔  BEST PRACTICE</w:t>
            </w:r>
          </w:p>
          <w:p>
            <w:pPr>
              <w:spacing w:before="60"/>
            </w:pPr>
            <w:r>
              <w:rPr>
                <w:rFonts w:ascii="Arial" w:cs="Arial" w:eastAsia="Arial" w:hAnsi="Arial"/>
                <w:color w:val="3A3A3A"/>
                <w:sz w:val="18"/>
                <w:szCs w:val="18"/>
              </w:rPr>
              <w:t xml:space="preserve">Schema validators are your last line of defence against bad data entering the database. Your Python model layer is the first line. Both must be in place.</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05  </w:t>
      </w:r>
      <w:r>
        <w:rPr>
          <w:rFonts w:ascii="Arial" w:cs="Arial" w:eastAsia="Arial" w:hAnsi="Arial"/>
          <w:b/>
          <w:bCs/>
          <w:color w:val="1B3A5C"/>
          <w:sz w:val="28"/>
          <w:szCs w:val="28"/>
        </w:rPr>
        <w:t xml:space="preserve">Document &amp; Data Model Design</w:t>
      </w:r>
    </w:p>
    <w:p>
      <w:pPr>
        <w:pBdr>
          <w:bottom w:val="single" w:color="2E6DA4" w:sz="8" w:space="1"/>
        </w:pBdr>
        <w:spacing w:after="80"/>
      </w:pPr>
    </w:p>
    <w:p>
      <w:pPr>
        <w:spacing w:after="100"/>
      </w:pPr>
      <w:r>
        <w:rPr>
          <w:rFonts w:ascii="Arial" w:cs="Arial" w:eastAsia="Arial" w:hAnsi="Arial"/>
        </w:rPr>
        <w:t xml:space="preserve">MongoDB's document model is powerful, but poorly designed documents cause performance cliffs, unmanageable query complexity, and growing technical debt. The principles below are derived from real-world production issues and govern how every collection in our system must be designed.</w:t>
      </w:r>
    </w:p>
    <w:p>
      <w:pPr>
        <w:pStyle w:val="Heading2"/>
        <w:spacing w:after="80" w:before="200"/>
      </w:pPr>
      <w:r>
        <w:rPr>
          <w:rFonts w:ascii="Arial" w:cs="Arial" w:eastAsia="Arial" w:hAnsi="Arial"/>
          <w:b/>
          <w:bCs/>
          <w:color w:val="2E6DA4"/>
          <w:sz w:val="24"/>
          <w:szCs w:val="24"/>
        </w:rPr>
        <w:t xml:space="preserve">5.1  Embedding vs Referencing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Embed when accessed together</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If data is almost always read together with its parent, embed it as a sub-document. Example: embedding an incident's first_response object inside the incident document is correct because you never query first_response without querying the incident.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Reference when accessed independently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If the related data is queried on its own or referenced by many other documents, use a reference (_id link). Example: a user document should not be embedded everywhere it is referenced — store the user_id and look up as needed.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Enforce the 16MB document limit</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MongoDB's hard document size limit is 16MB. Any design where a document could grow unbounded (e.g. embedding an append-only array of events) will eventually hit this limit. Use the Bucket Pattern or a separate collection for unbounded growth.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The Bucket Pattern for time-series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For telemetry, metrics, or log data arriving at high frequency, use the Bucket Pattern: group N events into a single document with a metadata header and an events array. This reduces document count, improves index efficiency, and aligns with our monitoring use case.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Limit embedded arrays to bounded sets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Only embed an array if it has a predictable, small maximum size (rule of thumb: under 500 elements maximum). Unbounded embedded arrays degrade update performance as documents grow and must be relocated on disk.</w:t>
            </w:r>
          </w:p>
        </w:tc>
      </w:tr>
    </w:tbl>
    <w:p>
      <w:pPr>
        <w:spacing w:after="40"/>
      </w:pPr>
    </w:p>
    <w:p>
      <w:pPr>
        <w:pStyle w:val="Heading2"/>
        <w:spacing w:after="80" w:before="200"/>
      </w:pPr>
      <w:r>
        <w:rPr>
          <w:rFonts w:ascii="Arial" w:cs="Arial" w:eastAsia="Arial" w:hAnsi="Arial"/>
          <w:b/>
          <w:bCs/>
          <w:color w:val="2E6DA4"/>
          <w:sz w:val="24"/>
          <w:szCs w:val="24"/>
        </w:rPr>
        <w:t xml:space="preserve">5.2  Required Fields in Every Document</w:t>
      </w:r>
    </w:p>
    <w:p>
      <w:pPr>
        <w:spacing w:after="80"/>
      </w:pPr>
      <w:r>
        <w:rPr>
          <w:rFonts w:ascii="Arial" w:cs="Arial" w:eastAsia="Arial" w:hAnsi="Arial"/>
        </w:rPr>
        <w:t xml:space="preserve">Every document in every collection must include the following standard fields. The team Python client provides a build_base_document() helper that populates them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BSON 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b/>
                <w:bCs/>
                <w:color w:val="2E6DA4"/>
                <w:sz w:val="18"/>
                <w:szCs w:val="18"/>
              </w:rPr>
              <w:t xml:space="preserve">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ObjectId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ObjectId()</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A3A3A"/>
                <w:sz w:val="17"/>
                <w:szCs w:val="17"/>
              </w:rPr>
              <w:t xml:space="preserve">Auto-generated. Never override unless justified.</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b/>
                <w:bCs/>
                <w:color w:val="2E6DA4"/>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Date (UTC)</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datetime.utcnow()</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A3A3A"/>
                <w:sz w:val="17"/>
                <w:szCs w:val="17"/>
              </w:rPr>
              <w:t xml:space="preserve">Set once at insert. Never update.</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b/>
                <w:bCs/>
                <w:color w:val="2E6DA4"/>
                <w:sz w:val="18"/>
                <w:szCs w:val="18"/>
              </w:rPr>
              <w:t xml:space="preserve">updated_at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Date (UTC)</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datetime.utcnow()</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A3A3A"/>
                <w:sz w:val="17"/>
                <w:szCs w:val="17"/>
              </w:rPr>
              <w:t xml:space="preserve">Updated on every modification.</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b/>
                <w:bCs/>
                <w:color w:val="2E6DA4"/>
                <w:sz w:val="18"/>
                <w:szCs w:val="18"/>
              </w:rPr>
              <w:t xml:space="preserve">created_by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String</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'svc_alert_consumer'</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A3A3A"/>
                <w:sz w:val="17"/>
                <w:szCs w:val="17"/>
              </w:rPr>
              <w:t xml:space="preserve">Service or username that created the doc.</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b/>
                <w:bCs/>
                <w:color w:val="2E6DA4"/>
                <w:sz w:val="18"/>
                <w:szCs w:val="18"/>
              </w:rPr>
              <w:t xml:space="preserve">updated_by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String</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'svc_api_server'</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A3A3A"/>
                <w:sz w:val="17"/>
                <w:szCs w:val="17"/>
              </w:rPr>
              <w:t xml:space="preserve">Service or username of last modification.</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b/>
                <w:bCs/>
                <w:color w:val="2E6DA4"/>
                <w:sz w:val="18"/>
                <w:szCs w:val="18"/>
              </w:rPr>
              <w:t xml:space="preserve">is_active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Boolean</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True</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A3A3A"/>
                <w:sz w:val="17"/>
                <w:szCs w:val="17"/>
              </w:rPr>
              <w:t xml:space="preserve">Logical delete flag. Never physically delete.</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b/>
                <w:bCs/>
                <w:color w:val="2E6DA4"/>
                <w:sz w:val="18"/>
                <w:szCs w:val="18"/>
              </w:rPr>
              <w:t xml:space="preserve">schema_version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Int32</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1</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A3A3A"/>
                <w:sz w:val="17"/>
                <w:szCs w:val="17"/>
              </w:rPr>
              <w:t xml:space="preserve">Increment on schema changes for migration tracking.</w:t>
            </w:r>
          </w:p>
        </w:tc>
      </w:tr>
    </w:tbl>
    <w:p>
      <w:pPr>
        <w:spacing w:after="120"/>
      </w:pPr>
    </w:p>
    <w:p>
      <w:pPr>
        <w:pStyle w:val="Heading2"/>
        <w:spacing w:after="80" w:before="200"/>
      </w:pPr>
      <w:r>
        <w:rPr>
          <w:rFonts w:ascii="Arial" w:cs="Arial" w:eastAsia="Arial" w:hAnsi="Arial"/>
          <w:b/>
          <w:bCs/>
          <w:color w:val="2E6DA4"/>
          <w:sz w:val="24"/>
          <w:szCs w:val="24"/>
        </w:rPr>
        <w:t xml:space="preserve">5.3  Document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Logical deletes only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Never issue a hard delete (deleteOne / deleteMany) on production data. Set is_active = False and updated_at / updated_by. All application queries must filter on { is_active: True }. Physical deletes require lead approval and a data retention justification.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Immutable audit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created_at and created_by are immutable. They are set once at insert and must never be updated by any code path, including data migration scripts.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schema_version for migrations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document carries a schema_version integer (starting at 1). When a schema change is made, increment this field. Migration scripts must be idempotent and update schema_version on completion.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M-09</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polymorphic documents without a type discriminator</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If a collection must store documents of different shapes (polymorphic pattern), every document must include a doc_type string field that identifies its variant. Queries must always filter on doc_type.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M-10</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Flatten aggressively, nest intentionally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Avoid deep nesting for the sake of it. data.info.details.value requires a dotted path query that is error-prone and hard to index. Flatten to data_info_details_value or reconsider whether nesting is actually needed.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M-11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Design for your query patterns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Before finalising a schema, list every query the application will run. If a query requires scanning the full collection or fetching and filtering in application code, the schema is wrong. Redesign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M-12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Pre-computed summary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For dashboards and reporting, consider storing pre-computed aggregates (e.g. total_alert_count, last_incident_at) on a parent document and updating them on child writes. This shifts cost to write time and makes dashboard reads fast.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M-13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unbounded string values in indexed fields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 field that is indexed must have a controlled value space. Do not index free-text fields like description or notes. Use a text index for search and a standard index for filterable fields only.</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06  </w:t>
      </w:r>
      <w:r>
        <w:rPr>
          <w:rFonts w:ascii="Arial" w:cs="Arial" w:eastAsia="Arial" w:hAnsi="Arial"/>
          <w:b/>
          <w:bCs/>
          <w:color w:val="1B3A5C"/>
          <w:sz w:val="28"/>
          <w:szCs w:val="28"/>
        </w:rPr>
        <w:t xml:space="preserve">Indexing Rules</w:t>
      </w:r>
    </w:p>
    <w:p>
      <w:pPr>
        <w:pBdr>
          <w:bottom w:val="single" w:color="2E6DA4" w:sz="8" w:space="1"/>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8860A" w:sz="1"/>
              <w:left w:val="single" w:color="C8860A" w:sz="12"/>
              <w:bottom w:val="single" w:color="C8860A" w:sz="1"/>
              <w:right w:val="single" w:color="C8860A" w:sz="1"/>
            </w:tcBorders>
            <w:shd w:fill="FFF4CC" w:val="clear"/>
            <w:tcMar>
              <w:top w:type="dxa" w:w="100"/>
              <w:left w:type="dxa" w:w="180"/>
              <w:bottom w:type="dxa" w:w="100"/>
              <w:right w:type="dxa" w:w="180"/>
            </w:tcMar>
          </w:tcPr>
          <w:p>
            <w:r>
              <w:rPr>
                <w:rFonts w:ascii="Arial" w:cs="Arial" w:eastAsia="Arial" w:hAnsi="Arial"/>
                <w:b/>
                <w:bCs/>
                <w:color w:val="C8860A"/>
                <w:sz w:val="18"/>
                <w:szCs w:val="18"/>
              </w:rPr>
              <w:t xml:space="preserve">⚠  WARNING</w:t>
            </w:r>
          </w:p>
          <w:p>
            <w:pPr>
              <w:spacing w:before="60"/>
            </w:pPr>
            <w:r>
              <w:rPr>
                <w:rFonts w:ascii="Arial" w:cs="Arial" w:eastAsia="Arial" w:hAnsi="Arial"/>
                <w:color w:val="3A3A3A"/>
                <w:sz w:val="18"/>
                <w:szCs w:val="18"/>
              </w:rPr>
              <w:t xml:space="preserve">Index creation in UAT and PROD must be coordinated with the DBA team. All index builds must use createIndex with background: true (or the equivalent rolling build process for large collections). Never build an index on PROD without DBA awareness — foreground index builds block all reads and writes.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Index every query filter field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Any field that appears in a find() filter, sort(), or $lookup condition in production code must be indexed. If it is not indexed, it is a collection scan waiting to cause an incident.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Compound index field order: ESR</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Build compound indexes following the ESR rule — Equality fields first, Sort fields second, Range fields last. This maximises index selectivity and sort efficiency.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Always index created_at</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collection must have an index on created_at. Time-range queries are the most common operational query pattern in a monitoring system and must not be collection scans.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Always index is_active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Since all queries filter on is_active, it must participate in every compound index as an equality prefix field: { is_active: 1, created_at: -1 }.</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TTL index for transient data</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Any collection holding data with a natural expiry (session tokens, temp staging records, short-lived alerts) must use a TTL index (expireAfterSeconds) to auto-purge. Never rely on application-side cleanup as the primary deletion mechanism.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Unique indexes declared explicitly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If a field or combination of fields must be unique (e.g. incident_number, alert_fingerprint), declare a unique index. Do not enforce uniqueness only in application code.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redundant indexes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Before creating an index, check existing indexes. A single-field index on { status: 1 } is made redundant if { is_active: 1, status: 1, created_at: -1 } already exists and covers the same query patterns.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Covered queries are the goal</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Where possible, design indexes so that the query is fully covered (all projected fields are in the index). A covered query never touches the document — it is the fastest query MongoDB can execute.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I-09</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Index review in design phase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new collection or schema change must include an Index Design section in its design document, reviewed during the technical design review. Indexes are not an afterthought.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I-10</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Monitor and drop unused indexes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Work with the DBA team quarterly to review index usage stats ($indexStats). Indexes that are never used must be dropped — they consume storage and slow down write performance.</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07  </w:t>
      </w:r>
      <w:r>
        <w:rPr>
          <w:rFonts w:ascii="Arial" w:cs="Arial" w:eastAsia="Arial" w:hAnsi="Arial"/>
          <w:b/>
          <w:bCs/>
          <w:color w:val="1B3A5C"/>
          <w:sz w:val="28"/>
          <w:szCs w:val="28"/>
        </w:rPr>
        <w:t xml:space="preserve">Query Best Practices</w:t>
      </w:r>
    </w:p>
    <w:p>
      <w:pPr>
        <w:pBdr>
          <w:bottom w:val="single" w:color="2E6DA4" w:sz="8" w:space="1"/>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Always project explicitly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Never use find({}) without a projection. Always specify exactly which fields you need: find({...}, { field1: 1, field2: 1, _id: 0 }). Fetching unused fields wastes network bandwidth and memory, and disqualifies covered queries.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application-side filtering</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Do not fetch a large result set and filter in Python. Every filter condition belongs in the MongoDB query. If you find yourself writing result = [r for r in cursor if r['status'] == 'open'], the query is wrong.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Use explain() in development</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new query written during development must be run with .explain('executionStats') to verify it uses an index and does not result in a COLLSCAN (collection scan). Include the explain output in your PR description for new queries.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Paginate all list queries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No query that returns a list of documents for UI display or API response may return unbounded results. Always use .skip() + .limit() or a cursor-based pagination pattern with a last_seen_id. Default page size: 25. Maximum: 100.</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Aggregation pipeline ordering</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In aggregation pipelines, always put $match and $sort as early as possible (before $group, $lookup, $project). This reduces the working set before expensive operations. The pipeline order has a direct impact on query performance.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Avoid $where and JavaScript operators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$where executes JavaScript in the database engine and cannot use indexes. It is banned in our codebase. If you believe you need $where, raise it with the lead — there is always a better approach.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Limit $lookup depth</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Do not chain more than 2 $lookup stages in a single aggregation pipeline without lead review. Deep $lookups are a sign that the data model is not optimised for the access pattern.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Use bulk operations for multi-document writes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If you are writing, updating, or deleting more than one document, use bulk_write() with a list of operations. Never loop a single write operation in Python — bulk_write sends operations in batches and is orders of magnitude more efficient.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Q-09</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Use $inc, $push, $addToSet for atomic updates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Never read a document, modify it in Python, and write it back for counter increments or array appends. Use $inc for counters, $push for arrays, $addToSet for unique arrays. These are atomic and do not require a transaction.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Q-10</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Transactions: use sparingly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MongoDB multi-document transactions are available on our replica set, but carry a significant overhead. Use transactions only when atomicity across multiple documents or collections is a true business requirement. Most use cases can be addressed with atomic operators or careful schema design.</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08  </w:t>
      </w:r>
      <w:r>
        <w:rPr>
          <w:rFonts w:ascii="Arial" w:cs="Arial" w:eastAsia="Arial" w:hAnsi="Arial"/>
          <w:b/>
          <w:bCs/>
          <w:color w:val="1B3A5C"/>
          <w:sz w:val="28"/>
          <w:szCs w:val="28"/>
        </w:rPr>
        <w:t xml:space="preserve">Security &amp; Access Control</w:t>
      </w:r>
    </w:p>
    <w:p>
      <w:pPr>
        <w:pBdr>
          <w:bottom w:val="single" w:color="2E6DA4" w:sz="8" w:space="1"/>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credentials in source code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MongoDB URIs, usernames, and passwords must never appear in source code, configuration files committed to version control, or hardcoded in scripts. Use environment variables or the team's secrets manager exclusively.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One service account per service</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Each backend service must authenticate with its own dedicated MongoDB service account (principle of least privilege). Shared accounts across services are not permitted. Raise a request to the DBA team for new service accounts.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Minimum required permissions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Service accounts must only have the minimum permissions required. A read-only consumer gets readOnly. A write service gets readWrite on its own databases only. No service account should have dbAdmin or clusterAdmin.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S-04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direct developer access to PROD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Individual developer accounts must not have read or write access to PROD databases. All production data access must go through the application layer or a DBA-supervised session. Exceptions require written lead + DBA approval.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S-05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Sanitize all user-supplied input</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Any value originating from a user interface, API request, or external system that is used in a MongoDB query must be sanitized. Specifically: use parameterised query patterns (PyMongo's driver handles this natively when using dict filters — never use string interpolation to build query filters).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S-06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TLS required on all clusters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All connections to all three clusters (DEV, UAT, PROD) must use TLS. The team client wrapper enforces tls=True. Verify with the DBA team that the cluster's certificate is configured before any new service goes live.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S-07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PII in DEV cluster</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The DEV cluster must never contain real Personally Identifiable Information. All data loaded into DEV must be synthetically generated or masked. If you need a production data sample for debugging, coordinate with the lead and DBA team for a masked export.</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09  </w:t>
      </w:r>
      <w:r>
        <w:rPr>
          <w:rFonts w:ascii="Arial" w:cs="Arial" w:eastAsia="Arial" w:hAnsi="Arial"/>
          <w:b/>
          <w:bCs/>
          <w:color w:val="1B3A5C"/>
          <w:sz w:val="28"/>
          <w:szCs w:val="28"/>
        </w:rPr>
        <w:t xml:space="preserve">Working with the DBA Team</w:t>
      </w:r>
    </w:p>
    <w:p>
      <w:pPr>
        <w:pBdr>
          <w:bottom w:val="single" w:color="2E6DA4" w:sz="8" w:space="1"/>
        </w:pBdr>
        <w:spacing w:after="80"/>
      </w:pPr>
    </w:p>
    <w:p>
      <w:pPr>
        <w:spacing w:after="100"/>
      </w:pPr>
      <w:r>
        <w:rPr>
          <w:rFonts w:ascii="Arial" w:cs="Arial" w:eastAsia="Arial" w:hAnsi="Arial"/>
        </w:rPr>
        <w:t xml:space="preserve">Our MongoDB clusters are managed by a dedicated DBA team. They own the infrastructure, the replica set configuration, user management, backup, and cluster-level operations. Our team is the application team — we own databases, collections, schemas, and indexes within those clusters. This section defines the boundary and the process.</w:t>
      </w:r>
    </w:p>
    <w:p>
      <w:pPr>
        <w:pStyle w:val="Heading2"/>
        <w:spacing w:after="80" w:before="200"/>
      </w:pPr>
      <w:r>
        <w:rPr>
          <w:rFonts w:ascii="Arial" w:cs="Arial" w:eastAsia="Arial" w:hAnsi="Arial"/>
          <w:b/>
          <w:bCs/>
          <w:color w:val="2E6DA4"/>
          <w:sz w:val="24"/>
          <w:szCs w:val="24"/>
        </w:rPr>
        <w:t xml:space="preserve">9.1  What requires a DBA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Who Does It</w:t>
            </w:r>
          </w:p>
        </w:tc>
      </w:tr>
      <w:tr>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Create new service account / rotate credentials</w:t>
            </w:r>
          </w:p>
        </w:tc>
        <w:tc>
          <w:tcPr>
            <w:tcW w:type="dxa" w:w="4360"/>
            <w:tcBorders>
              <w:top w:val="single" w:color="CCCCCC" w:sz="1"/>
              <w:left w:val="single" w:color="CCCCCC" w:sz="1"/>
              <w:bottom w:val="single" w:color="CCCCCC" w:sz="1"/>
              <w:right w:val="single" w:color="CCCCCC" w:sz="1"/>
            </w:tcBorders>
            <w:shd w:fill="FDF3DC" w:val="clear"/>
            <w:tcMar>
              <w:top w:type="dxa" w:w="70"/>
              <w:left w:type="dxa" w:w="120"/>
              <w:bottom w:type="dxa" w:w="70"/>
              <w:right w:type="dxa" w:w="120"/>
            </w:tcMar>
          </w:tcPr>
          <w:p>
            <w:r>
              <w:rPr>
                <w:rFonts w:ascii="Arial" w:cs="Arial" w:eastAsia="Arial" w:hAnsi="Arial"/>
                <w:b/>
                <w:bCs/>
                <w:color w:val="C8860A"/>
                <w:sz w:val="18"/>
                <w:szCs w:val="18"/>
              </w:rPr>
              <w:t xml:space="preserve">DBA team — raise ticket</w:t>
            </w:r>
          </w:p>
        </w:tc>
      </w:tr>
      <w:tr>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Create a new database in UAT or PROD</w:t>
            </w:r>
          </w:p>
        </w:tc>
        <w:tc>
          <w:tcPr>
            <w:tcW w:type="dxa" w:w="4360"/>
            <w:tcBorders>
              <w:top w:val="single" w:color="CCCCCC" w:sz="1"/>
              <w:left w:val="single" w:color="CCCCCC" w:sz="1"/>
              <w:bottom w:val="single" w:color="CCCCCC" w:sz="1"/>
              <w:right w:val="single" w:color="CCCCCC" w:sz="1"/>
            </w:tcBorders>
            <w:shd w:fill="FDF3DC" w:val="clear"/>
            <w:tcMar>
              <w:top w:type="dxa" w:w="70"/>
              <w:left w:type="dxa" w:w="120"/>
              <w:bottom w:type="dxa" w:w="70"/>
              <w:right w:type="dxa" w:w="120"/>
            </w:tcMar>
          </w:tcPr>
          <w:p>
            <w:r>
              <w:rPr>
                <w:rFonts w:ascii="Arial" w:cs="Arial" w:eastAsia="Arial" w:hAnsi="Arial"/>
                <w:b/>
                <w:bCs/>
                <w:color w:val="C8860A"/>
                <w:sz w:val="18"/>
                <w:szCs w:val="18"/>
              </w:rPr>
              <w:t xml:space="preserve">DBA team — raise ticket (we provide the name)</w:t>
            </w:r>
          </w:p>
        </w:tc>
      </w:tr>
      <w:tr>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Build a new index on PROD (large collection)</w:t>
            </w:r>
          </w:p>
        </w:tc>
        <w:tc>
          <w:tcPr>
            <w:tcW w:type="dxa" w:w="4360"/>
            <w:tcBorders>
              <w:top w:val="single" w:color="CCCCCC" w:sz="1"/>
              <w:left w:val="single" w:color="CCCCCC" w:sz="1"/>
              <w:bottom w:val="single" w:color="CCCCCC" w:sz="1"/>
              <w:right w:val="single" w:color="CCCCCC" w:sz="1"/>
            </w:tcBorders>
            <w:shd w:fill="FDF3DC" w:val="clear"/>
            <w:tcMar>
              <w:top w:type="dxa" w:w="70"/>
              <w:left w:type="dxa" w:w="120"/>
              <w:bottom w:type="dxa" w:w="70"/>
              <w:right w:type="dxa" w:w="120"/>
            </w:tcMar>
          </w:tcPr>
          <w:p>
            <w:r>
              <w:rPr>
                <w:rFonts w:ascii="Arial" w:cs="Arial" w:eastAsia="Arial" w:hAnsi="Arial"/>
                <w:b/>
                <w:bCs/>
                <w:color w:val="C8860A"/>
                <w:sz w:val="18"/>
                <w:szCs w:val="18"/>
              </w:rPr>
              <w:t xml:space="preserve">DBA team — coordinate timing + rolling build</w:t>
            </w:r>
          </w:p>
        </w:tc>
      </w:tr>
      <w:tr>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Drop a collection or database in PROD</w:t>
            </w:r>
          </w:p>
        </w:tc>
        <w:tc>
          <w:tcPr>
            <w:tcW w:type="dxa" w:w="4360"/>
            <w:tcBorders>
              <w:top w:val="single" w:color="CCCCCC" w:sz="1"/>
              <w:left w:val="single" w:color="CCCCCC" w:sz="1"/>
              <w:bottom w:val="single" w:color="CCCCCC" w:sz="1"/>
              <w:right w:val="single" w:color="CCCCCC" w:sz="1"/>
            </w:tcBorders>
            <w:shd w:fill="FDF3DC" w:val="clear"/>
            <w:tcMar>
              <w:top w:type="dxa" w:w="70"/>
              <w:left w:type="dxa" w:w="120"/>
              <w:bottom w:type="dxa" w:w="70"/>
              <w:right w:type="dxa" w:w="120"/>
            </w:tcMar>
          </w:tcPr>
          <w:p>
            <w:r>
              <w:rPr>
                <w:rFonts w:ascii="Arial" w:cs="Arial" w:eastAsia="Arial" w:hAnsi="Arial"/>
                <w:b/>
                <w:bCs/>
                <w:color w:val="C8860A"/>
                <w:sz w:val="18"/>
                <w:szCs w:val="18"/>
              </w:rPr>
              <w:t xml:space="preserve">DBA team — requires lead sign-off first</w:t>
            </w:r>
          </w:p>
        </w:tc>
      </w:tr>
      <w:tr>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Change replica set topology or add node</w:t>
            </w:r>
          </w:p>
        </w:tc>
        <w:tc>
          <w:tcPr>
            <w:tcW w:type="dxa" w:w="4360"/>
            <w:tcBorders>
              <w:top w:val="single" w:color="CCCCCC" w:sz="1"/>
              <w:left w:val="single" w:color="CCCCCC" w:sz="1"/>
              <w:bottom w:val="single" w:color="CCCCCC" w:sz="1"/>
              <w:right w:val="single" w:color="CCCCCC" w:sz="1"/>
            </w:tcBorders>
            <w:shd w:fill="FDF3DC" w:val="clear"/>
            <w:tcMar>
              <w:top w:type="dxa" w:w="70"/>
              <w:left w:type="dxa" w:w="120"/>
              <w:bottom w:type="dxa" w:w="70"/>
              <w:right w:type="dxa" w:w="120"/>
            </w:tcMar>
          </w:tcPr>
          <w:p>
            <w:r>
              <w:rPr>
                <w:rFonts w:ascii="Arial" w:cs="Arial" w:eastAsia="Arial" w:hAnsi="Arial"/>
                <w:b/>
                <w:bCs/>
                <w:color w:val="C8860A"/>
                <w:sz w:val="18"/>
                <w:szCs w:val="18"/>
              </w:rPr>
              <w:t xml:space="preserve">DBA team exclusively</w:t>
            </w:r>
          </w:p>
        </w:tc>
      </w:tr>
      <w:tr>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Restore from backup</w:t>
            </w:r>
          </w:p>
        </w:tc>
        <w:tc>
          <w:tcPr>
            <w:tcW w:type="dxa" w:w="4360"/>
            <w:tcBorders>
              <w:top w:val="single" w:color="CCCCCC" w:sz="1"/>
              <w:left w:val="single" w:color="CCCCCC" w:sz="1"/>
              <w:bottom w:val="single" w:color="CCCCCC" w:sz="1"/>
              <w:right w:val="single" w:color="CCCCCC" w:sz="1"/>
            </w:tcBorders>
            <w:shd w:fill="FDF3DC" w:val="clear"/>
            <w:tcMar>
              <w:top w:type="dxa" w:w="70"/>
              <w:left w:type="dxa" w:w="120"/>
              <w:bottom w:type="dxa" w:w="70"/>
              <w:right w:type="dxa" w:w="120"/>
            </w:tcMar>
          </w:tcPr>
          <w:p>
            <w:r>
              <w:rPr>
                <w:rFonts w:ascii="Arial" w:cs="Arial" w:eastAsia="Arial" w:hAnsi="Arial"/>
                <w:b/>
                <w:bCs/>
                <w:color w:val="C8860A"/>
                <w:sz w:val="18"/>
                <w:szCs w:val="18"/>
              </w:rPr>
              <w:t xml:space="preserve">DBA team — we provide point-in-time and scope</w:t>
            </w:r>
          </w:p>
        </w:tc>
      </w:tr>
      <w:tr>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Investigate cluster-level performance (oplog, etc)</w:t>
            </w:r>
          </w:p>
        </w:tc>
        <w:tc>
          <w:tcPr>
            <w:tcW w:type="dxa" w:w="4360"/>
            <w:tcBorders>
              <w:top w:val="single" w:color="CCCCCC" w:sz="1"/>
              <w:left w:val="single" w:color="CCCCCC" w:sz="1"/>
              <w:bottom w:val="single" w:color="CCCCCC" w:sz="1"/>
              <w:right w:val="single" w:color="CCCCCC" w:sz="1"/>
            </w:tcBorders>
            <w:shd w:fill="FDF3DC" w:val="clear"/>
            <w:tcMar>
              <w:top w:type="dxa" w:w="70"/>
              <w:left w:type="dxa" w:w="120"/>
              <w:bottom w:type="dxa" w:w="70"/>
              <w:right w:type="dxa" w:w="120"/>
            </w:tcMar>
          </w:tcPr>
          <w:p>
            <w:r>
              <w:rPr>
                <w:rFonts w:ascii="Arial" w:cs="Arial" w:eastAsia="Arial" w:hAnsi="Arial"/>
                <w:b/>
                <w:bCs/>
                <w:color w:val="C8860A"/>
                <w:sz w:val="18"/>
                <w:szCs w:val="18"/>
              </w:rPr>
              <w:t xml:space="preserve">DBA team — we provide query patterns as input</w:t>
            </w:r>
          </w:p>
        </w:tc>
      </w:tr>
      <w:tr>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Schema validator changes in UAT/PROD</w:t>
            </w:r>
          </w:p>
        </w:tc>
        <w:tc>
          <w:tcPr>
            <w:tcW w:type="dxa" w:w="4360"/>
            <w:tcBorders>
              <w:top w:val="single" w:color="CCCCCC" w:sz="1"/>
              <w:left w:val="single" w:color="CCCCCC" w:sz="1"/>
              <w:bottom w:val="single" w:color="CCCCCC" w:sz="1"/>
              <w:right w:val="single" w:color="CCCCCC" w:sz="1"/>
            </w:tcBorders>
            <w:shd w:fill="FDF3DC" w:val="clear"/>
            <w:tcMar>
              <w:top w:type="dxa" w:w="70"/>
              <w:left w:type="dxa" w:w="120"/>
              <w:bottom w:type="dxa" w:w="70"/>
              <w:right w:type="dxa" w:w="120"/>
            </w:tcMar>
          </w:tcPr>
          <w:p>
            <w:r>
              <w:rPr>
                <w:rFonts w:ascii="Arial" w:cs="Arial" w:eastAsia="Arial" w:hAnsi="Arial"/>
                <w:b/>
                <w:bCs/>
                <w:color w:val="C8860A"/>
                <w:sz w:val="18"/>
                <w:szCs w:val="18"/>
              </w:rPr>
              <w:t xml:space="preserve">Dev lead + DBA team change request</w:t>
            </w:r>
          </w:p>
        </w:tc>
      </w:tr>
    </w:tbl>
    <w:p>
      <w:pPr>
        <w:spacing w:after="120"/>
      </w:pPr>
    </w:p>
    <w:p>
      <w:pPr>
        <w:pStyle w:val="Heading2"/>
        <w:spacing w:after="80" w:before="200"/>
      </w:pPr>
      <w:r>
        <w:rPr>
          <w:rFonts w:ascii="Arial" w:cs="Arial" w:eastAsia="Arial" w:hAnsi="Arial"/>
          <w:b/>
          <w:bCs/>
          <w:color w:val="2E6DA4"/>
          <w:sz w:val="24"/>
          <w:szCs w:val="24"/>
        </w:rPr>
        <w:t xml:space="preserve">9.2  What our team owns independently</w:t>
      </w:r>
    </w:p>
    <w:p>
      <w:pPr>
        <w:pStyle w:val="ListParagraph"/>
        <w:numPr>
          <w:ilvl w:val="0"/>
          <w:numId w:val="2"/>
        </w:numPr>
        <w:spacing w:after="40"/>
      </w:pPr>
      <w:r>
        <w:rPr>
          <w:rFonts w:ascii="Arial" w:cs="Arial" w:eastAsia="Arial" w:hAnsi="Arial"/>
          <w:color w:val="3A3A3A"/>
          <w:sz w:val="19"/>
          <w:szCs w:val="19"/>
        </w:rPr>
        <w:t xml:space="preserve">Creating and dropping collections in DEV (self-service)</w:t>
      </w:r>
    </w:p>
    <w:p>
      <w:pPr>
        <w:pStyle w:val="ListParagraph"/>
        <w:numPr>
          <w:ilvl w:val="0"/>
          <w:numId w:val="2"/>
        </w:numPr>
        <w:spacing w:after="40"/>
      </w:pPr>
      <w:r>
        <w:rPr>
          <w:rFonts w:ascii="Arial" w:cs="Arial" w:eastAsia="Arial" w:hAnsi="Arial"/>
          <w:color w:val="3A3A3A"/>
          <w:sz w:val="19"/>
          <w:szCs w:val="19"/>
        </w:rPr>
        <w:t xml:space="preserve">Creating indexes in DEV (self-service)</w:t>
      </w:r>
    </w:p>
    <w:p>
      <w:pPr>
        <w:pStyle w:val="ListParagraph"/>
        <w:numPr>
          <w:ilvl w:val="0"/>
          <w:numId w:val="2"/>
        </w:numPr>
        <w:spacing w:after="40"/>
      </w:pPr>
      <w:r>
        <w:rPr>
          <w:rFonts w:ascii="Arial" w:cs="Arial" w:eastAsia="Arial" w:hAnsi="Arial"/>
          <w:color w:val="3A3A3A"/>
          <w:sz w:val="19"/>
          <w:szCs w:val="19"/>
        </w:rPr>
        <w:t xml:space="preserve">Creating indexes in UAT and PROD (we design, DBA team builds — coordinate timing)</w:t>
      </w:r>
    </w:p>
    <w:p>
      <w:pPr>
        <w:pStyle w:val="ListParagraph"/>
        <w:numPr>
          <w:ilvl w:val="0"/>
          <w:numId w:val="2"/>
        </w:numPr>
        <w:spacing w:after="40"/>
      </w:pPr>
      <w:r>
        <w:rPr>
          <w:rFonts w:ascii="Arial" w:cs="Arial" w:eastAsia="Arial" w:hAnsi="Arial"/>
          <w:color w:val="3A3A3A"/>
          <w:sz w:val="19"/>
          <w:szCs w:val="19"/>
        </w:rPr>
        <w:t xml:space="preserve">Application-level schema design and validators (we define, DBA applies in PROD)</w:t>
      </w:r>
    </w:p>
    <w:p>
      <w:pPr>
        <w:pStyle w:val="ListParagraph"/>
        <w:numPr>
          <w:ilvl w:val="0"/>
          <w:numId w:val="2"/>
        </w:numPr>
        <w:spacing w:after="40"/>
      </w:pPr>
      <w:r>
        <w:rPr>
          <w:rFonts w:ascii="Arial" w:cs="Arial" w:eastAsia="Arial" w:hAnsi="Arial"/>
          <w:color w:val="3A3A3A"/>
          <w:sz w:val="19"/>
          <w:szCs w:val="19"/>
        </w:rPr>
        <w:t xml:space="preserve">Data within our databases (we are responsible for data quality and integrity)</w:t>
      </w:r>
    </w:p>
    <w:p>
      <w:pPr>
        <w:pStyle w:val="ListParagraph"/>
        <w:numPr>
          <w:ilvl w:val="0"/>
          <w:numId w:val="2"/>
        </w:numPr>
        <w:spacing w:after="40"/>
      </w:pPr>
      <w:r>
        <w:rPr>
          <w:rFonts w:ascii="Arial" w:cs="Arial" w:eastAsia="Arial" w:hAnsi="Arial"/>
          <w:color w:val="3A3A3A"/>
          <w:sz w:val="19"/>
          <w:szCs w:val="19"/>
        </w:rPr>
        <w:t xml:space="preserve">Naming of all databases, collections, and fields (following this booklet)</w:t>
      </w:r>
    </w:p>
    <w:p>
      <w:pPr>
        <w:spacing w:after="120"/>
      </w:pPr>
    </w:p>
    <w:p>
      <w:pPr>
        <w:pStyle w:val="Heading2"/>
        <w:spacing w:after="80" w:before="200"/>
      </w:pPr>
      <w:r>
        <w:rPr>
          <w:rFonts w:ascii="Arial" w:cs="Arial" w:eastAsia="Arial" w:hAnsi="Arial"/>
          <w:b/>
          <w:bCs/>
          <w:color w:val="2E6DA4"/>
          <w:sz w:val="24"/>
          <w:szCs w:val="24"/>
        </w:rPr>
        <w:t xml:space="preserve">9.3  Communication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Raise index requests early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Do not wait until a sprint is done to request PROD index creation. Raise the DBA ticket when the collection design is finalised — index builds on large collections require scheduling and coordination.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Provide explain() output with requests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When raising a performance issue or index request with the DBA team, always include the explain('executionStats') output of the offending query. This halves the resolution time.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Change freeze awareness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PROD changes (schema validators, large indexes) must be coordinated around the organisation's change freeze windows. Plan at least 2 business days ahead for standard changes.</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10  </w:t>
      </w:r>
      <w:r>
        <w:rPr>
          <w:rFonts w:ascii="Arial" w:cs="Arial" w:eastAsia="Arial" w:hAnsi="Arial"/>
          <w:b/>
          <w:bCs/>
          <w:color w:val="1B3A5C"/>
          <w:sz w:val="28"/>
          <w:szCs w:val="28"/>
        </w:rPr>
        <w:t xml:space="preserve">Maintenance &amp; Data Hygiene</w:t>
      </w:r>
    </w:p>
    <w:p>
      <w:pPr>
        <w:pBdr>
          <w:bottom w:val="single" w:color="2E6DA4" w:sz="8" w:space="1"/>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H-01</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Collection Schema Registry</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collection must have an entry in the team's Collection Schema Registry (maintained in Confluence). The registry entry must include: database name, collection name, all fields with their BSON type and description, indexes, schema version, and the owning service.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H-02</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Archive, never delete, in PROD</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Historical documents in PROD must be moved to an _archive collection (e.g. incidents_archive) when they are beyond the active retention window. Archive collections use the same schema and naming standards. Physical deletes of historical PROD data require DBA + lead approval.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H-03</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Review and drop orphan collections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Quarterly, every team member reviews their owned databases for collections that are no longer written to. Orphan collections are flagged to the lead, documented, and dropped after a 30-day confirmation window.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H-04</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Migration scripts are idempotent</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data migration script must be safe to run multiple times. On the first run it makes changes. On subsequent runs it detects already-migrated documents (via schema_version) and skips them without error.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H-05</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Test migrations on DEV before UAT</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Migration scripts must complete successfully on DEV with a representative data set before being run on UAT. UAT before PROD. No skipping environments.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H-06</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Log all migration runs</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Every migration script execution must log: start time, document counts processed, document counts modified, errors encountered, end time, and the version migrated from/to. Logs must be stored and retrievable.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H-07</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Monitor document growth</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Any collection expected to exceed 1 million documents must be on the team's growth monitoring list. Review document count trends monthly. Proactively discuss archival or sharding strategy with the lead and DBA team before hitting 10 million documents.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H-08</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b/>
                <w:bCs/>
                <w:color w:val="1B3A5C"/>
                <w:sz w:val="20"/>
                <w:szCs w:val="20"/>
              </w:rPr>
              <w:t xml:space="preserve">No ad-hoc production queries without logging</w:t>
            </w:r>
          </w:p>
        </w:tc>
        <w:tc>
          <w:tcPr>
            <w:tcW w:type="dxa" w:w="58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color w:val="3A3A3A"/>
                <w:sz w:val="19"/>
                <w:szCs w:val="19"/>
              </w:rPr>
              <w:t xml:space="preserve">Any manual query run against PROD (e.g. during an incident investigation) must be logged: who ran it, when, what the query was, and what it returned. Use the team's incident investigation log template.</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11  </w:t>
      </w:r>
      <w:r>
        <w:rPr>
          <w:rFonts w:ascii="Arial" w:cs="Arial" w:eastAsia="Arial" w:hAnsi="Arial"/>
          <w:b/>
          <w:bCs/>
          <w:color w:val="1B3A5C"/>
          <w:sz w:val="28"/>
          <w:szCs w:val="28"/>
        </w:rPr>
        <w:t xml:space="preserve">MongoDB Code Review Checklist</w:t>
      </w:r>
    </w:p>
    <w:p>
      <w:pPr>
        <w:pBdr>
          <w:bottom w:val="single" w:color="2E6DA4" w:sz="8" w:space="1"/>
        </w:pBdr>
        <w:spacing w:after="80"/>
      </w:pPr>
    </w:p>
    <w:p>
      <w:pPr>
        <w:spacing w:after="100"/>
      </w:pPr>
      <w:r>
        <w:rPr>
          <w:rFonts w:ascii="Arial" w:cs="Arial" w:eastAsia="Arial" w:hAnsi="Arial"/>
        </w:rPr>
        <w:t xml:space="preserve">Every pull request that touches MongoDB-related code — models, queries, indexes, connection setup, migration scripts — must be reviewed against this checklist by both the author and reviewer before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260"/>
        <w:gridCol w:w="70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7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Checklist Item</w:t>
            </w:r>
          </w:p>
        </w:tc>
        <w:tc>
          <w:tcPr>
            <w:tcW w:type="dxa" w:w="7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Author</w:t>
            </w:r>
          </w:p>
        </w:tc>
        <w:tc>
          <w:tcPr>
            <w:tcW w:type="dxa" w:w="7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Reviewer</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Database and collection names follow Section 02 naming conventions</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2</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All field names are snake_case and follow naming rules (N-15 to N-22)</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3</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All fields have explicit BSON types matching the schema registry</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4</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No datetime fields stored as strings or Unix integers</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5</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All datetimes use UTC — no local time storage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6</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The team's MongoClient wrapper is used — no raw MongoClient instantiation</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7</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appName is set on the connection following C-11 format</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8</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Write concern is majority for UAT/PROD operations</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9</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Every new query has been verified with explain() (no COLLSCAN)</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10</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All list queries include pagination (skip/limit or cursor-based)</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11</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Projections specified on all find() calls — no fetch-all</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12</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New collections include required base fields (created_at, updated_at, etc.)</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13</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is_active = False used for deletes — no hard deleteOne/deleteMany in PROD code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14</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Indexes designed and named per Section 06 rules</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15</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Index requests raised to DBA team if targeting UAT/PROD</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16</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Schema validator definition included for new UAT/PROD collections</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17</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schema_version field present and correctly incremented if schema changed</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18</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No credentials or connection strings hardcoded in code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19</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Collection Schema Registry entry created or updated</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b/>
                <w:bCs/>
                <w:color w:val="1B3A5C"/>
                <w:sz w:val="17"/>
                <w:szCs w:val="17"/>
              </w:rPr>
              <w:t xml:space="preserve">20</w:t>
            </w:r>
          </w:p>
        </w:tc>
        <w:tc>
          <w:tcPr>
            <w:tcW w:type="dxa" w:w="7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Migration scripts are idempotent and have been tested on DEV</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bl>
    <w:p>
      <w:r>
        <w:br w:type="page"/>
      </w:r>
    </w:p>
    <w:p>
      <w:pPr>
        <w:spacing w:after="160"/>
      </w:pPr>
    </w:p>
    <w:p>
      <w:pPr>
        <w:pStyle w:val="Heading1"/>
        <w:spacing w:after="100" w:before="240"/>
      </w:pPr>
      <w:r>
        <w:rPr>
          <w:rFonts w:ascii="Arial" w:cs="Arial" w:eastAsia="Arial" w:hAnsi="Arial"/>
          <w:b/>
          <w:bCs/>
          <w:color w:val="C8860A"/>
          <w:sz w:val="28"/>
          <w:szCs w:val="28"/>
        </w:rPr>
        <w:t xml:space="preserve">12  </w:t>
      </w:r>
      <w:r>
        <w:rPr>
          <w:rFonts w:ascii="Arial" w:cs="Arial" w:eastAsia="Arial" w:hAnsi="Arial"/>
          <w:b/>
          <w:bCs/>
          <w:color w:val="1B3A5C"/>
          <w:sz w:val="28"/>
          <w:szCs w:val="28"/>
        </w:rPr>
        <w:t xml:space="preserve">Appendix: Approved Abbreviations Register</w:t>
      </w:r>
    </w:p>
    <w:p>
      <w:pPr>
        <w:pBdr>
          <w:bottom w:val="single" w:color="2E6DA4" w:sz="8" w:space="1"/>
        </w:pBdr>
        <w:spacing w:after="80"/>
      </w:pPr>
    </w:p>
    <w:p>
      <w:pPr>
        <w:spacing w:after="100"/>
      </w:pPr>
      <w:r>
        <w:rPr>
          <w:rFonts w:ascii="Arial" w:cs="Arial" w:eastAsia="Arial" w:hAnsi="Arial"/>
        </w:rPr>
        <w:t xml:space="preserve">Only the abbreviations in this table may be used in database, collection, or field names. Additions to this list require team agreement and lead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Abbreviation</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Stands For</w:t>
            </w:r>
          </w:p>
        </w:tc>
        <w:tc>
          <w:tcPr>
            <w:tcW w:type="dxa" w:w="4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Example Usage</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ops</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Operations</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dev_aiops_ops  /  ops_config</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cfg</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Configuration</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alert_cfg  /  workflow_cfg</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svc</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Service</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svc_name field  /  created_by: 'svc_scheduler'</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mgmt</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Management</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dev_incmgmt_incidents</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notif</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Notification</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notif_templates  /  notif_channels_ref</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auth</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Authentication</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dev_aiops_auth  /  auth_tokens</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autom</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Automation</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prod_autom_scheduler</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infra</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Infrastructure</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dev_monitoring_infra</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incmgmt</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Incident Management</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uat_incmgmt_incidents</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ref</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Reference (lookup)</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status_codes_ref  /  priority_levels_ref</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pct</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Percentage</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resolution_pct  /  sla_breach_pct</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secs</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Seconds</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retry_duration_secs  /  ttl_secs</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id</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Identifier</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incident_id  /  assigned_user_id</w:t>
            </w:r>
          </w:p>
        </w:tc>
      </w:tr>
      <w:tr>
        <w:tc>
          <w:tcPr>
            <w:tcW w:type="dxa" w:w="2000"/>
            <w:tcBorders>
              <w:top w:val="single" w:color="CCCCCC" w:sz="1"/>
              <w:left w:val="single" w:color="CCCCCC" w:sz="1"/>
              <w:bottom w:val="single" w:color="CCCCCC" w:sz="1"/>
              <w:right w:val="single" w:color="CCCCCC" w:sz="1"/>
            </w:tcBorders>
            <w:shd w:fill="D6E8F7"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env</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Environment</w:t>
            </w:r>
          </w:p>
        </w:tc>
        <w:tc>
          <w:tcPr>
            <w:tcW w:type="dxa" w:w="4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A3A3A"/>
                <w:sz w:val="17"/>
                <w:szCs w:val="17"/>
              </w:rPr>
              <w:t xml:space="preserve">env prefix in database names only</w:t>
            </w:r>
          </w:p>
        </w:tc>
      </w:tr>
    </w:tbl>
    <w:p>
      <w:pPr>
        <w:spacing w:after="200"/>
      </w:pPr>
    </w:p>
    <w:p>
      <w:pPr>
        <w:pBdr>
          <w:bottom w:val="single" w:color="C8860A" w:sz="8" w:space="1"/>
        </w:pBdr>
        <w:spacing w:after="80"/>
      </w:pPr>
    </w:p>
    <w:p>
      <w:pPr>
        <w:spacing w:after="80"/>
      </w:pPr>
    </w:p>
    <w:p>
      <w:pPr>
        <w:jc w:val="center"/>
      </w:pPr>
      <w:r>
        <w:rPr>
          <w:rFonts w:ascii="Arial" w:cs="Arial" w:eastAsia="Arial" w:hAnsi="Arial"/>
          <w:i/>
          <w:iCs/>
          <w:color w:val="6B6B6B"/>
          <w:sz w:val="18"/>
          <w:szCs w:val="18"/>
        </w:rPr>
        <w:t xml:space="preserve">This is a living document. Propose amendments via a team discussion — do not edit without lead approval.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before="60"/>
      <w:jc w:val="right"/>
    </w:pPr>
    <w:r>
      <w:rPr>
        <w:rFonts w:ascii="Arial" w:cs="Arial" w:eastAsia="Arial" w:hAnsi="Arial"/>
        <w:color w:val="6B6B6B"/>
        <w:sz w:val="16"/>
        <w:szCs w:val="16"/>
      </w:rPr>
      <w:t xml:space="preserve">INTERNAL — AIOps Team Only    </w:t>
    </w:r>
    <w:r>
      <w:rPr>
        <w:rFonts w:ascii="Arial" w:cs="Arial" w:eastAsia="Arial" w:hAnsi="Arial"/>
        <w:color w:val="6B6B6B"/>
        <w:sz w:val="16"/>
        <w:szCs w:val="16"/>
      </w:rPr>
      <w:t xml:space="preserve">Page </w:t>
    </w:r>
    <w:r>
      <w:rPr>
        <w:color w:val="2E6DA4"/>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of </w:t>
    </w:r>
    <w:r>
      <w:rPr>
        <w:color w:val="2E6D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60"/>
    </w:pPr>
    <w:r>
      <w:rPr>
        <w:rFonts w:ascii="Arial" w:cs="Arial" w:eastAsia="Arial" w:hAnsi="Arial"/>
        <w:color w:val="6B6B6B"/>
        <w:sz w:val="16"/>
        <w:szCs w:val="16"/>
      </w:rPr>
      <w:t xml:space="preserve">AIOps &amp; Production Management  |  MongoDB Standards Booklet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2026-04-10T14:09:28.116Z</dcterms:created>
  <dcterms:modified xsi:type="dcterms:W3CDTF">2026-04-10T14:09:28.116Z</dcterms:modified>
</cp:coreProperties>
</file>

<file path=docProps/custom.xml><?xml version="1.0" encoding="utf-8"?>
<Properties xmlns="http://schemas.openxmlformats.org/officeDocument/2006/custom-properties" xmlns:vt="http://schemas.openxmlformats.org/officeDocument/2006/docPropsVTypes"/>
</file>