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A852" w14:textId="6FAE98D0" w:rsidR="009B28F4" w:rsidRPr="0081219C" w:rsidRDefault="009B28F4">
      <w:pPr>
        <w:rPr>
          <w:sz w:val="24"/>
          <w:szCs w:val="24"/>
        </w:rPr>
      </w:pPr>
      <w:r w:rsidRPr="0081219C">
        <w:rPr>
          <w:rFonts w:hint="eastAsia"/>
          <w:sz w:val="24"/>
          <w:szCs w:val="24"/>
        </w:rPr>
        <w:t>D</w:t>
      </w:r>
      <w:r w:rsidRPr="0081219C">
        <w:rPr>
          <w:sz w:val="24"/>
          <w:szCs w:val="24"/>
        </w:rPr>
        <w:t>ata Analysis</w:t>
      </w:r>
    </w:p>
    <w:p w14:paraId="18295CF3" w14:textId="494273A6" w:rsidR="009B28F4" w:rsidRPr="0081219C" w:rsidRDefault="009B28F4">
      <w:pPr>
        <w:rPr>
          <w:sz w:val="24"/>
          <w:szCs w:val="24"/>
        </w:rPr>
      </w:pPr>
      <w:r w:rsidRPr="0081219C">
        <w:rPr>
          <w:rFonts w:hint="eastAsia"/>
          <w:sz w:val="24"/>
          <w:szCs w:val="24"/>
        </w:rPr>
        <w:t>W</w:t>
      </w:r>
      <w:r w:rsidRPr="0081219C">
        <w:rPr>
          <w:sz w:val="24"/>
          <w:szCs w:val="24"/>
        </w:rPr>
        <w:t>e inserted a large volume of actual data (EA Sports, 2021)</w:t>
      </w:r>
      <w:r w:rsidR="00DD218A" w:rsidRPr="0081219C">
        <w:rPr>
          <w:sz w:val="24"/>
          <w:szCs w:val="24"/>
        </w:rPr>
        <w:t xml:space="preserve"> into our database schema. To illustrate that our database is capable of provid</w:t>
      </w:r>
      <w:r w:rsidR="006D6C3B">
        <w:rPr>
          <w:sz w:val="24"/>
          <w:szCs w:val="24"/>
        </w:rPr>
        <w:t>ing</w:t>
      </w:r>
      <w:r w:rsidR="00DD218A" w:rsidRPr="0081219C">
        <w:rPr>
          <w:sz w:val="24"/>
          <w:szCs w:val="24"/>
        </w:rPr>
        <w:t xml:space="preserve"> business intelligence, we raised a few practical questions.</w:t>
      </w:r>
    </w:p>
    <w:p w14:paraId="51FC3D23" w14:textId="54C23D95" w:rsidR="00DD218A" w:rsidRPr="0081219C" w:rsidRDefault="00DD218A">
      <w:pPr>
        <w:rPr>
          <w:sz w:val="24"/>
          <w:szCs w:val="24"/>
        </w:rPr>
      </w:pPr>
    </w:p>
    <w:p w14:paraId="3AC15D1D" w14:textId="42F63A1F" w:rsidR="00DD218A" w:rsidRPr="0081219C" w:rsidRDefault="00BE1CAE" w:rsidP="00BE1CAE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81219C">
        <w:rPr>
          <w:rFonts w:hint="eastAsia"/>
          <w:sz w:val="24"/>
          <w:szCs w:val="24"/>
        </w:rPr>
        <w:t>How</w:t>
      </w:r>
      <w:r w:rsidRPr="0081219C">
        <w:rPr>
          <w:sz w:val="24"/>
          <w:szCs w:val="24"/>
        </w:rPr>
        <w:t xml:space="preserve"> does the total salaries of the BIG 6 clubs of English Premiere League change from season 14/15 to 20/21?</w:t>
      </w:r>
    </w:p>
    <w:p w14:paraId="12F4798B" w14:textId="06CF7E05" w:rsidR="00145269" w:rsidRPr="0081219C" w:rsidRDefault="002462D7" w:rsidP="00BE1CAE">
      <w:pPr>
        <w:rPr>
          <w:sz w:val="24"/>
          <w:szCs w:val="24"/>
        </w:rPr>
      </w:pPr>
      <w:r w:rsidRPr="0081219C">
        <w:rPr>
          <w:sz w:val="24"/>
          <w:szCs w:val="24"/>
        </w:rPr>
        <w:t xml:space="preserve">a. </w:t>
      </w:r>
      <w:r w:rsidR="00BE1CAE" w:rsidRPr="0081219C">
        <w:rPr>
          <w:sz w:val="24"/>
          <w:szCs w:val="24"/>
        </w:rPr>
        <w:t>Code Implementation</w:t>
      </w:r>
    </w:p>
    <w:p w14:paraId="3FEDDF08" w14:textId="77777777" w:rsidR="00BE1CAE" w:rsidRPr="0081219C" w:rsidRDefault="00BE1CAE" w:rsidP="00BE1CAE">
      <w:pPr>
        <w:widowControl/>
        <w:shd w:val="clear" w:color="auto" w:fill="1E1E1E"/>
        <w:spacing w:line="285" w:lineRule="atLeast"/>
        <w:ind w:left="105" w:hangingChars="50" w:hanging="105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BE1CAE">
        <w:rPr>
          <w:rFonts w:ascii="Consolas" w:eastAsia="宋体" w:hAnsi="Consolas" w:cs="宋体"/>
          <w:color w:val="6A9955"/>
          <w:kern w:val="0"/>
          <w:szCs w:val="21"/>
        </w:rPr>
        <w:t>-</w:t>
      </w:r>
      <w:r w:rsidRPr="0081219C">
        <w:rPr>
          <w:rFonts w:ascii="Consolas" w:eastAsia="宋体" w:hAnsi="Consolas" w:cs="宋体"/>
          <w:color w:val="6A9955"/>
          <w:kern w:val="0"/>
          <w:szCs w:val="21"/>
        </w:rPr>
        <w:t>-</w:t>
      </w:r>
      <w:r w:rsidRPr="00BE1CAE">
        <w:rPr>
          <w:rFonts w:ascii="Consolas" w:eastAsia="宋体" w:hAnsi="Consolas" w:cs="宋体"/>
          <w:color w:val="6A9955"/>
          <w:kern w:val="0"/>
          <w:szCs w:val="21"/>
        </w:rPr>
        <w:t> The total salaries of the BIG 6 clubs of English Premiere League </w:t>
      </w:r>
    </w:p>
    <w:p w14:paraId="65F94993" w14:textId="1B94E9B6" w:rsidR="00BE1CAE" w:rsidRPr="00BE1CAE" w:rsidRDefault="00BE1CAE" w:rsidP="00BE1CAE">
      <w:pPr>
        <w:widowControl/>
        <w:shd w:val="clear" w:color="auto" w:fill="1E1E1E"/>
        <w:spacing w:line="285" w:lineRule="atLeast"/>
        <w:ind w:left="105" w:hangingChars="50" w:hanging="105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81219C"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BE1CAE">
        <w:rPr>
          <w:rFonts w:ascii="Consolas" w:eastAsia="宋体" w:hAnsi="Consolas" w:cs="宋体"/>
          <w:color w:val="6A9955"/>
          <w:kern w:val="0"/>
          <w:szCs w:val="21"/>
        </w:rPr>
        <w:t>fro</w:t>
      </w:r>
      <w:r w:rsidRPr="0081219C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81219C"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Pr="00BE1CAE">
        <w:rPr>
          <w:rFonts w:ascii="Consolas" w:eastAsia="宋体" w:hAnsi="Consolas" w:cs="宋体"/>
          <w:color w:val="6A9955"/>
          <w:kern w:val="0"/>
          <w:szCs w:val="21"/>
        </w:rPr>
        <w:t>season 14/15 to 20/21</w:t>
      </w:r>
    </w:p>
    <w:p w14:paraId="278872DE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wage_epl6;</w:t>
      </w:r>
    </w:p>
    <w:p w14:paraId="38AB6D70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wage_epl6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as</w:t>
      </w:r>
    </w:p>
    <w:p w14:paraId="239243C5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club_name, player.season, </w:t>
      </w:r>
      <w:r w:rsidRPr="00BE1CAE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(wage_eur)</w:t>
      </w:r>
    </w:p>
    <w:p w14:paraId="3D3EAD7D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player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club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(club_id, season)</w:t>
      </w:r>
    </w:p>
    <w:p w14:paraId="289274D8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club_name </w:t>
      </w:r>
      <w:r w:rsidRPr="00BE1CAE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E1CAE">
        <w:rPr>
          <w:rFonts w:ascii="Consolas" w:eastAsia="宋体" w:hAnsi="Consolas" w:cs="宋体"/>
          <w:color w:val="CE9178"/>
          <w:kern w:val="0"/>
          <w:szCs w:val="21"/>
        </w:rPr>
        <w:t>"Arsenal"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1CAE">
        <w:rPr>
          <w:rFonts w:ascii="Consolas" w:eastAsia="宋体" w:hAnsi="Consolas" w:cs="宋体"/>
          <w:color w:val="CE9178"/>
          <w:kern w:val="0"/>
          <w:szCs w:val="21"/>
        </w:rPr>
        <w:t>"Chelsea"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1CAE">
        <w:rPr>
          <w:rFonts w:ascii="Consolas" w:eastAsia="宋体" w:hAnsi="Consolas" w:cs="宋体"/>
          <w:color w:val="CE9178"/>
          <w:kern w:val="0"/>
          <w:szCs w:val="21"/>
        </w:rPr>
        <w:t>"Tottenham Hotspur"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1CAE">
        <w:rPr>
          <w:rFonts w:ascii="Consolas" w:eastAsia="宋体" w:hAnsi="Consolas" w:cs="宋体"/>
          <w:color w:val="CE9178"/>
          <w:kern w:val="0"/>
          <w:szCs w:val="21"/>
        </w:rPr>
        <w:t>"Manchester United"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1CAE">
        <w:rPr>
          <w:rFonts w:ascii="Consolas" w:eastAsia="宋体" w:hAnsi="Consolas" w:cs="宋体"/>
          <w:color w:val="CE9178"/>
          <w:kern w:val="0"/>
          <w:szCs w:val="21"/>
        </w:rPr>
        <w:t>"Manchester City"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E1CAE">
        <w:rPr>
          <w:rFonts w:ascii="Consolas" w:eastAsia="宋体" w:hAnsi="Consolas" w:cs="宋体"/>
          <w:color w:val="CE9178"/>
          <w:kern w:val="0"/>
          <w:szCs w:val="21"/>
        </w:rPr>
        <w:t>"Liverpool"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99538B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group by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club_name, player.season;</w:t>
      </w:r>
    </w:p>
    <w:p w14:paraId="3626C381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26F4B3" w14:textId="0C6119C3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*</w:t>
      </w:r>
    </w:p>
    <w:p w14:paraId="5986196B" w14:textId="77777777" w:rsidR="00BE1CAE" w:rsidRPr="00BE1CAE" w:rsidRDefault="00BE1CAE" w:rsidP="00BE1C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CAE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BE1CAE">
        <w:rPr>
          <w:rFonts w:ascii="Consolas" w:eastAsia="宋体" w:hAnsi="Consolas" w:cs="宋体"/>
          <w:color w:val="D4D4D4"/>
          <w:kern w:val="0"/>
          <w:szCs w:val="21"/>
        </w:rPr>
        <w:t> wage_epl6;</w:t>
      </w:r>
    </w:p>
    <w:p w14:paraId="5AB9390E" w14:textId="0ECEACB9" w:rsidR="00023AA5" w:rsidRDefault="00023AA5" w:rsidP="00BE1CAE">
      <w:pPr>
        <w:ind w:left="360"/>
        <w:rPr>
          <w:sz w:val="24"/>
          <w:szCs w:val="24"/>
        </w:rPr>
      </w:pPr>
    </w:p>
    <w:p w14:paraId="29C4F87F" w14:textId="35B97B68" w:rsidR="00023AA5" w:rsidRDefault="00023AA5" w:rsidP="00023AA5">
      <w:pPr>
        <w:rPr>
          <w:sz w:val="24"/>
          <w:szCs w:val="24"/>
        </w:rPr>
      </w:pPr>
      <w:r>
        <w:rPr>
          <w:sz w:val="24"/>
          <w:szCs w:val="24"/>
        </w:rPr>
        <w:t>b. Query Output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862"/>
        <w:gridCol w:w="2217"/>
        <w:gridCol w:w="2217"/>
      </w:tblGrid>
      <w:tr w:rsidR="00772864" w:rsidRPr="00772864" w14:paraId="70E27097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B94C03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club_name</w:t>
            </w:r>
          </w:p>
        </w:tc>
        <w:tc>
          <w:tcPr>
            <w:tcW w:w="1336" w:type="pct"/>
            <w:noWrap/>
            <w:hideMark/>
          </w:tcPr>
          <w:p w14:paraId="049F8342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season</w:t>
            </w:r>
          </w:p>
        </w:tc>
        <w:tc>
          <w:tcPr>
            <w:tcW w:w="1336" w:type="pct"/>
            <w:noWrap/>
            <w:hideMark/>
          </w:tcPr>
          <w:p w14:paraId="767B3D0F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total wage (€)</w:t>
            </w:r>
          </w:p>
        </w:tc>
      </w:tr>
      <w:tr w:rsidR="00772864" w:rsidRPr="00772864" w14:paraId="21D2D73F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A0652B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1F9FBB5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14/15</w:t>
            </w:r>
          </w:p>
        </w:tc>
        <w:tc>
          <w:tcPr>
            <w:tcW w:w="1336" w:type="pct"/>
            <w:noWrap/>
            <w:hideMark/>
          </w:tcPr>
          <w:p w14:paraId="4DE33E1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2428000</w:t>
            </w:r>
          </w:p>
        </w:tc>
      </w:tr>
      <w:tr w:rsidR="00772864" w:rsidRPr="00772864" w14:paraId="6C661119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098574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5F589B3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15/16</w:t>
            </w:r>
          </w:p>
        </w:tc>
        <w:tc>
          <w:tcPr>
            <w:tcW w:w="1336" w:type="pct"/>
            <w:noWrap/>
            <w:hideMark/>
          </w:tcPr>
          <w:p w14:paraId="6546E90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2640000</w:t>
            </w:r>
          </w:p>
        </w:tc>
      </w:tr>
      <w:tr w:rsidR="00772864" w:rsidRPr="00772864" w14:paraId="4A906149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2AAD35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0E7A496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16/17</w:t>
            </w:r>
          </w:p>
        </w:tc>
        <w:tc>
          <w:tcPr>
            <w:tcW w:w="1336" w:type="pct"/>
            <w:noWrap/>
            <w:hideMark/>
          </w:tcPr>
          <w:p w14:paraId="045EF95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3146000</w:t>
            </w:r>
          </w:p>
        </w:tc>
      </w:tr>
      <w:tr w:rsidR="00772864" w:rsidRPr="00772864" w14:paraId="1925A776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1FF10FD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7DF8F77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17/18</w:t>
            </w:r>
          </w:p>
        </w:tc>
        <w:tc>
          <w:tcPr>
            <w:tcW w:w="1336" w:type="pct"/>
            <w:noWrap/>
            <w:hideMark/>
          </w:tcPr>
          <w:p w14:paraId="533AFDC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2961000</w:t>
            </w:r>
          </w:p>
        </w:tc>
      </w:tr>
      <w:tr w:rsidR="00772864" w:rsidRPr="00772864" w14:paraId="73282F00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5496253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1F1FB16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336" w:type="pct"/>
            <w:noWrap/>
            <w:hideMark/>
          </w:tcPr>
          <w:p w14:paraId="1DE4F217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2484000</w:t>
            </w:r>
          </w:p>
        </w:tc>
      </w:tr>
      <w:tr w:rsidR="00772864" w:rsidRPr="00772864" w14:paraId="4172BC07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79FFA4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7F504EC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336" w:type="pct"/>
            <w:noWrap/>
            <w:hideMark/>
          </w:tcPr>
          <w:p w14:paraId="46EB06D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1996000</w:t>
            </w:r>
          </w:p>
        </w:tc>
      </w:tr>
      <w:tr w:rsidR="00772864" w:rsidRPr="00772864" w14:paraId="0E060C54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9A4226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336" w:type="pct"/>
            <w:noWrap/>
            <w:hideMark/>
          </w:tcPr>
          <w:p w14:paraId="58C966D2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336" w:type="pct"/>
            <w:noWrap/>
            <w:hideMark/>
          </w:tcPr>
          <w:p w14:paraId="417A5B1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2046000</w:t>
            </w:r>
          </w:p>
        </w:tc>
      </w:tr>
      <w:tr w:rsidR="00772864" w:rsidRPr="00772864" w14:paraId="1EE9ACD4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1913AD1D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336" w:type="pct"/>
            <w:noWrap/>
            <w:hideMark/>
          </w:tcPr>
          <w:p w14:paraId="22E4E6A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14/15</w:t>
            </w:r>
          </w:p>
        </w:tc>
        <w:tc>
          <w:tcPr>
            <w:tcW w:w="1336" w:type="pct"/>
            <w:noWrap/>
            <w:hideMark/>
          </w:tcPr>
          <w:p w14:paraId="4271B2E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2571000</w:t>
            </w:r>
          </w:p>
        </w:tc>
      </w:tr>
      <w:tr w:rsidR="00772864" w:rsidRPr="00772864" w14:paraId="009758F1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0597F12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336" w:type="pct"/>
            <w:noWrap/>
            <w:hideMark/>
          </w:tcPr>
          <w:p w14:paraId="3109FD4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15/16</w:t>
            </w:r>
          </w:p>
        </w:tc>
        <w:tc>
          <w:tcPr>
            <w:tcW w:w="1336" w:type="pct"/>
            <w:noWrap/>
            <w:hideMark/>
          </w:tcPr>
          <w:p w14:paraId="6745ECB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2847000</w:t>
            </w:r>
          </w:p>
        </w:tc>
      </w:tr>
      <w:tr w:rsidR="00772864" w:rsidRPr="00772864" w14:paraId="70D0846A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493BBFF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336" w:type="pct"/>
            <w:noWrap/>
            <w:hideMark/>
          </w:tcPr>
          <w:p w14:paraId="144012D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16/17</w:t>
            </w:r>
          </w:p>
        </w:tc>
        <w:tc>
          <w:tcPr>
            <w:tcW w:w="1336" w:type="pct"/>
            <w:noWrap/>
            <w:hideMark/>
          </w:tcPr>
          <w:p w14:paraId="79208D0F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3379000</w:t>
            </w:r>
          </w:p>
        </w:tc>
      </w:tr>
      <w:tr w:rsidR="00772864" w:rsidRPr="00772864" w14:paraId="2A5C7EDD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0A74BC0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336" w:type="pct"/>
            <w:noWrap/>
            <w:hideMark/>
          </w:tcPr>
          <w:p w14:paraId="3B5E83E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17/18</w:t>
            </w:r>
          </w:p>
        </w:tc>
        <w:tc>
          <w:tcPr>
            <w:tcW w:w="1336" w:type="pct"/>
            <w:noWrap/>
            <w:hideMark/>
          </w:tcPr>
          <w:p w14:paraId="33F71E9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3508000</w:t>
            </w:r>
          </w:p>
        </w:tc>
      </w:tr>
      <w:tr w:rsidR="00772864" w:rsidRPr="00772864" w14:paraId="5E103BDD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97BA42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Chelsea</w:t>
            </w:r>
          </w:p>
        </w:tc>
        <w:tc>
          <w:tcPr>
            <w:tcW w:w="1336" w:type="pct"/>
            <w:noWrap/>
            <w:hideMark/>
          </w:tcPr>
          <w:p w14:paraId="5754302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336" w:type="pct"/>
            <w:noWrap/>
            <w:hideMark/>
          </w:tcPr>
          <w:p w14:paraId="53C8EBF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3367000</w:t>
            </w:r>
          </w:p>
        </w:tc>
      </w:tr>
      <w:tr w:rsidR="00772864" w:rsidRPr="00772864" w14:paraId="328341B7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FD579C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336" w:type="pct"/>
            <w:noWrap/>
            <w:hideMark/>
          </w:tcPr>
          <w:p w14:paraId="2BADC81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336" w:type="pct"/>
            <w:noWrap/>
            <w:hideMark/>
          </w:tcPr>
          <w:p w14:paraId="44E223C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2775000</w:t>
            </w:r>
          </w:p>
        </w:tc>
      </w:tr>
      <w:tr w:rsidR="00772864" w:rsidRPr="00772864" w14:paraId="538694C1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707CDAB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336" w:type="pct"/>
            <w:noWrap/>
            <w:hideMark/>
          </w:tcPr>
          <w:p w14:paraId="00DF015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336" w:type="pct"/>
            <w:noWrap/>
            <w:hideMark/>
          </w:tcPr>
          <w:p w14:paraId="064300E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2698000</w:t>
            </w:r>
          </w:p>
        </w:tc>
      </w:tr>
      <w:tr w:rsidR="00772864" w:rsidRPr="00772864" w14:paraId="6E39C8D3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D05989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0ABBF01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14/15</w:t>
            </w:r>
          </w:p>
        </w:tc>
        <w:tc>
          <w:tcPr>
            <w:tcW w:w="1336" w:type="pct"/>
            <w:noWrap/>
            <w:hideMark/>
          </w:tcPr>
          <w:p w14:paraId="66F55E9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1832000</w:t>
            </w:r>
          </w:p>
        </w:tc>
      </w:tr>
      <w:tr w:rsidR="00772864" w:rsidRPr="00772864" w14:paraId="2A47C9D6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9DA32ED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02E073B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15/16</w:t>
            </w:r>
          </w:p>
        </w:tc>
        <w:tc>
          <w:tcPr>
            <w:tcW w:w="1336" w:type="pct"/>
            <w:noWrap/>
            <w:hideMark/>
          </w:tcPr>
          <w:p w14:paraId="77C3B6C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2111000</w:t>
            </w:r>
          </w:p>
        </w:tc>
      </w:tr>
      <w:tr w:rsidR="00772864" w:rsidRPr="00772864" w14:paraId="6684D33A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1F16E38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4C242C4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16/17</w:t>
            </w:r>
          </w:p>
        </w:tc>
        <w:tc>
          <w:tcPr>
            <w:tcW w:w="1336" w:type="pct"/>
            <w:noWrap/>
            <w:hideMark/>
          </w:tcPr>
          <w:p w14:paraId="22C479E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2514000</w:t>
            </w:r>
          </w:p>
        </w:tc>
      </w:tr>
      <w:tr w:rsidR="00772864" w:rsidRPr="00772864" w14:paraId="1DE85C03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10A8492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230AA13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17/18</w:t>
            </w:r>
          </w:p>
        </w:tc>
        <w:tc>
          <w:tcPr>
            <w:tcW w:w="1336" w:type="pct"/>
            <w:noWrap/>
            <w:hideMark/>
          </w:tcPr>
          <w:p w14:paraId="69D7FBE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2725000</w:t>
            </w:r>
          </w:p>
        </w:tc>
      </w:tr>
      <w:tr w:rsidR="00772864" w:rsidRPr="00772864" w14:paraId="499E92AE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761E994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0EEC4AB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336" w:type="pct"/>
            <w:noWrap/>
            <w:hideMark/>
          </w:tcPr>
          <w:p w14:paraId="19FAE7E2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2996000</w:t>
            </w:r>
          </w:p>
        </w:tc>
      </w:tr>
      <w:tr w:rsidR="00772864" w:rsidRPr="00772864" w14:paraId="5EAFBD61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36E054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0ECDA6D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336" w:type="pct"/>
            <w:noWrap/>
            <w:hideMark/>
          </w:tcPr>
          <w:p w14:paraId="0285B65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2626000</w:t>
            </w:r>
          </w:p>
        </w:tc>
      </w:tr>
      <w:tr w:rsidR="00772864" w:rsidRPr="00772864" w14:paraId="00C5C84D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1701136D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336" w:type="pct"/>
            <w:noWrap/>
            <w:hideMark/>
          </w:tcPr>
          <w:p w14:paraId="1F52F74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336" w:type="pct"/>
            <w:noWrap/>
            <w:hideMark/>
          </w:tcPr>
          <w:p w14:paraId="4CE4CE2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3154000</w:t>
            </w:r>
          </w:p>
        </w:tc>
      </w:tr>
      <w:tr w:rsidR="00772864" w:rsidRPr="00772864" w14:paraId="255AC525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EA1D77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61D2B6A2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14/15</w:t>
            </w:r>
          </w:p>
        </w:tc>
        <w:tc>
          <w:tcPr>
            <w:tcW w:w="1336" w:type="pct"/>
            <w:noWrap/>
            <w:hideMark/>
          </w:tcPr>
          <w:p w14:paraId="6BB54D1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2830000</w:t>
            </w:r>
          </w:p>
        </w:tc>
      </w:tr>
      <w:tr w:rsidR="00772864" w:rsidRPr="00772864" w14:paraId="0EC9C963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649DE0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7AD6A3B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15/16</w:t>
            </w:r>
          </w:p>
        </w:tc>
        <w:tc>
          <w:tcPr>
            <w:tcW w:w="1336" w:type="pct"/>
            <w:noWrap/>
            <w:hideMark/>
          </w:tcPr>
          <w:p w14:paraId="17540ED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2817000</w:t>
            </w:r>
          </w:p>
        </w:tc>
      </w:tr>
      <w:tr w:rsidR="00772864" w:rsidRPr="00772864" w14:paraId="03CE7578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E3FA3C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1A7B91D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16/17</w:t>
            </w:r>
          </w:p>
        </w:tc>
        <w:tc>
          <w:tcPr>
            <w:tcW w:w="1336" w:type="pct"/>
            <w:noWrap/>
            <w:hideMark/>
          </w:tcPr>
          <w:p w14:paraId="1197B38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3442000</w:t>
            </w:r>
          </w:p>
        </w:tc>
      </w:tr>
      <w:tr w:rsidR="00772864" w:rsidRPr="00772864" w14:paraId="2C7581AB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27D3E02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39C09C2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17/18</w:t>
            </w:r>
          </w:p>
        </w:tc>
        <w:tc>
          <w:tcPr>
            <w:tcW w:w="1336" w:type="pct"/>
            <w:noWrap/>
            <w:hideMark/>
          </w:tcPr>
          <w:p w14:paraId="2D3384A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3141000</w:t>
            </w:r>
          </w:p>
        </w:tc>
      </w:tr>
      <w:tr w:rsidR="00772864" w:rsidRPr="00772864" w14:paraId="446E5094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2FC4607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13174A4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336" w:type="pct"/>
            <w:noWrap/>
            <w:hideMark/>
          </w:tcPr>
          <w:p w14:paraId="7F88F6B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3776000</w:t>
            </w:r>
          </w:p>
        </w:tc>
      </w:tr>
      <w:tr w:rsidR="00772864" w:rsidRPr="00772864" w14:paraId="0B3B3160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5716264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07C7CDA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336" w:type="pct"/>
            <w:noWrap/>
            <w:hideMark/>
          </w:tcPr>
          <w:p w14:paraId="1728972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3958000</w:t>
            </w:r>
          </w:p>
        </w:tc>
      </w:tr>
      <w:tr w:rsidR="00772864" w:rsidRPr="00772864" w14:paraId="688F16CA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78E1D59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336" w:type="pct"/>
            <w:noWrap/>
            <w:hideMark/>
          </w:tcPr>
          <w:p w14:paraId="0ACADD2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336" w:type="pct"/>
            <w:noWrap/>
            <w:hideMark/>
          </w:tcPr>
          <w:p w14:paraId="239364CF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3765000</w:t>
            </w:r>
          </w:p>
        </w:tc>
      </w:tr>
      <w:tr w:rsidR="00772864" w:rsidRPr="00772864" w14:paraId="2E28D5C0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546A290F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07B610F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14/15</w:t>
            </w:r>
          </w:p>
        </w:tc>
        <w:tc>
          <w:tcPr>
            <w:tcW w:w="1336" w:type="pct"/>
            <w:noWrap/>
            <w:hideMark/>
          </w:tcPr>
          <w:p w14:paraId="6EB4EE5A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2659000</w:t>
            </w:r>
          </w:p>
        </w:tc>
      </w:tr>
      <w:tr w:rsidR="00772864" w:rsidRPr="00772864" w14:paraId="1D744428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F9D05A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75EFE9B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15/16</w:t>
            </w:r>
          </w:p>
        </w:tc>
        <w:tc>
          <w:tcPr>
            <w:tcW w:w="1336" w:type="pct"/>
            <w:noWrap/>
            <w:hideMark/>
          </w:tcPr>
          <w:p w14:paraId="0FE69F27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2278000</w:t>
            </w:r>
          </w:p>
        </w:tc>
      </w:tr>
      <w:tr w:rsidR="00772864" w:rsidRPr="00772864" w14:paraId="77171EBE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106773B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6BCF34B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16/17</w:t>
            </w:r>
          </w:p>
        </w:tc>
        <w:tc>
          <w:tcPr>
            <w:tcW w:w="1336" w:type="pct"/>
            <w:noWrap/>
            <w:hideMark/>
          </w:tcPr>
          <w:p w14:paraId="0726D07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3412000</w:t>
            </w:r>
          </w:p>
        </w:tc>
      </w:tr>
      <w:tr w:rsidR="00772864" w:rsidRPr="00772864" w14:paraId="72A79A47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4D0358D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1474B0E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17/18</w:t>
            </w:r>
          </w:p>
        </w:tc>
        <w:tc>
          <w:tcPr>
            <w:tcW w:w="1336" w:type="pct"/>
            <w:noWrap/>
            <w:hideMark/>
          </w:tcPr>
          <w:p w14:paraId="5BB2BA72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3497000</w:t>
            </w:r>
          </w:p>
        </w:tc>
      </w:tr>
      <w:tr w:rsidR="00772864" w:rsidRPr="00772864" w14:paraId="268EF903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2D6811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1A232D6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336" w:type="pct"/>
            <w:noWrap/>
            <w:hideMark/>
          </w:tcPr>
          <w:p w14:paraId="52912D98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3483000</w:t>
            </w:r>
          </w:p>
        </w:tc>
      </w:tr>
      <w:tr w:rsidR="00772864" w:rsidRPr="00772864" w14:paraId="763EB6ED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55F3A4E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7F0B2B2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336" w:type="pct"/>
            <w:noWrap/>
            <w:hideMark/>
          </w:tcPr>
          <w:p w14:paraId="6A84730D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2837000</w:t>
            </w:r>
          </w:p>
        </w:tc>
      </w:tr>
      <w:tr w:rsidR="00772864" w:rsidRPr="00772864" w14:paraId="25E3A136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5EFC8FF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336" w:type="pct"/>
            <w:noWrap/>
            <w:hideMark/>
          </w:tcPr>
          <w:p w14:paraId="1A2AF57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336" w:type="pct"/>
            <w:noWrap/>
            <w:hideMark/>
          </w:tcPr>
          <w:p w14:paraId="7D183CDB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2950000</w:t>
            </w:r>
          </w:p>
        </w:tc>
      </w:tr>
      <w:tr w:rsidR="00772864" w:rsidRPr="00772864" w14:paraId="39B49326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8AC4DA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752B48D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14/15</w:t>
            </w:r>
          </w:p>
        </w:tc>
        <w:tc>
          <w:tcPr>
            <w:tcW w:w="1336" w:type="pct"/>
            <w:noWrap/>
            <w:hideMark/>
          </w:tcPr>
          <w:p w14:paraId="18957BA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1860000</w:t>
            </w:r>
          </w:p>
        </w:tc>
      </w:tr>
      <w:tr w:rsidR="00772864" w:rsidRPr="00772864" w14:paraId="777A530D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5F7DF377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7DF2143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15/16</w:t>
            </w:r>
          </w:p>
        </w:tc>
        <w:tc>
          <w:tcPr>
            <w:tcW w:w="1336" w:type="pct"/>
            <w:noWrap/>
            <w:hideMark/>
          </w:tcPr>
          <w:p w14:paraId="4AFD6E39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1577000</w:t>
            </w:r>
          </w:p>
        </w:tc>
      </w:tr>
      <w:tr w:rsidR="00772864" w:rsidRPr="00772864" w14:paraId="62DF41E0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AD10B77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30B1A3E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16/17</w:t>
            </w:r>
          </w:p>
        </w:tc>
        <w:tc>
          <w:tcPr>
            <w:tcW w:w="1336" w:type="pct"/>
            <w:noWrap/>
            <w:hideMark/>
          </w:tcPr>
          <w:p w14:paraId="29E8CBCD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2045000</w:t>
            </w:r>
          </w:p>
        </w:tc>
      </w:tr>
      <w:tr w:rsidR="00772864" w:rsidRPr="00772864" w14:paraId="2EEF9300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29EF166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543A3F35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17/18</w:t>
            </w:r>
          </w:p>
        </w:tc>
        <w:tc>
          <w:tcPr>
            <w:tcW w:w="1336" w:type="pct"/>
            <w:noWrap/>
            <w:hideMark/>
          </w:tcPr>
          <w:p w14:paraId="5997C86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2240000</w:t>
            </w:r>
          </w:p>
        </w:tc>
      </w:tr>
      <w:tr w:rsidR="00772864" w:rsidRPr="00772864" w14:paraId="63277D62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37E72557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3990593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336" w:type="pct"/>
            <w:noWrap/>
            <w:hideMark/>
          </w:tcPr>
          <w:p w14:paraId="71BC62CE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2542000</w:t>
            </w:r>
          </w:p>
        </w:tc>
      </w:tr>
      <w:tr w:rsidR="00772864" w:rsidRPr="00772864" w14:paraId="0F3E4178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7D01FEE0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509BD541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336" w:type="pct"/>
            <w:noWrap/>
            <w:hideMark/>
          </w:tcPr>
          <w:p w14:paraId="0550FE73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2563500</w:t>
            </w:r>
          </w:p>
        </w:tc>
      </w:tr>
      <w:tr w:rsidR="00772864" w:rsidRPr="00772864" w14:paraId="329410FD" w14:textId="77777777" w:rsidTr="00772864">
        <w:trPr>
          <w:trHeight w:val="285"/>
        </w:trPr>
        <w:tc>
          <w:tcPr>
            <w:tcW w:w="2327" w:type="pct"/>
            <w:noWrap/>
            <w:hideMark/>
          </w:tcPr>
          <w:p w14:paraId="62625B34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336" w:type="pct"/>
            <w:noWrap/>
            <w:hideMark/>
          </w:tcPr>
          <w:p w14:paraId="7251C616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336" w:type="pct"/>
            <w:noWrap/>
            <w:hideMark/>
          </w:tcPr>
          <w:p w14:paraId="46291EEC" w14:textId="77777777" w:rsidR="00772864" w:rsidRPr="00772864" w:rsidRDefault="00772864" w:rsidP="0077286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728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2542000</w:t>
            </w:r>
          </w:p>
        </w:tc>
      </w:tr>
    </w:tbl>
    <w:p w14:paraId="304F64E1" w14:textId="77777777" w:rsidR="00023AA5" w:rsidRPr="0081219C" w:rsidRDefault="00023AA5" w:rsidP="00023AA5">
      <w:pPr>
        <w:rPr>
          <w:sz w:val="24"/>
          <w:szCs w:val="24"/>
        </w:rPr>
      </w:pPr>
    </w:p>
    <w:p w14:paraId="2CDE3370" w14:textId="7FA9566B" w:rsidR="00BE1CAE" w:rsidRPr="0081219C" w:rsidRDefault="00023AA5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2462D7" w:rsidRPr="0081219C">
        <w:rPr>
          <w:sz w:val="24"/>
          <w:szCs w:val="24"/>
        </w:rPr>
        <w:t xml:space="preserve">. </w:t>
      </w:r>
      <w:r w:rsidR="00BE1CAE" w:rsidRPr="0081219C">
        <w:rPr>
          <w:rFonts w:hint="eastAsia"/>
          <w:sz w:val="24"/>
          <w:szCs w:val="24"/>
        </w:rPr>
        <w:t>D</w:t>
      </w:r>
      <w:r w:rsidR="00BE1CAE" w:rsidRPr="0081219C">
        <w:rPr>
          <w:sz w:val="24"/>
          <w:szCs w:val="24"/>
        </w:rPr>
        <w:t>ata Visualization</w:t>
      </w:r>
    </w:p>
    <w:p w14:paraId="174A8747" w14:textId="0263EDD9" w:rsidR="00145269" w:rsidRPr="0081219C" w:rsidRDefault="00BB59B8">
      <w:pPr>
        <w:rPr>
          <w:sz w:val="24"/>
          <w:szCs w:val="24"/>
        </w:rPr>
      </w:pPr>
      <w:r w:rsidRPr="0081219C">
        <w:rPr>
          <w:noProof/>
          <w:sz w:val="24"/>
          <w:szCs w:val="24"/>
        </w:rPr>
        <w:lastRenderedPageBreak/>
        <w:drawing>
          <wp:inline distT="0" distB="0" distL="0" distR="0" wp14:anchorId="4EA83FED" wp14:editId="6F810560">
            <wp:extent cx="5274310" cy="3588385"/>
            <wp:effectExtent l="0" t="0" r="254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38527634-19F5-4B14-BDBC-3A0EFAABBF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5CCF35" w14:textId="4A861B8A" w:rsidR="00145269" w:rsidRPr="0081219C" w:rsidRDefault="00145269">
      <w:pPr>
        <w:rPr>
          <w:sz w:val="24"/>
          <w:szCs w:val="24"/>
        </w:rPr>
      </w:pPr>
    </w:p>
    <w:p w14:paraId="15DB5D92" w14:textId="2B67D80D" w:rsidR="00145269" w:rsidRPr="0081219C" w:rsidRDefault="00023AA5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2462D7" w:rsidRPr="0081219C">
        <w:rPr>
          <w:sz w:val="24"/>
          <w:szCs w:val="24"/>
        </w:rPr>
        <w:t xml:space="preserve">. </w:t>
      </w:r>
      <w:r w:rsidR="00BB59B8" w:rsidRPr="0081219C">
        <w:rPr>
          <w:sz w:val="24"/>
          <w:szCs w:val="24"/>
        </w:rPr>
        <w:t xml:space="preserve">Key </w:t>
      </w:r>
      <w:r w:rsidR="002462D7" w:rsidRPr="0081219C">
        <w:rPr>
          <w:sz w:val="24"/>
          <w:szCs w:val="24"/>
        </w:rPr>
        <w:t>Business Intelligence</w:t>
      </w:r>
    </w:p>
    <w:p w14:paraId="275B1354" w14:textId="2139E44A" w:rsidR="002462D7" w:rsidRDefault="00432CB4">
      <w:pPr>
        <w:rPr>
          <w:sz w:val="24"/>
          <w:szCs w:val="24"/>
        </w:rPr>
      </w:pPr>
      <w:r>
        <w:rPr>
          <w:sz w:val="24"/>
          <w:szCs w:val="24"/>
        </w:rPr>
        <w:t>From season 14/15 to 20/21, in general, Manchester City had the highest total wage; Tottenham Hotspur had the lowest total wage before Arsenal took its position in season 18/19.</w:t>
      </w:r>
    </w:p>
    <w:p w14:paraId="44F7BBCE" w14:textId="016A6CAA" w:rsidR="00432CB4" w:rsidRDefault="00432CB4">
      <w:pPr>
        <w:rPr>
          <w:sz w:val="24"/>
          <w:szCs w:val="24"/>
        </w:rPr>
      </w:pPr>
      <w:r>
        <w:rPr>
          <w:sz w:val="24"/>
          <w:szCs w:val="24"/>
        </w:rPr>
        <w:t>From season 16/17 to 19/20, the total wage of Arsenal dropped significantly from about 3.1 million to 2 million.</w:t>
      </w:r>
    </w:p>
    <w:p w14:paraId="6AD76689" w14:textId="106C5273" w:rsidR="00432CB4" w:rsidRPr="0081219C" w:rsidRDefault="00432CB4">
      <w:pPr>
        <w:rPr>
          <w:sz w:val="24"/>
          <w:szCs w:val="24"/>
        </w:rPr>
      </w:pPr>
      <w:r>
        <w:rPr>
          <w:sz w:val="24"/>
          <w:szCs w:val="24"/>
        </w:rPr>
        <w:t>From season 14/15 to 20/21, Manchester City, Liverpool, and Tottenham Hotspur generally had an u</w:t>
      </w:r>
      <w:r w:rsidRPr="00432CB4">
        <w:rPr>
          <w:sz w:val="24"/>
          <w:szCs w:val="24"/>
        </w:rPr>
        <w:t>pward trend</w:t>
      </w:r>
      <w:r>
        <w:rPr>
          <w:sz w:val="24"/>
          <w:szCs w:val="24"/>
        </w:rPr>
        <w:t xml:space="preserve"> in total wage.</w:t>
      </w:r>
    </w:p>
    <w:p w14:paraId="173D11C2" w14:textId="26A3C71E" w:rsidR="00145269" w:rsidRDefault="00145269">
      <w:pPr>
        <w:rPr>
          <w:sz w:val="24"/>
          <w:szCs w:val="24"/>
        </w:rPr>
      </w:pPr>
    </w:p>
    <w:p w14:paraId="741A8C5B" w14:textId="4164900F" w:rsidR="00432CB4" w:rsidRDefault="009070F7" w:rsidP="00432CB4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9070F7">
        <w:rPr>
          <w:sz w:val="24"/>
          <w:szCs w:val="24"/>
        </w:rPr>
        <w:t xml:space="preserve">The rank of clubs in each of </w:t>
      </w:r>
      <w:r>
        <w:rPr>
          <w:sz w:val="24"/>
          <w:szCs w:val="24"/>
        </w:rPr>
        <w:t xml:space="preserve">the </w:t>
      </w:r>
      <w:r w:rsidRPr="009070F7">
        <w:rPr>
          <w:sz w:val="24"/>
          <w:szCs w:val="24"/>
        </w:rPr>
        <w:t xml:space="preserve">"Big Five" European football leagues in terms of the total </w:t>
      </w:r>
      <w:r w:rsidR="0053216B">
        <w:rPr>
          <w:sz w:val="24"/>
          <w:szCs w:val="24"/>
        </w:rPr>
        <w:t>wage</w:t>
      </w:r>
      <w:r w:rsidRPr="009070F7">
        <w:rPr>
          <w:sz w:val="24"/>
          <w:szCs w:val="24"/>
        </w:rPr>
        <w:t xml:space="preserve"> in season 20/21</w:t>
      </w:r>
      <w:r w:rsidR="00C13B6D">
        <w:rPr>
          <w:rFonts w:hint="eastAsia"/>
          <w:sz w:val="24"/>
          <w:szCs w:val="24"/>
        </w:rPr>
        <w:t>.</w:t>
      </w:r>
    </w:p>
    <w:p w14:paraId="3F5E6D4E" w14:textId="60D6EDD4" w:rsidR="005F6C82" w:rsidRDefault="00C80562" w:rsidP="005F6C82">
      <w:p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5F6C82">
        <w:rPr>
          <w:rFonts w:hint="eastAsia"/>
          <w:sz w:val="24"/>
          <w:szCs w:val="24"/>
        </w:rPr>
        <w:t>C</w:t>
      </w:r>
      <w:r w:rsidR="005F6C82">
        <w:rPr>
          <w:sz w:val="24"/>
          <w:szCs w:val="24"/>
        </w:rPr>
        <w:t>ode Implementation</w:t>
      </w:r>
    </w:p>
    <w:p w14:paraId="5905CFC7" w14:textId="77777777" w:rsid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5F6C82">
        <w:rPr>
          <w:rFonts w:ascii="Consolas" w:eastAsia="宋体" w:hAnsi="Consolas" w:cs="宋体"/>
          <w:color w:val="6A9955"/>
          <w:kern w:val="0"/>
          <w:szCs w:val="21"/>
        </w:rPr>
        <w:lastRenderedPageBreak/>
        <w:t>-- The rank of clubs in each of the "Big Five" European football </w:t>
      </w:r>
    </w:p>
    <w:p w14:paraId="4167E7A2" w14:textId="3F768A82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5F6C82">
        <w:rPr>
          <w:rFonts w:ascii="Consolas" w:eastAsia="宋体" w:hAnsi="Consolas" w:cs="宋体"/>
          <w:color w:val="6A9955"/>
          <w:kern w:val="0"/>
          <w:szCs w:val="21"/>
        </w:rPr>
        <w:t>leagues in terms of the total value of players in season 20/21</w:t>
      </w:r>
    </w:p>
    <w:p w14:paraId="4A2DFD74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club_wage_20_21;</w:t>
      </w:r>
    </w:p>
    <w:p w14:paraId="61612F8B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club_wage_20_21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as</w:t>
      </w:r>
    </w:p>
    <w:p w14:paraId="6869D09E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league_id, league_name, club_id, club_name, </w:t>
      </w:r>
      <w:r w:rsidRPr="005F6C82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(wage_eur)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total_wage_eur</w:t>
      </w:r>
    </w:p>
    <w:p w14:paraId="3E753788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player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club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(club_id, season)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league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(league_id, season)</w:t>
      </w:r>
    </w:p>
    <w:p w14:paraId="31E03918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season = 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"20/21"</w:t>
      </w:r>
    </w:p>
    <w:p w14:paraId="01FB1BA6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tier = </w:t>
      </w:r>
      <w:r w:rsidRPr="005F6C8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9605F30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league.country_region_name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"England"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"Germany"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"France"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"Italy"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"Spain"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1306A8A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group by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club_id;</w:t>
      </w:r>
    </w:p>
    <w:p w14:paraId="59740028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88F0CF" w14:textId="64EB8955" w:rsid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league_name, club_name, total_wage_eur,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5F6C82">
        <w:rPr>
          <w:rFonts w:ascii="Consolas" w:eastAsia="宋体" w:hAnsi="Consolas" w:cs="宋体"/>
          <w:color w:val="DCDCAA"/>
          <w:kern w:val="0"/>
          <w:szCs w:val="21"/>
        </w:rPr>
        <w:t>rank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()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1D0C06B4" w14:textId="468B3135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over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partition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by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league_id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order by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total_wage_eur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desc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F6C82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6C82">
        <w:rPr>
          <w:rFonts w:ascii="Consolas" w:eastAsia="宋体" w:hAnsi="Consolas" w:cs="宋体"/>
          <w:color w:val="CE9178"/>
          <w:kern w:val="0"/>
          <w:szCs w:val="21"/>
        </w:rPr>
        <w:t>"rank"</w:t>
      </w:r>
    </w:p>
    <w:p w14:paraId="7169EAE6" w14:textId="77777777" w:rsidR="005F6C82" w:rsidRPr="005F6C82" w:rsidRDefault="005F6C82" w:rsidP="005F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6C82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5F6C82">
        <w:rPr>
          <w:rFonts w:ascii="Consolas" w:eastAsia="宋体" w:hAnsi="Consolas" w:cs="宋体"/>
          <w:color w:val="D4D4D4"/>
          <w:kern w:val="0"/>
          <w:szCs w:val="21"/>
        </w:rPr>
        <w:t> club_wage_20_21;</w:t>
      </w:r>
    </w:p>
    <w:p w14:paraId="32F4AC2A" w14:textId="49D83ABF" w:rsidR="005F6C82" w:rsidRDefault="005F6C82" w:rsidP="005F6C82">
      <w:pPr>
        <w:rPr>
          <w:sz w:val="24"/>
          <w:szCs w:val="24"/>
        </w:rPr>
      </w:pPr>
    </w:p>
    <w:p w14:paraId="04A88243" w14:textId="77777777" w:rsidR="00023AA5" w:rsidRDefault="00023AA5" w:rsidP="00023AA5">
      <w:pPr>
        <w:rPr>
          <w:sz w:val="24"/>
          <w:szCs w:val="24"/>
        </w:rPr>
      </w:pPr>
      <w:r>
        <w:rPr>
          <w:sz w:val="24"/>
          <w:szCs w:val="24"/>
        </w:rPr>
        <w:t>b. Query Output</w:t>
      </w:r>
    </w:p>
    <w:tbl>
      <w:tblPr>
        <w:tblStyle w:val="a5"/>
        <w:tblW w:w="7406" w:type="dxa"/>
        <w:tblLook w:val="04A0" w:firstRow="1" w:lastRow="0" w:firstColumn="1" w:lastColumn="0" w:noHBand="0" w:noVBand="1"/>
      </w:tblPr>
      <w:tblGrid>
        <w:gridCol w:w="2235"/>
        <w:gridCol w:w="2640"/>
        <w:gridCol w:w="1637"/>
        <w:gridCol w:w="1080"/>
      </w:tblGrid>
      <w:tr w:rsidR="00114341" w:rsidRPr="00114341" w14:paraId="06F789FB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CE321A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league_name</w:t>
            </w:r>
          </w:p>
        </w:tc>
        <w:tc>
          <w:tcPr>
            <w:tcW w:w="2640" w:type="dxa"/>
            <w:noWrap/>
            <w:hideMark/>
          </w:tcPr>
          <w:p w14:paraId="108EBE0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club_name</w:t>
            </w:r>
          </w:p>
        </w:tc>
        <w:tc>
          <w:tcPr>
            <w:tcW w:w="1451" w:type="dxa"/>
            <w:noWrap/>
            <w:hideMark/>
          </w:tcPr>
          <w:p w14:paraId="4F1D4C3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total_wage_eur</w:t>
            </w:r>
          </w:p>
        </w:tc>
        <w:tc>
          <w:tcPr>
            <w:tcW w:w="1080" w:type="dxa"/>
            <w:noWrap/>
            <w:hideMark/>
          </w:tcPr>
          <w:p w14:paraId="3201B7D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rank</w:t>
            </w:r>
          </w:p>
        </w:tc>
      </w:tr>
      <w:tr w:rsidR="00114341" w:rsidRPr="00114341" w14:paraId="2A92C01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1751CD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64E0B9A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451" w:type="dxa"/>
            <w:noWrap/>
            <w:hideMark/>
          </w:tcPr>
          <w:p w14:paraId="1C3F091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4848000</w:t>
            </w:r>
          </w:p>
        </w:tc>
        <w:tc>
          <w:tcPr>
            <w:tcW w:w="1080" w:type="dxa"/>
            <w:noWrap/>
            <w:hideMark/>
          </w:tcPr>
          <w:p w14:paraId="394BC35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14341" w:rsidRPr="00114341" w14:paraId="0995EDD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AE0357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6670849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451" w:type="dxa"/>
            <w:noWrap/>
            <w:hideMark/>
          </w:tcPr>
          <w:p w14:paraId="059AF3E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4738000</w:t>
            </w:r>
          </w:p>
        </w:tc>
        <w:tc>
          <w:tcPr>
            <w:tcW w:w="1080" w:type="dxa"/>
            <w:noWrap/>
            <w:hideMark/>
          </w:tcPr>
          <w:p w14:paraId="248B284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14341" w:rsidRPr="00114341" w14:paraId="107D130B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7D1F8B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2D406E3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451" w:type="dxa"/>
            <w:noWrap/>
            <w:hideMark/>
          </w:tcPr>
          <w:p w14:paraId="1BD1CC2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1597000</w:t>
            </w:r>
          </w:p>
        </w:tc>
        <w:tc>
          <w:tcPr>
            <w:tcW w:w="1080" w:type="dxa"/>
            <w:noWrap/>
            <w:hideMark/>
          </w:tcPr>
          <w:p w14:paraId="5A913A7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14341" w:rsidRPr="00114341" w14:paraId="6FE1D650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95053B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09A8F26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Sevilla FC</w:t>
            </w:r>
          </w:p>
        </w:tc>
        <w:tc>
          <w:tcPr>
            <w:tcW w:w="1451" w:type="dxa"/>
            <w:noWrap/>
            <w:hideMark/>
          </w:tcPr>
          <w:p w14:paraId="3167CEC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814000</w:t>
            </w:r>
          </w:p>
        </w:tc>
        <w:tc>
          <w:tcPr>
            <w:tcW w:w="1080" w:type="dxa"/>
            <w:noWrap/>
            <w:hideMark/>
          </w:tcPr>
          <w:p w14:paraId="76748A1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14341" w:rsidRPr="00114341" w14:paraId="147D3E3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5E7ABF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63BD8BD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Villarreal CF</w:t>
            </w:r>
          </w:p>
        </w:tc>
        <w:tc>
          <w:tcPr>
            <w:tcW w:w="1451" w:type="dxa"/>
            <w:noWrap/>
            <w:hideMark/>
          </w:tcPr>
          <w:p w14:paraId="79AA477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813500</w:t>
            </w:r>
          </w:p>
        </w:tc>
        <w:tc>
          <w:tcPr>
            <w:tcW w:w="1080" w:type="dxa"/>
            <w:noWrap/>
            <w:hideMark/>
          </w:tcPr>
          <w:p w14:paraId="1483847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14341" w:rsidRPr="00114341" w14:paraId="57FD5C99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3C8A94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64131F2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Valencia CF</w:t>
            </w:r>
          </w:p>
        </w:tc>
        <w:tc>
          <w:tcPr>
            <w:tcW w:w="1451" w:type="dxa"/>
            <w:noWrap/>
            <w:hideMark/>
          </w:tcPr>
          <w:p w14:paraId="4C9FCA0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714900</w:t>
            </w:r>
          </w:p>
        </w:tc>
        <w:tc>
          <w:tcPr>
            <w:tcW w:w="1080" w:type="dxa"/>
            <w:noWrap/>
            <w:hideMark/>
          </w:tcPr>
          <w:p w14:paraId="29164FB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14341" w:rsidRPr="00114341" w14:paraId="1AAB48F5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DD6451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1025E96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Sociedad</w:t>
            </w:r>
          </w:p>
        </w:tc>
        <w:tc>
          <w:tcPr>
            <w:tcW w:w="1451" w:type="dxa"/>
            <w:noWrap/>
            <w:hideMark/>
          </w:tcPr>
          <w:p w14:paraId="197746D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691000</w:t>
            </w:r>
          </w:p>
        </w:tc>
        <w:tc>
          <w:tcPr>
            <w:tcW w:w="1080" w:type="dxa"/>
            <w:noWrap/>
            <w:hideMark/>
          </w:tcPr>
          <w:p w14:paraId="0FE68C9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14341" w:rsidRPr="00114341" w14:paraId="1F8210A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81A8DE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6DC2F23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 Osasuna</w:t>
            </w:r>
          </w:p>
        </w:tc>
        <w:tc>
          <w:tcPr>
            <w:tcW w:w="1451" w:type="dxa"/>
            <w:noWrap/>
            <w:hideMark/>
          </w:tcPr>
          <w:p w14:paraId="6AD4231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612500</w:t>
            </w:r>
          </w:p>
        </w:tc>
        <w:tc>
          <w:tcPr>
            <w:tcW w:w="1080" w:type="dxa"/>
            <w:noWrap/>
            <w:hideMark/>
          </w:tcPr>
          <w:p w14:paraId="675413A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14341" w:rsidRPr="00114341" w14:paraId="21A06CA5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BC6D37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75AAE6B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Betis</w:t>
            </w:r>
          </w:p>
        </w:tc>
        <w:tc>
          <w:tcPr>
            <w:tcW w:w="1451" w:type="dxa"/>
            <w:noWrap/>
            <w:hideMark/>
          </w:tcPr>
          <w:p w14:paraId="3862426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585000</w:t>
            </w:r>
          </w:p>
        </w:tc>
        <w:tc>
          <w:tcPr>
            <w:tcW w:w="1080" w:type="dxa"/>
            <w:noWrap/>
            <w:hideMark/>
          </w:tcPr>
          <w:p w14:paraId="2C99C17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14341" w:rsidRPr="00114341" w14:paraId="2E720E1E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274AB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70D37CB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Getafe CF</w:t>
            </w:r>
          </w:p>
        </w:tc>
        <w:tc>
          <w:tcPr>
            <w:tcW w:w="1451" w:type="dxa"/>
            <w:noWrap/>
            <w:hideMark/>
          </w:tcPr>
          <w:p w14:paraId="7C63AA7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565500</w:t>
            </w:r>
          </w:p>
        </w:tc>
        <w:tc>
          <w:tcPr>
            <w:tcW w:w="1080" w:type="dxa"/>
            <w:noWrap/>
            <w:hideMark/>
          </w:tcPr>
          <w:p w14:paraId="1690073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14341" w:rsidRPr="00114341" w14:paraId="48E42B71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8946AC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20D0C13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Levante UD</w:t>
            </w:r>
          </w:p>
        </w:tc>
        <w:tc>
          <w:tcPr>
            <w:tcW w:w="1451" w:type="dxa"/>
            <w:noWrap/>
            <w:hideMark/>
          </w:tcPr>
          <w:p w14:paraId="03901C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563000</w:t>
            </w:r>
          </w:p>
        </w:tc>
        <w:tc>
          <w:tcPr>
            <w:tcW w:w="1080" w:type="dxa"/>
            <w:noWrap/>
            <w:hideMark/>
          </w:tcPr>
          <w:p w14:paraId="4A91728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58B649C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4636BE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Spain Primera Division</w:t>
            </w:r>
          </w:p>
        </w:tc>
        <w:tc>
          <w:tcPr>
            <w:tcW w:w="2640" w:type="dxa"/>
            <w:noWrap/>
            <w:hideMark/>
          </w:tcPr>
          <w:p w14:paraId="2530A08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SD Eibar</w:t>
            </w:r>
          </w:p>
        </w:tc>
        <w:tc>
          <w:tcPr>
            <w:tcW w:w="1451" w:type="dxa"/>
            <w:noWrap/>
            <w:hideMark/>
          </w:tcPr>
          <w:p w14:paraId="558AC8F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563000</w:t>
            </w:r>
          </w:p>
        </w:tc>
        <w:tc>
          <w:tcPr>
            <w:tcW w:w="1080" w:type="dxa"/>
            <w:noWrap/>
            <w:hideMark/>
          </w:tcPr>
          <w:p w14:paraId="484D4E0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3E86506B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438B00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6DC5F5D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Athletic Club de Bilbao</w:t>
            </w:r>
          </w:p>
        </w:tc>
        <w:tc>
          <w:tcPr>
            <w:tcW w:w="1451" w:type="dxa"/>
            <w:noWrap/>
            <w:hideMark/>
          </w:tcPr>
          <w:p w14:paraId="5E7588F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563000</w:t>
            </w:r>
          </w:p>
        </w:tc>
        <w:tc>
          <w:tcPr>
            <w:tcW w:w="1080" w:type="dxa"/>
            <w:noWrap/>
            <w:hideMark/>
          </w:tcPr>
          <w:p w14:paraId="5E13F40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38FDCB74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1C7ED7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2DEDCAD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Granada CF</w:t>
            </w:r>
          </w:p>
        </w:tc>
        <w:tc>
          <w:tcPr>
            <w:tcW w:w="1451" w:type="dxa"/>
            <w:noWrap/>
            <w:hideMark/>
          </w:tcPr>
          <w:p w14:paraId="168B876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539000</w:t>
            </w:r>
          </w:p>
        </w:tc>
        <w:tc>
          <w:tcPr>
            <w:tcW w:w="1080" w:type="dxa"/>
            <w:noWrap/>
            <w:hideMark/>
          </w:tcPr>
          <w:p w14:paraId="01D73AF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14341" w:rsidRPr="00114341" w14:paraId="0425007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B73040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066F283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Deportivo Alavés</w:t>
            </w:r>
          </w:p>
        </w:tc>
        <w:tc>
          <w:tcPr>
            <w:tcW w:w="1451" w:type="dxa"/>
            <w:noWrap/>
            <w:hideMark/>
          </w:tcPr>
          <w:p w14:paraId="7166702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495000</w:t>
            </w:r>
          </w:p>
        </w:tc>
        <w:tc>
          <w:tcPr>
            <w:tcW w:w="1080" w:type="dxa"/>
            <w:noWrap/>
            <w:hideMark/>
          </w:tcPr>
          <w:p w14:paraId="01E9DF3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114341" w:rsidRPr="00114341" w14:paraId="256CE3C0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A8EE97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77A0233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Cádiz CF</w:t>
            </w:r>
          </w:p>
        </w:tc>
        <w:tc>
          <w:tcPr>
            <w:tcW w:w="1451" w:type="dxa"/>
            <w:noWrap/>
            <w:hideMark/>
          </w:tcPr>
          <w:p w14:paraId="5574A6A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492000</w:t>
            </w:r>
          </w:p>
        </w:tc>
        <w:tc>
          <w:tcPr>
            <w:tcW w:w="1080" w:type="dxa"/>
            <w:noWrap/>
            <w:hideMark/>
          </w:tcPr>
          <w:p w14:paraId="772A1B7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114341" w:rsidRPr="00114341" w14:paraId="37AE8BB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D69FAB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45C420A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RC Celta</w:t>
            </w:r>
          </w:p>
        </w:tc>
        <w:tc>
          <w:tcPr>
            <w:tcW w:w="1451" w:type="dxa"/>
            <w:noWrap/>
            <w:hideMark/>
          </w:tcPr>
          <w:p w14:paraId="1024E51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447300</w:t>
            </w:r>
          </w:p>
        </w:tc>
        <w:tc>
          <w:tcPr>
            <w:tcW w:w="1080" w:type="dxa"/>
            <w:noWrap/>
            <w:hideMark/>
          </w:tcPr>
          <w:p w14:paraId="7276191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114341" w:rsidRPr="00114341" w14:paraId="3C4DBAEC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E3289A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33D8936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Valladolid CF</w:t>
            </w:r>
          </w:p>
        </w:tc>
        <w:tc>
          <w:tcPr>
            <w:tcW w:w="1451" w:type="dxa"/>
            <w:noWrap/>
            <w:hideMark/>
          </w:tcPr>
          <w:p w14:paraId="169BC34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435000</w:t>
            </w:r>
          </w:p>
        </w:tc>
        <w:tc>
          <w:tcPr>
            <w:tcW w:w="1080" w:type="dxa"/>
            <w:noWrap/>
            <w:hideMark/>
          </w:tcPr>
          <w:p w14:paraId="709FC4C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114341" w:rsidRPr="00114341" w14:paraId="73486AA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D08D07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2632522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SD Huesca</w:t>
            </w:r>
          </w:p>
        </w:tc>
        <w:tc>
          <w:tcPr>
            <w:tcW w:w="1451" w:type="dxa"/>
            <w:noWrap/>
            <w:hideMark/>
          </w:tcPr>
          <w:p w14:paraId="7387663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345000</w:t>
            </w:r>
          </w:p>
        </w:tc>
        <w:tc>
          <w:tcPr>
            <w:tcW w:w="1080" w:type="dxa"/>
            <w:noWrap/>
            <w:hideMark/>
          </w:tcPr>
          <w:p w14:paraId="2C69D62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114341" w:rsidRPr="00114341" w14:paraId="3F3F25AC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C30917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2640" w:type="dxa"/>
            <w:noWrap/>
            <w:hideMark/>
          </w:tcPr>
          <w:p w14:paraId="2E4A35F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Elche CF</w:t>
            </w:r>
          </w:p>
        </w:tc>
        <w:tc>
          <w:tcPr>
            <w:tcW w:w="1451" w:type="dxa"/>
            <w:noWrap/>
            <w:hideMark/>
          </w:tcPr>
          <w:p w14:paraId="7004F82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208950</w:t>
            </w:r>
          </w:p>
        </w:tc>
        <w:tc>
          <w:tcPr>
            <w:tcW w:w="1080" w:type="dxa"/>
            <w:noWrap/>
            <w:hideMark/>
          </w:tcPr>
          <w:p w14:paraId="09AFFB0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114341" w:rsidRPr="00114341" w14:paraId="160DE4A1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4950C4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1505D77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Bayern München</w:t>
            </w:r>
          </w:p>
        </w:tc>
        <w:tc>
          <w:tcPr>
            <w:tcW w:w="1451" w:type="dxa"/>
            <w:noWrap/>
            <w:hideMark/>
          </w:tcPr>
          <w:p w14:paraId="1C28B77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1802000</w:t>
            </w:r>
          </w:p>
        </w:tc>
        <w:tc>
          <w:tcPr>
            <w:tcW w:w="1080" w:type="dxa"/>
            <w:noWrap/>
            <w:hideMark/>
          </w:tcPr>
          <w:p w14:paraId="61124C8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14341" w:rsidRPr="00114341" w14:paraId="3D8B3B4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E08C05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20C6B66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Borussia Dortmund</w:t>
            </w:r>
          </w:p>
        </w:tc>
        <w:tc>
          <w:tcPr>
            <w:tcW w:w="1451" w:type="dxa"/>
            <w:noWrap/>
            <w:hideMark/>
          </w:tcPr>
          <w:p w14:paraId="024F374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1314000</w:t>
            </w:r>
          </w:p>
        </w:tc>
        <w:tc>
          <w:tcPr>
            <w:tcW w:w="1080" w:type="dxa"/>
            <w:noWrap/>
            <w:hideMark/>
          </w:tcPr>
          <w:p w14:paraId="34084D5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14341" w:rsidRPr="00114341" w14:paraId="74DCDD1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16DE04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0F4189D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Bayer 04 Leverkusen</w:t>
            </w:r>
          </w:p>
        </w:tc>
        <w:tc>
          <w:tcPr>
            <w:tcW w:w="1451" w:type="dxa"/>
            <w:noWrap/>
            <w:hideMark/>
          </w:tcPr>
          <w:p w14:paraId="6052B21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1230000</w:t>
            </w:r>
          </w:p>
        </w:tc>
        <w:tc>
          <w:tcPr>
            <w:tcW w:w="1080" w:type="dxa"/>
            <w:noWrap/>
            <w:hideMark/>
          </w:tcPr>
          <w:p w14:paraId="5F87B94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14341" w:rsidRPr="00114341" w14:paraId="62629589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819DF6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739CEAA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RB Leipzig</w:t>
            </w:r>
          </w:p>
        </w:tc>
        <w:tc>
          <w:tcPr>
            <w:tcW w:w="1451" w:type="dxa"/>
            <w:noWrap/>
            <w:hideMark/>
          </w:tcPr>
          <w:p w14:paraId="65E3004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1044550</w:t>
            </w:r>
          </w:p>
        </w:tc>
        <w:tc>
          <w:tcPr>
            <w:tcW w:w="1080" w:type="dxa"/>
            <w:noWrap/>
            <w:hideMark/>
          </w:tcPr>
          <w:p w14:paraId="508D938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14341" w:rsidRPr="00114341" w14:paraId="33C20A8B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B0F98A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205F865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VfL Wolfsburg</w:t>
            </w:r>
          </w:p>
        </w:tc>
        <w:tc>
          <w:tcPr>
            <w:tcW w:w="1451" w:type="dxa"/>
            <w:noWrap/>
            <w:hideMark/>
          </w:tcPr>
          <w:p w14:paraId="0BB0E13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888000</w:t>
            </w:r>
          </w:p>
        </w:tc>
        <w:tc>
          <w:tcPr>
            <w:tcW w:w="1080" w:type="dxa"/>
            <w:noWrap/>
            <w:hideMark/>
          </w:tcPr>
          <w:p w14:paraId="1BBCC44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14341" w:rsidRPr="00114341" w14:paraId="765E8E9E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61B45E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4F5636E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Borussia Mönchengladbach</w:t>
            </w:r>
          </w:p>
        </w:tc>
        <w:tc>
          <w:tcPr>
            <w:tcW w:w="1451" w:type="dxa"/>
            <w:noWrap/>
            <w:hideMark/>
          </w:tcPr>
          <w:p w14:paraId="39849F9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854600</w:t>
            </w:r>
          </w:p>
        </w:tc>
        <w:tc>
          <w:tcPr>
            <w:tcW w:w="1080" w:type="dxa"/>
            <w:noWrap/>
            <w:hideMark/>
          </w:tcPr>
          <w:p w14:paraId="2FEB711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14341" w:rsidRPr="00114341" w14:paraId="364DE8CA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49228A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162D6B4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Hertha BSC</w:t>
            </w:r>
          </w:p>
        </w:tc>
        <w:tc>
          <w:tcPr>
            <w:tcW w:w="1451" w:type="dxa"/>
            <w:noWrap/>
            <w:hideMark/>
          </w:tcPr>
          <w:p w14:paraId="67784A0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769500</w:t>
            </w:r>
          </w:p>
        </w:tc>
        <w:tc>
          <w:tcPr>
            <w:tcW w:w="1080" w:type="dxa"/>
            <w:noWrap/>
            <w:hideMark/>
          </w:tcPr>
          <w:p w14:paraId="0CBC7E8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14341" w:rsidRPr="00114341" w14:paraId="72102185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5E863A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1F42CD9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TSG 1899 Hoffenheim</w:t>
            </w:r>
          </w:p>
        </w:tc>
        <w:tc>
          <w:tcPr>
            <w:tcW w:w="1451" w:type="dxa"/>
            <w:noWrap/>
            <w:hideMark/>
          </w:tcPr>
          <w:p w14:paraId="60D5D2E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725000</w:t>
            </w:r>
          </w:p>
        </w:tc>
        <w:tc>
          <w:tcPr>
            <w:tcW w:w="1080" w:type="dxa"/>
            <w:noWrap/>
            <w:hideMark/>
          </w:tcPr>
          <w:p w14:paraId="0607BDF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14341" w:rsidRPr="00114341" w14:paraId="34C126DB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FE2D54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6C1C658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Eintracht Frankfurt</w:t>
            </w:r>
          </w:p>
        </w:tc>
        <w:tc>
          <w:tcPr>
            <w:tcW w:w="1451" w:type="dxa"/>
            <w:noWrap/>
            <w:hideMark/>
          </w:tcPr>
          <w:p w14:paraId="18708F9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585000</w:t>
            </w:r>
          </w:p>
        </w:tc>
        <w:tc>
          <w:tcPr>
            <w:tcW w:w="1080" w:type="dxa"/>
            <w:noWrap/>
            <w:hideMark/>
          </w:tcPr>
          <w:p w14:paraId="314164B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14341" w:rsidRPr="00114341" w14:paraId="48174C1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0FC74C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2017D7B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Schalke 04</w:t>
            </w:r>
          </w:p>
        </w:tc>
        <w:tc>
          <w:tcPr>
            <w:tcW w:w="1451" w:type="dxa"/>
            <w:noWrap/>
            <w:hideMark/>
          </w:tcPr>
          <w:p w14:paraId="4DBC86B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505000</w:t>
            </w:r>
          </w:p>
        </w:tc>
        <w:tc>
          <w:tcPr>
            <w:tcW w:w="1080" w:type="dxa"/>
            <w:noWrap/>
            <w:hideMark/>
          </w:tcPr>
          <w:p w14:paraId="5489DE0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14341" w:rsidRPr="00114341" w14:paraId="0C20A60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0CF0C3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621539A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Augsburg</w:t>
            </w:r>
          </w:p>
        </w:tc>
        <w:tc>
          <w:tcPr>
            <w:tcW w:w="1451" w:type="dxa"/>
            <w:noWrap/>
            <w:hideMark/>
          </w:tcPr>
          <w:p w14:paraId="6350BB8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504000</w:t>
            </w:r>
          </w:p>
        </w:tc>
        <w:tc>
          <w:tcPr>
            <w:tcW w:w="1080" w:type="dxa"/>
            <w:noWrap/>
            <w:hideMark/>
          </w:tcPr>
          <w:p w14:paraId="2B37861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4EA495C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B8D594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58A75F6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SV Werder Bremen</w:t>
            </w:r>
          </w:p>
        </w:tc>
        <w:tc>
          <w:tcPr>
            <w:tcW w:w="1451" w:type="dxa"/>
            <w:noWrap/>
            <w:hideMark/>
          </w:tcPr>
          <w:p w14:paraId="28048F8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502000</w:t>
            </w:r>
          </w:p>
        </w:tc>
        <w:tc>
          <w:tcPr>
            <w:tcW w:w="1080" w:type="dxa"/>
            <w:noWrap/>
            <w:hideMark/>
          </w:tcPr>
          <w:p w14:paraId="5202C0A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114341" w:rsidRPr="00114341" w14:paraId="1ADA9A6E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B12394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252D022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FC Köln</w:t>
            </w:r>
          </w:p>
        </w:tc>
        <w:tc>
          <w:tcPr>
            <w:tcW w:w="1451" w:type="dxa"/>
            <w:noWrap/>
            <w:hideMark/>
          </w:tcPr>
          <w:p w14:paraId="4AB99C4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456000</w:t>
            </w:r>
          </w:p>
        </w:tc>
        <w:tc>
          <w:tcPr>
            <w:tcW w:w="1080" w:type="dxa"/>
            <w:noWrap/>
            <w:hideMark/>
          </w:tcPr>
          <w:p w14:paraId="4DADAD3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114341" w:rsidRPr="00114341" w14:paraId="6F0FC84A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F632F1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German 1. Bundesliga</w:t>
            </w:r>
          </w:p>
        </w:tc>
        <w:tc>
          <w:tcPr>
            <w:tcW w:w="2640" w:type="dxa"/>
            <w:noWrap/>
            <w:hideMark/>
          </w:tcPr>
          <w:p w14:paraId="2B11BFD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 Freiburg</w:t>
            </w:r>
          </w:p>
        </w:tc>
        <w:tc>
          <w:tcPr>
            <w:tcW w:w="1451" w:type="dxa"/>
            <w:noWrap/>
            <w:hideMark/>
          </w:tcPr>
          <w:p w14:paraId="62F8C5E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448000</w:t>
            </w:r>
          </w:p>
        </w:tc>
        <w:tc>
          <w:tcPr>
            <w:tcW w:w="1080" w:type="dxa"/>
            <w:noWrap/>
            <w:hideMark/>
          </w:tcPr>
          <w:p w14:paraId="7CCD67B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14341" w:rsidRPr="00114341" w14:paraId="4960AE7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B83BAB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179FC83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FSV Mainz 05</w:t>
            </w:r>
          </w:p>
        </w:tc>
        <w:tc>
          <w:tcPr>
            <w:tcW w:w="1451" w:type="dxa"/>
            <w:noWrap/>
            <w:hideMark/>
          </w:tcPr>
          <w:p w14:paraId="67D1B55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448000</w:t>
            </w:r>
          </w:p>
        </w:tc>
        <w:tc>
          <w:tcPr>
            <w:tcW w:w="1080" w:type="dxa"/>
            <w:noWrap/>
            <w:hideMark/>
          </w:tcPr>
          <w:p w14:paraId="7327652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14341" w:rsidRPr="00114341" w14:paraId="392BF361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D11B35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4B190B1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FC Union Berlin</w:t>
            </w:r>
          </w:p>
        </w:tc>
        <w:tc>
          <w:tcPr>
            <w:tcW w:w="1451" w:type="dxa"/>
            <w:noWrap/>
            <w:hideMark/>
          </w:tcPr>
          <w:p w14:paraId="1ACB0A9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440600</w:t>
            </w:r>
          </w:p>
        </w:tc>
        <w:tc>
          <w:tcPr>
            <w:tcW w:w="1080" w:type="dxa"/>
            <w:noWrap/>
            <w:hideMark/>
          </w:tcPr>
          <w:p w14:paraId="7A62BE5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114341" w:rsidRPr="00114341" w14:paraId="2BAA5A2A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624B4D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293B805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VfB Stuttgart</w:t>
            </w:r>
          </w:p>
        </w:tc>
        <w:tc>
          <w:tcPr>
            <w:tcW w:w="1451" w:type="dxa"/>
            <w:noWrap/>
            <w:hideMark/>
          </w:tcPr>
          <w:p w14:paraId="6AB66AD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361300</w:t>
            </w:r>
          </w:p>
        </w:tc>
        <w:tc>
          <w:tcPr>
            <w:tcW w:w="1080" w:type="dxa"/>
            <w:noWrap/>
            <w:hideMark/>
          </w:tcPr>
          <w:p w14:paraId="732D4B3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114341" w:rsidRPr="00114341" w14:paraId="5723FC3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151BC1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2640" w:type="dxa"/>
            <w:noWrap/>
            <w:hideMark/>
          </w:tcPr>
          <w:p w14:paraId="77AADA4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DSC Arminia Bielefeld</w:t>
            </w:r>
          </w:p>
        </w:tc>
        <w:tc>
          <w:tcPr>
            <w:tcW w:w="1451" w:type="dxa"/>
            <w:noWrap/>
            <w:hideMark/>
          </w:tcPr>
          <w:p w14:paraId="7085FBD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315000</w:t>
            </w:r>
          </w:p>
        </w:tc>
        <w:tc>
          <w:tcPr>
            <w:tcW w:w="1080" w:type="dxa"/>
            <w:noWrap/>
            <w:hideMark/>
          </w:tcPr>
          <w:p w14:paraId="5F1C2E2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114341" w:rsidRPr="00114341" w14:paraId="2301ABCD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A8FA69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13F6DC2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Paris Saint-Germain</w:t>
            </w:r>
          </w:p>
        </w:tc>
        <w:tc>
          <w:tcPr>
            <w:tcW w:w="1451" w:type="dxa"/>
            <w:noWrap/>
            <w:hideMark/>
          </w:tcPr>
          <w:p w14:paraId="006984B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2125550</w:t>
            </w:r>
          </w:p>
        </w:tc>
        <w:tc>
          <w:tcPr>
            <w:tcW w:w="1080" w:type="dxa"/>
            <w:noWrap/>
            <w:hideMark/>
          </w:tcPr>
          <w:p w14:paraId="6B15163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14341" w:rsidRPr="00114341" w14:paraId="407216A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228905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393654A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 Monaco</w:t>
            </w:r>
          </w:p>
        </w:tc>
        <w:tc>
          <w:tcPr>
            <w:tcW w:w="1451" w:type="dxa"/>
            <w:noWrap/>
            <w:hideMark/>
          </w:tcPr>
          <w:p w14:paraId="7459D4C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1054000</w:t>
            </w:r>
          </w:p>
        </w:tc>
        <w:tc>
          <w:tcPr>
            <w:tcW w:w="1080" w:type="dxa"/>
            <w:noWrap/>
            <w:hideMark/>
          </w:tcPr>
          <w:p w14:paraId="354558F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14341" w:rsidRPr="00114341" w14:paraId="6C33617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3DBDD3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54C3151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Olympique Lyonnais</w:t>
            </w:r>
          </w:p>
        </w:tc>
        <w:tc>
          <w:tcPr>
            <w:tcW w:w="1451" w:type="dxa"/>
            <w:noWrap/>
            <w:hideMark/>
          </w:tcPr>
          <w:p w14:paraId="5B0D32E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1004000</w:t>
            </w:r>
          </w:p>
        </w:tc>
        <w:tc>
          <w:tcPr>
            <w:tcW w:w="1080" w:type="dxa"/>
            <w:noWrap/>
            <w:hideMark/>
          </w:tcPr>
          <w:p w14:paraId="2465B09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14341" w:rsidRPr="00114341" w14:paraId="1FBCE36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A2E4A2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2CDF77D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Olympique de Marseille</w:t>
            </w:r>
          </w:p>
        </w:tc>
        <w:tc>
          <w:tcPr>
            <w:tcW w:w="1451" w:type="dxa"/>
            <w:noWrap/>
            <w:hideMark/>
          </w:tcPr>
          <w:p w14:paraId="1405130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780950</w:t>
            </w:r>
          </w:p>
        </w:tc>
        <w:tc>
          <w:tcPr>
            <w:tcW w:w="1080" w:type="dxa"/>
            <w:noWrap/>
            <w:hideMark/>
          </w:tcPr>
          <w:p w14:paraId="21B7B58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14341" w:rsidRPr="00114341" w14:paraId="35C905B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C6C9F9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5E332E0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Stade Rennais FC</w:t>
            </w:r>
          </w:p>
        </w:tc>
        <w:tc>
          <w:tcPr>
            <w:tcW w:w="1451" w:type="dxa"/>
            <w:noWrap/>
            <w:hideMark/>
          </w:tcPr>
          <w:p w14:paraId="6C79E25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749000</w:t>
            </w:r>
          </w:p>
        </w:tc>
        <w:tc>
          <w:tcPr>
            <w:tcW w:w="1080" w:type="dxa"/>
            <w:noWrap/>
            <w:hideMark/>
          </w:tcPr>
          <w:p w14:paraId="1AEDF47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14341" w:rsidRPr="00114341" w14:paraId="73A38F8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BEC76E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399A2B5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LOSC Lille</w:t>
            </w:r>
          </w:p>
        </w:tc>
        <w:tc>
          <w:tcPr>
            <w:tcW w:w="1451" w:type="dxa"/>
            <w:noWrap/>
            <w:hideMark/>
          </w:tcPr>
          <w:p w14:paraId="6A7DCE6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587150</w:t>
            </w:r>
          </w:p>
        </w:tc>
        <w:tc>
          <w:tcPr>
            <w:tcW w:w="1080" w:type="dxa"/>
            <w:noWrap/>
            <w:hideMark/>
          </w:tcPr>
          <w:p w14:paraId="7764DDF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14341" w:rsidRPr="00114341" w14:paraId="2681266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4C5858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089F9BE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OGC Nice</w:t>
            </w:r>
          </w:p>
        </w:tc>
        <w:tc>
          <w:tcPr>
            <w:tcW w:w="1451" w:type="dxa"/>
            <w:noWrap/>
            <w:hideMark/>
          </w:tcPr>
          <w:p w14:paraId="6E2BBD6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546000</w:t>
            </w:r>
          </w:p>
        </w:tc>
        <w:tc>
          <w:tcPr>
            <w:tcW w:w="1080" w:type="dxa"/>
            <w:noWrap/>
            <w:hideMark/>
          </w:tcPr>
          <w:p w14:paraId="1F0F3C1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14341" w:rsidRPr="00114341" w14:paraId="3085BB85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3AC2F4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3F9E0D5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Girondins de Bordeaux</w:t>
            </w:r>
          </w:p>
        </w:tc>
        <w:tc>
          <w:tcPr>
            <w:tcW w:w="1451" w:type="dxa"/>
            <w:noWrap/>
            <w:hideMark/>
          </w:tcPr>
          <w:p w14:paraId="2D734B1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534000</w:t>
            </w:r>
          </w:p>
        </w:tc>
        <w:tc>
          <w:tcPr>
            <w:tcW w:w="1080" w:type="dxa"/>
            <w:noWrap/>
            <w:hideMark/>
          </w:tcPr>
          <w:p w14:paraId="3B1505A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14341" w:rsidRPr="00114341" w14:paraId="6559BC8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577A27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29A0EEE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Racing Club de Lens</w:t>
            </w:r>
          </w:p>
        </w:tc>
        <w:tc>
          <w:tcPr>
            <w:tcW w:w="1451" w:type="dxa"/>
            <w:noWrap/>
            <w:hideMark/>
          </w:tcPr>
          <w:p w14:paraId="1DF9B97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1080" w:type="dxa"/>
            <w:noWrap/>
            <w:hideMark/>
          </w:tcPr>
          <w:p w14:paraId="104C976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14341" w:rsidRPr="00114341" w14:paraId="3A120FF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EA1C2D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5EBD408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Montpellier HSC</w:t>
            </w:r>
          </w:p>
        </w:tc>
        <w:tc>
          <w:tcPr>
            <w:tcW w:w="1451" w:type="dxa"/>
            <w:noWrap/>
            <w:hideMark/>
          </w:tcPr>
          <w:p w14:paraId="1D611CE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487000</w:t>
            </w:r>
          </w:p>
        </w:tc>
        <w:tc>
          <w:tcPr>
            <w:tcW w:w="1080" w:type="dxa"/>
            <w:noWrap/>
            <w:hideMark/>
          </w:tcPr>
          <w:p w14:paraId="319EF46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14341" w:rsidRPr="00114341" w14:paraId="68604C6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1FC6C8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2BDD189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 Saint-Étienne</w:t>
            </w:r>
          </w:p>
        </w:tc>
        <w:tc>
          <w:tcPr>
            <w:tcW w:w="1451" w:type="dxa"/>
            <w:noWrap/>
            <w:hideMark/>
          </w:tcPr>
          <w:p w14:paraId="5C04471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433100</w:t>
            </w:r>
          </w:p>
        </w:tc>
        <w:tc>
          <w:tcPr>
            <w:tcW w:w="1080" w:type="dxa"/>
            <w:noWrap/>
            <w:hideMark/>
          </w:tcPr>
          <w:p w14:paraId="2B293EF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037E8DC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15F4B9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4FE34FE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RC Strasbourg Alsace</w:t>
            </w:r>
          </w:p>
        </w:tc>
        <w:tc>
          <w:tcPr>
            <w:tcW w:w="1451" w:type="dxa"/>
            <w:noWrap/>
            <w:hideMark/>
          </w:tcPr>
          <w:p w14:paraId="5E7CE9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415000</w:t>
            </w:r>
          </w:p>
        </w:tc>
        <w:tc>
          <w:tcPr>
            <w:tcW w:w="1080" w:type="dxa"/>
            <w:noWrap/>
            <w:hideMark/>
          </w:tcPr>
          <w:p w14:paraId="7927B60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114341" w:rsidRPr="00114341" w14:paraId="0D6F42D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911A1F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24808EE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Nantes</w:t>
            </w:r>
          </w:p>
        </w:tc>
        <w:tc>
          <w:tcPr>
            <w:tcW w:w="1451" w:type="dxa"/>
            <w:noWrap/>
            <w:hideMark/>
          </w:tcPr>
          <w:p w14:paraId="72F6F08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404000</w:t>
            </w:r>
          </w:p>
        </w:tc>
        <w:tc>
          <w:tcPr>
            <w:tcW w:w="1080" w:type="dxa"/>
            <w:noWrap/>
            <w:hideMark/>
          </w:tcPr>
          <w:p w14:paraId="06768F9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114341" w:rsidRPr="00114341" w14:paraId="20B8EB8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063E15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12C77E2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Angers SCO</w:t>
            </w:r>
          </w:p>
        </w:tc>
        <w:tc>
          <w:tcPr>
            <w:tcW w:w="1451" w:type="dxa"/>
            <w:noWrap/>
            <w:hideMark/>
          </w:tcPr>
          <w:p w14:paraId="0A403C1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1080" w:type="dxa"/>
            <w:noWrap/>
            <w:hideMark/>
          </w:tcPr>
          <w:p w14:paraId="5D4E525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14341" w:rsidRPr="00114341" w14:paraId="3C6C56B9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12FD6D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535185D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Stade de Reims</w:t>
            </w:r>
          </w:p>
        </w:tc>
        <w:tc>
          <w:tcPr>
            <w:tcW w:w="1451" w:type="dxa"/>
            <w:noWrap/>
            <w:hideMark/>
          </w:tcPr>
          <w:p w14:paraId="798868A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1080" w:type="dxa"/>
            <w:noWrap/>
            <w:hideMark/>
          </w:tcPr>
          <w:p w14:paraId="012325C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114341" w:rsidRPr="00114341" w14:paraId="75B8C43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347C97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1409438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Lorient</w:t>
            </w:r>
          </w:p>
        </w:tc>
        <w:tc>
          <w:tcPr>
            <w:tcW w:w="1451" w:type="dxa"/>
            <w:noWrap/>
            <w:hideMark/>
          </w:tcPr>
          <w:p w14:paraId="4271908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1080" w:type="dxa"/>
            <w:noWrap/>
            <w:hideMark/>
          </w:tcPr>
          <w:p w14:paraId="19C355A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114341" w:rsidRPr="00114341" w14:paraId="6D38D2FD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C4D9F0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58DA5FA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Metz</w:t>
            </w:r>
          </w:p>
        </w:tc>
        <w:tc>
          <w:tcPr>
            <w:tcW w:w="1451" w:type="dxa"/>
            <w:noWrap/>
            <w:hideMark/>
          </w:tcPr>
          <w:p w14:paraId="4C94658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291500</w:t>
            </w:r>
          </w:p>
        </w:tc>
        <w:tc>
          <w:tcPr>
            <w:tcW w:w="1080" w:type="dxa"/>
            <w:noWrap/>
            <w:hideMark/>
          </w:tcPr>
          <w:p w14:paraId="7407E06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114341" w:rsidRPr="00114341" w14:paraId="6DCAC1F0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803329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6DB990D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Nîmes Olympique</w:t>
            </w:r>
          </w:p>
        </w:tc>
        <w:tc>
          <w:tcPr>
            <w:tcW w:w="1451" w:type="dxa"/>
            <w:noWrap/>
            <w:hideMark/>
          </w:tcPr>
          <w:p w14:paraId="02F77AB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286000</w:t>
            </w:r>
          </w:p>
        </w:tc>
        <w:tc>
          <w:tcPr>
            <w:tcW w:w="1080" w:type="dxa"/>
            <w:noWrap/>
            <w:hideMark/>
          </w:tcPr>
          <w:p w14:paraId="6B2B0E2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114341" w:rsidRPr="00114341" w14:paraId="74C8D95C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67F07F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2260E78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Stade Brestois 29</w:t>
            </w:r>
          </w:p>
        </w:tc>
        <w:tc>
          <w:tcPr>
            <w:tcW w:w="1451" w:type="dxa"/>
            <w:noWrap/>
            <w:hideMark/>
          </w:tcPr>
          <w:p w14:paraId="7A9F996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243000</w:t>
            </w:r>
          </w:p>
        </w:tc>
        <w:tc>
          <w:tcPr>
            <w:tcW w:w="1080" w:type="dxa"/>
            <w:noWrap/>
            <w:hideMark/>
          </w:tcPr>
          <w:p w14:paraId="57CD29C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114341" w:rsidRPr="00114341" w14:paraId="3467DBC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8479A5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2640" w:type="dxa"/>
            <w:noWrap/>
            <w:hideMark/>
          </w:tcPr>
          <w:p w14:paraId="4DF9595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Dijon FCO</w:t>
            </w:r>
          </w:p>
        </w:tc>
        <w:tc>
          <w:tcPr>
            <w:tcW w:w="1451" w:type="dxa"/>
            <w:noWrap/>
            <w:hideMark/>
          </w:tcPr>
          <w:p w14:paraId="71E4647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183100</w:t>
            </w:r>
          </w:p>
        </w:tc>
        <w:tc>
          <w:tcPr>
            <w:tcW w:w="1080" w:type="dxa"/>
            <w:noWrap/>
            <w:hideMark/>
          </w:tcPr>
          <w:p w14:paraId="61EF4CF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114341" w:rsidRPr="00114341" w14:paraId="355B0FF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F66F81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7C47ACC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City</w:t>
            </w:r>
          </w:p>
        </w:tc>
        <w:tc>
          <w:tcPr>
            <w:tcW w:w="1451" w:type="dxa"/>
            <w:noWrap/>
            <w:hideMark/>
          </w:tcPr>
          <w:p w14:paraId="64BBE06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3765000</w:t>
            </w:r>
          </w:p>
        </w:tc>
        <w:tc>
          <w:tcPr>
            <w:tcW w:w="1080" w:type="dxa"/>
            <w:noWrap/>
            <w:hideMark/>
          </w:tcPr>
          <w:p w14:paraId="169D8D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14341" w:rsidRPr="00114341" w14:paraId="0F0B433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17F960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16AA44B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Liverpool</w:t>
            </w:r>
          </w:p>
        </w:tc>
        <w:tc>
          <w:tcPr>
            <w:tcW w:w="1451" w:type="dxa"/>
            <w:noWrap/>
            <w:hideMark/>
          </w:tcPr>
          <w:p w14:paraId="1D1BA5C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3154000</w:t>
            </w:r>
          </w:p>
        </w:tc>
        <w:tc>
          <w:tcPr>
            <w:tcW w:w="1080" w:type="dxa"/>
            <w:noWrap/>
            <w:hideMark/>
          </w:tcPr>
          <w:p w14:paraId="48B2D1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14341" w:rsidRPr="00114341" w14:paraId="07C1279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E1F7D6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591A0CF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Manchester United</w:t>
            </w:r>
          </w:p>
        </w:tc>
        <w:tc>
          <w:tcPr>
            <w:tcW w:w="1451" w:type="dxa"/>
            <w:noWrap/>
            <w:hideMark/>
          </w:tcPr>
          <w:p w14:paraId="57703C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2950000</w:t>
            </w:r>
          </w:p>
        </w:tc>
        <w:tc>
          <w:tcPr>
            <w:tcW w:w="1080" w:type="dxa"/>
            <w:noWrap/>
            <w:hideMark/>
          </w:tcPr>
          <w:p w14:paraId="07DEC1E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14341" w:rsidRPr="00114341" w14:paraId="04AD39CC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818849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7FA2E87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Chelsea</w:t>
            </w:r>
          </w:p>
        </w:tc>
        <w:tc>
          <w:tcPr>
            <w:tcW w:w="1451" w:type="dxa"/>
            <w:noWrap/>
            <w:hideMark/>
          </w:tcPr>
          <w:p w14:paraId="27BE3BF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2698000</w:t>
            </w:r>
          </w:p>
        </w:tc>
        <w:tc>
          <w:tcPr>
            <w:tcW w:w="1080" w:type="dxa"/>
            <w:noWrap/>
            <w:hideMark/>
          </w:tcPr>
          <w:p w14:paraId="480F0E8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14341" w:rsidRPr="00114341" w14:paraId="2C47827C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48EF80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7BCE628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Tottenham Hotspur</w:t>
            </w:r>
          </w:p>
        </w:tc>
        <w:tc>
          <w:tcPr>
            <w:tcW w:w="1451" w:type="dxa"/>
            <w:noWrap/>
            <w:hideMark/>
          </w:tcPr>
          <w:p w14:paraId="37A7FA5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2542000</w:t>
            </w:r>
          </w:p>
        </w:tc>
        <w:tc>
          <w:tcPr>
            <w:tcW w:w="1080" w:type="dxa"/>
            <w:noWrap/>
            <w:hideMark/>
          </w:tcPr>
          <w:p w14:paraId="423CA9B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14341" w:rsidRPr="00114341" w14:paraId="1F8D57E9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E65A0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2BDC2BD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Arsenal</w:t>
            </w:r>
          </w:p>
        </w:tc>
        <w:tc>
          <w:tcPr>
            <w:tcW w:w="1451" w:type="dxa"/>
            <w:noWrap/>
            <w:hideMark/>
          </w:tcPr>
          <w:p w14:paraId="388AE5B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2046000</w:t>
            </w:r>
          </w:p>
        </w:tc>
        <w:tc>
          <w:tcPr>
            <w:tcW w:w="1080" w:type="dxa"/>
            <w:noWrap/>
            <w:hideMark/>
          </w:tcPr>
          <w:p w14:paraId="439AAA8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14341" w:rsidRPr="00114341" w14:paraId="7006E91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C724F1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English Premier League</w:t>
            </w:r>
          </w:p>
        </w:tc>
        <w:tc>
          <w:tcPr>
            <w:tcW w:w="2640" w:type="dxa"/>
            <w:noWrap/>
            <w:hideMark/>
          </w:tcPr>
          <w:p w14:paraId="1850660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Leicester City</w:t>
            </w:r>
          </w:p>
        </w:tc>
        <w:tc>
          <w:tcPr>
            <w:tcW w:w="1451" w:type="dxa"/>
            <w:noWrap/>
            <w:hideMark/>
          </w:tcPr>
          <w:p w14:paraId="5F677B2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1981000</w:t>
            </w:r>
          </w:p>
        </w:tc>
        <w:tc>
          <w:tcPr>
            <w:tcW w:w="1080" w:type="dxa"/>
            <w:noWrap/>
            <w:hideMark/>
          </w:tcPr>
          <w:p w14:paraId="1FED5C9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14341" w:rsidRPr="00114341" w14:paraId="5446B80D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42A2E4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713EB99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Everton</w:t>
            </w:r>
          </w:p>
        </w:tc>
        <w:tc>
          <w:tcPr>
            <w:tcW w:w="1451" w:type="dxa"/>
            <w:noWrap/>
            <w:hideMark/>
          </w:tcPr>
          <w:p w14:paraId="0E63384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1872000</w:t>
            </w:r>
          </w:p>
        </w:tc>
        <w:tc>
          <w:tcPr>
            <w:tcW w:w="1080" w:type="dxa"/>
            <w:noWrap/>
            <w:hideMark/>
          </w:tcPr>
          <w:p w14:paraId="0F7345B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14341" w:rsidRPr="00114341" w14:paraId="520A6C2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80FAF8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4CCCA71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Fulham</w:t>
            </w:r>
          </w:p>
        </w:tc>
        <w:tc>
          <w:tcPr>
            <w:tcW w:w="1451" w:type="dxa"/>
            <w:noWrap/>
            <w:hideMark/>
          </w:tcPr>
          <w:p w14:paraId="623375F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1616000</w:t>
            </w:r>
          </w:p>
        </w:tc>
        <w:tc>
          <w:tcPr>
            <w:tcW w:w="1080" w:type="dxa"/>
            <w:noWrap/>
            <w:hideMark/>
          </w:tcPr>
          <w:p w14:paraId="6B41B00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14341" w:rsidRPr="00114341" w14:paraId="5FA2A3C4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4E336B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4BB790B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Wolverhampton Wanderers</w:t>
            </w:r>
          </w:p>
        </w:tc>
        <w:tc>
          <w:tcPr>
            <w:tcW w:w="1451" w:type="dxa"/>
            <w:noWrap/>
            <w:hideMark/>
          </w:tcPr>
          <w:p w14:paraId="5C3825E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1344000</w:t>
            </w:r>
          </w:p>
        </w:tc>
        <w:tc>
          <w:tcPr>
            <w:tcW w:w="1080" w:type="dxa"/>
            <w:noWrap/>
            <w:hideMark/>
          </w:tcPr>
          <w:p w14:paraId="711221A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14341" w:rsidRPr="00114341" w14:paraId="2CD5E02B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D717FC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063FCC8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Leeds United</w:t>
            </w:r>
          </w:p>
        </w:tc>
        <w:tc>
          <w:tcPr>
            <w:tcW w:w="1451" w:type="dxa"/>
            <w:noWrap/>
            <w:hideMark/>
          </w:tcPr>
          <w:p w14:paraId="5895818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1212500</w:t>
            </w:r>
          </w:p>
        </w:tc>
        <w:tc>
          <w:tcPr>
            <w:tcW w:w="1080" w:type="dxa"/>
            <w:noWrap/>
            <w:hideMark/>
          </w:tcPr>
          <w:p w14:paraId="7A97CE6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05B0256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405A59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07AF69A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West Bromwich Albion</w:t>
            </w:r>
          </w:p>
        </w:tc>
        <w:tc>
          <w:tcPr>
            <w:tcW w:w="1451" w:type="dxa"/>
            <w:noWrap/>
            <w:hideMark/>
          </w:tcPr>
          <w:p w14:paraId="6F74070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1161000</w:t>
            </w:r>
          </w:p>
        </w:tc>
        <w:tc>
          <w:tcPr>
            <w:tcW w:w="1080" w:type="dxa"/>
            <w:noWrap/>
            <w:hideMark/>
          </w:tcPr>
          <w:p w14:paraId="513F551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114341" w:rsidRPr="00114341" w14:paraId="03175607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197B64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4438EE8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Aston Villa</w:t>
            </w:r>
          </w:p>
        </w:tc>
        <w:tc>
          <w:tcPr>
            <w:tcW w:w="1451" w:type="dxa"/>
            <w:noWrap/>
            <w:hideMark/>
          </w:tcPr>
          <w:p w14:paraId="5722987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1141000</w:t>
            </w:r>
          </w:p>
        </w:tc>
        <w:tc>
          <w:tcPr>
            <w:tcW w:w="1080" w:type="dxa"/>
            <w:noWrap/>
            <w:hideMark/>
          </w:tcPr>
          <w:p w14:paraId="6540D42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114341" w:rsidRPr="00114341" w14:paraId="52111E2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14C02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4BF8108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Crystal Palace</w:t>
            </w:r>
          </w:p>
        </w:tc>
        <w:tc>
          <w:tcPr>
            <w:tcW w:w="1451" w:type="dxa"/>
            <w:noWrap/>
            <w:hideMark/>
          </w:tcPr>
          <w:p w14:paraId="069E1CE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1131000</w:t>
            </w:r>
          </w:p>
        </w:tc>
        <w:tc>
          <w:tcPr>
            <w:tcW w:w="1080" w:type="dxa"/>
            <w:noWrap/>
            <w:hideMark/>
          </w:tcPr>
          <w:p w14:paraId="7AC77C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14341" w:rsidRPr="00114341" w14:paraId="5AB9A9F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5BE16D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187EB55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Brighton &amp; Hove Albion</w:t>
            </w:r>
          </w:p>
        </w:tc>
        <w:tc>
          <w:tcPr>
            <w:tcW w:w="1451" w:type="dxa"/>
            <w:noWrap/>
            <w:hideMark/>
          </w:tcPr>
          <w:p w14:paraId="5000451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1068000</w:t>
            </w:r>
          </w:p>
        </w:tc>
        <w:tc>
          <w:tcPr>
            <w:tcW w:w="1080" w:type="dxa"/>
            <w:noWrap/>
            <w:hideMark/>
          </w:tcPr>
          <w:p w14:paraId="356765D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114341" w:rsidRPr="00114341" w14:paraId="6BF013E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FBA348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457F24E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Southampton</w:t>
            </w:r>
          </w:p>
        </w:tc>
        <w:tc>
          <w:tcPr>
            <w:tcW w:w="1451" w:type="dxa"/>
            <w:noWrap/>
            <w:hideMark/>
          </w:tcPr>
          <w:p w14:paraId="39B741F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1021000</w:t>
            </w:r>
          </w:p>
        </w:tc>
        <w:tc>
          <w:tcPr>
            <w:tcW w:w="1080" w:type="dxa"/>
            <w:noWrap/>
            <w:hideMark/>
          </w:tcPr>
          <w:p w14:paraId="466A028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114341" w:rsidRPr="00114341" w14:paraId="4F61E32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437EEA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20CBCBB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Newcastle United</w:t>
            </w:r>
          </w:p>
        </w:tc>
        <w:tc>
          <w:tcPr>
            <w:tcW w:w="1451" w:type="dxa"/>
            <w:noWrap/>
            <w:hideMark/>
          </w:tcPr>
          <w:p w14:paraId="455240B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993000</w:t>
            </w:r>
          </w:p>
        </w:tc>
        <w:tc>
          <w:tcPr>
            <w:tcW w:w="1080" w:type="dxa"/>
            <w:noWrap/>
            <w:hideMark/>
          </w:tcPr>
          <w:p w14:paraId="7F893FC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114341" w:rsidRPr="00114341" w14:paraId="19584C4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954523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32E2FC4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Burnley</w:t>
            </w:r>
          </w:p>
        </w:tc>
        <w:tc>
          <w:tcPr>
            <w:tcW w:w="1451" w:type="dxa"/>
            <w:noWrap/>
            <w:hideMark/>
          </w:tcPr>
          <w:p w14:paraId="48F4B94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926000</w:t>
            </w:r>
          </w:p>
        </w:tc>
        <w:tc>
          <w:tcPr>
            <w:tcW w:w="1080" w:type="dxa"/>
            <w:noWrap/>
            <w:hideMark/>
          </w:tcPr>
          <w:p w14:paraId="6F75E82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114341" w:rsidRPr="00114341" w14:paraId="6BFFAF7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6B73227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3AFE5E4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West Ham United</w:t>
            </w:r>
          </w:p>
        </w:tc>
        <w:tc>
          <w:tcPr>
            <w:tcW w:w="1451" w:type="dxa"/>
            <w:noWrap/>
            <w:hideMark/>
          </w:tcPr>
          <w:p w14:paraId="4B73162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850000</w:t>
            </w:r>
          </w:p>
        </w:tc>
        <w:tc>
          <w:tcPr>
            <w:tcW w:w="1080" w:type="dxa"/>
            <w:noWrap/>
            <w:hideMark/>
          </w:tcPr>
          <w:p w14:paraId="192643B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114341" w:rsidRPr="00114341" w14:paraId="695048E0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AFC7E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2640" w:type="dxa"/>
            <w:noWrap/>
            <w:hideMark/>
          </w:tcPr>
          <w:p w14:paraId="539EBB4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Sheffield United</w:t>
            </w:r>
          </w:p>
        </w:tc>
        <w:tc>
          <w:tcPr>
            <w:tcW w:w="1451" w:type="dxa"/>
            <w:noWrap/>
            <w:hideMark/>
          </w:tcPr>
          <w:p w14:paraId="0B83FAA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634000</w:t>
            </w:r>
          </w:p>
        </w:tc>
        <w:tc>
          <w:tcPr>
            <w:tcW w:w="1080" w:type="dxa"/>
            <w:noWrap/>
            <w:hideMark/>
          </w:tcPr>
          <w:p w14:paraId="61327F7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114341" w:rsidRPr="00114341" w14:paraId="3E471DFA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8089B0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0D2F693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Inter</w:t>
            </w:r>
          </w:p>
        </w:tc>
        <w:tc>
          <w:tcPr>
            <w:tcW w:w="1451" w:type="dxa"/>
            <w:noWrap/>
            <w:hideMark/>
          </w:tcPr>
          <w:p w14:paraId="6EE3C2A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2776000</w:t>
            </w:r>
          </w:p>
        </w:tc>
        <w:tc>
          <w:tcPr>
            <w:tcW w:w="1080" w:type="dxa"/>
            <w:noWrap/>
            <w:hideMark/>
          </w:tcPr>
          <w:p w14:paraId="32B0A8C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14341" w:rsidRPr="00114341" w14:paraId="7E9EEFF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955D13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7C4728A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Juventus</w:t>
            </w:r>
          </w:p>
        </w:tc>
        <w:tc>
          <w:tcPr>
            <w:tcW w:w="1451" w:type="dxa"/>
            <w:noWrap/>
            <w:hideMark/>
          </w:tcPr>
          <w:p w14:paraId="50F079E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2161000</w:t>
            </w:r>
          </w:p>
        </w:tc>
        <w:tc>
          <w:tcPr>
            <w:tcW w:w="1080" w:type="dxa"/>
            <w:noWrap/>
            <w:hideMark/>
          </w:tcPr>
          <w:p w14:paraId="34821CF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14341" w:rsidRPr="00114341" w14:paraId="5F9019AE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2690A0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02B2C86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Napoli</w:t>
            </w:r>
          </w:p>
        </w:tc>
        <w:tc>
          <w:tcPr>
            <w:tcW w:w="1451" w:type="dxa"/>
            <w:noWrap/>
            <w:hideMark/>
          </w:tcPr>
          <w:p w14:paraId="1FBDBAD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1833000</w:t>
            </w:r>
          </w:p>
        </w:tc>
        <w:tc>
          <w:tcPr>
            <w:tcW w:w="1080" w:type="dxa"/>
            <w:noWrap/>
            <w:hideMark/>
          </w:tcPr>
          <w:p w14:paraId="4CB53A7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14341" w:rsidRPr="00114341" w14:paraId="24000DC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636022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50FC5E4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Lazio</w:t>
            </w:r>
          </w:p>
        </w:tc>
        <w:tc>
          <w:tcPr>
            <w:tcW w:w="1451" w:type="dxa"/>
            <w:noWrap/>
            <w:hideMark/>
          </w:tcPr>
          <w:p w14:paraId="7CB92BF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1513000</w:t>
            </w:r>
          </w:p>
        </w:tc>
        <w:tc>
          <w:tcPr>
            <w:tcW w:w="1080" w:type="dxa"/>
            <w:noWrap/>
            <w:hideMark/>
          </w:tcPr>
          <w:p w14:paraId="66D8BE0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14341" w:rsidRPr="00114341" w14:paraId="29461C6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11C89D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2EDFF59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Atalanta</w:t>
            </w:r>
          </w:p>
        </w:tc>
        <w:tc>
          <w:tcPr>
            <w:tcW w:w="1451" w:type="dxa"/>
            <w:noWrap/>
            <w:hideMark/>
          </w:tcPr>
          <w:p w14:paraId="60DC589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1297000</w:t>
            </w:r>
          </w:p>
        </w:tc>
        <w:tc>
          <w:tcPr>
            <w:tcW w:w="1080" w:type="dxa"/>
            <w:noWrap/>
            <w:hideMark/>
          </w:tcPr>
          <w:p w14:paraId="003FC3C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14341" w:rsidRPr="00114341" w14:paraId="6012A1FA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1BC925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3A4692D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Roma</w:t>
            </w:r>
          </w:p>
        </w:tc>
        <w:tc>
          <w:tcPr>
            <w:tcW w:w="1451" w:type="dxa"/>
            <w:noWrap/>
            <w:hideMark/>
          </w:tcPr>
          <w:p w14:paraId="407CBC7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1092000</w:t>
            </w:r>
          </w:p>
        </w:tc>
        <w:tc>
          <w:tcPr>
            <w:tcW w:w="1080" w:type="dxa"/>
            <w:noWrap/>
            <w:hideMark/>
          </w:tcPr>
          <w:p w14:paraId="0C56269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14341" w:rsidRPr="00114341" w14:paraId="52C976F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5DCE61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4673B3E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Fiorentina</w:t>
            </w:r>
          </w:p>
        </w:tc>
        <w:tc>
          <w:tcPr>
            <w:tcW w:w="1451" w:type="dxa"/>
            <w:noWrap/>
            <w:hideMark/>
          </w:tcPr>
          <w:p w14:paraId="5FC9A3E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977550</w:t>
            </w:r>
          </w:p>
        </w:tc>
        <w:tc>
          <w:tcPr>
            <w:tcW w:w="1080" w:type="dxa"/>
            <w:noWrap/>
            <w:hideMark/>
          </w:tcPr>
          <w:p w14:paraId="55A26A0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14341" w:rsidRPr="00114341" w14:paraId="44F47B2E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5E5A9F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26B6201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Torino</w:t>
            </w:r>
          </w:p>
        </w:tc>
        <w:tc>
          <w:tcPr>
            <w:tcW w:w="1451" w:type="dxa"/>
            <w:noWrap/>
            <w:hideMark/>
          </w:tcPr>
          <w:p w14:paraId="33FA683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862000</w:t>
            </w:r>
          </w:p>
        </w:tc>
        <w:tc>
          <w:tcPr>
            <w:tcW w:w="1080" w:type="dxa"/>
            <w:noWrap/>
            <w:hideMark/>
          </w:tcPr>
          <w:p w14:paraId="287C55C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14341" w:rsidRPr="00114341" w14:paraId="7737BB06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7226682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4676953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Milan</w:t>
            </w:r>
          </w:p>
        </w:tc>
        <w:tc>
          <w:tcPr>
            <w:tcW w:w="1451" w:type="dxa"/>
            <w:noWrap/>
            <w:hideMark/>
          </w:tcPr>
          <w:p w14:paraId="4E46E19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807000</w:t>
            </w:r>
          </w:p>
        </w:tc>
        <w:tc>
          <w:tcPr>
            <w:tcW w:w="1080" w:type="dxa"/>
            <w:noWrap/>
            <w:hideMark/>
          </w:tcPr>
          <w:p w14:paraId="1049B88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14341" w:rsidRPr="00114341" w14:paraId="000A6225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00EBBA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4042EEA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Sassuolo</w:t>
            </w:r>
          </w:p>
        </w:tc>
        <w:tc>
          <w:tcPr>
            <w:tcW w:w="1451" w:type="dxa"/>
            <w:noWrap/>
            <w:hideMark/>
          </w:tcPr>
          <w:p w14:paraId="62C9905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589000</w:t>
            </w:r>
          </w:p>
        </w:tc>
        <w:tc>
          <w:tcPr>
            <w:tcW w:w="1080" w:type="dxa"/>
            <w:noWrap/>
            <w:hideMark/>
          </w:tcPr>
          <w:p w14:paraId="69B280F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14341" w:rsidRPr="00114341" w14:paraId="5557E66F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963D3D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75C209D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Parma</w:t>
            </w:r>
          </w:p>
        </w:tc>
        <w:tc>
          <w:tcPr>
            <w:tcW w:w="1451" w:type="dxa"/>
            <w:noWrap/>
            <w:hideMark/>
          </w:tcPr>
          <w:p w14:paraId="3000497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569000</w:t>
            </w:r>
          </w:p>
        </w:tc>
        <w:tc>
          <w:tcPr>
            <w:tcW w:w="1080" w:type="dxa"/>
            <w:noWrap/>
            <w:hideMark/>
          </w:tcPr>
          <w:p w14:paraId="160EEAF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14341" w:rsidRPr="00114341" w14:paraId="53DB2741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83003B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550B8A0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Bologna</w:t>
            </w:r>
          </w:p>
        </w:tc>
        <w:tc>
          <w:tcPr>
            <w:tcW w:w="1451" w:type="dxa"/>
            <w:noWrap/>
            <w:hideMark/>
          </w:tcPr>
          <w:p w14:paraId="36BBF74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548000</w:t>
            </w:r>
          </w:p>
        </w:tc>
        <w:tc>
          <w:tcPr>
            <w:tcW w:w="1080" w:type="dxa"/>
            <w:noWrap/>
            <w:hideMark/>
          </w:tcPr>
          <w:p w14:paraId="64094CF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114341" w:rsidRPr="00114341" w14:paraId="31138A4D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97DBBF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079F99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Cagliari</w:t>
            </w:r>
          </w:p>
        </w:tc>
        <w:tc>
          <w:tcPr>
            <w:tcW w:w="1451" w:type="dxa"/>
            <w:noWrap/>
            <w:hideMark/>
          </w:tcPr>
          <w:p w14:paraId="10BFE17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536000</w:t>
            </w:r>
          </w:p>
        </w:tc>
        <w:tc>
          <w:tcPr>
            <w:tcW w:w="1080" w:type="dxa"/>
            <w:noWrap/>
            <w:hideMark/>
          </w:tcPr>
          <w:p w14:paraId="2C39663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114341" w:rsidRPr="00114341" w14:paraId="224789D4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5AD6D8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794FF82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Hellas Verona</w:t>
            </w:r>
          </w:p>
        </w:tc>
        <w:tc>
          <w:tcPr>
            <w:tcW w:w="1451" w:type="dxa"/>
            <w:noWrap/>
            <w:hideMark/>
          </w:tcPr>
          <w:p w14:paraId="0BEF289D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466000</w:t>
            </w:r>
          </w:p>
        </w:tc>
        <w:tc>
          <w:tcPr>
            <w:tcW w:w="1080" w:type="dxa"/>
            <w:noWrap/>
            <w:hideMark/>
          </w:tcPr>
          <w:p w14:paraId="70F5D70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114341" w:rsidRPr="00114341" w14:paraId="1022215D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2D7F52C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089737B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Spezia</w:t>
            </w:r>
          </w:p>
        </w:tc>
        <w:tc>
          <w:tcPr>
            <w:tcW w:w="1451" w:type="dxa"/>
            <w:noWrap/>
            <w:hideMark/>
          </w:tcPr>
          <w:p w14:paraId="2C4153C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1080" w:type="dxa"/>
            <w:noWrap/>
            <w:hideMark/>
          </w:tcPr>
          <w:p w14:paraId="6136D8A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114341" w:rsidRPr="00114341" w14:paraId="0A830238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0866A416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Italian Serie A</w:t>
            </w:r>
          </w:p>
        </w:tc>
        <w:tc>
          <w:tcPr>
            <w:tcW w:w="2640" w:type="dxa"/>
            <w:noWrap/>
            <w:hideMark/>
          </w:tcPr>
          <w:p w14:paraId="64B1956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Udinese</w:t>
            </w:r>
          </w:p>
        </w:tc>
        <w:tc>
          <w:tcPr>
            <w:tcW w:w="1451" w:type="dxa"/>
            <w:noWrap/>
            <w:hideMark/>
          </w:tcPr>
          <w:p w14:paraId="0BBDF0E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345450</w:t>
            </w:r>
          </w:p>
        </w:tc>
        <w:tc>
          <w:tcPr>
            <w:tcW w:w="1080" w:type="dxa"/>
            <w:noWrap/>
            <w:hideMark/>
          </w:tcPr>
          <w:p w14:paraId="10CFAF4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114341" w:rsidRPr="00114341" w14:paraId="5C4D19A3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5EF8DB4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0C0066A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Genoa</w:t>
            </w:r>
          </w:p>
        </w:tc>
        <w:tc>
          <w:tcPr>
            <w:tcW w:w="1451" w:type="dxa"/>
            <w:noWrap/>
            <w:hideMark/>
          </w:tcPr>
          <w:p w14:paraId="066F72F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325700</w:t>
            </w:r>
          </w:p>
        </w:tc>
        <w:tc>
          <w:tcPr>
            <w:tcW w:w="1080" w:type="dxa"/>
            <w:noWrap/>
            <w:hideMark/>
          </w:tcPr>
          <w:p w14:paraId="7C9ADE3F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114341" w:rsidRPr="00114341" w14:paraId="1A86F37D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14DD5AB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0AED991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Sampdoria</w:t>
            </w:r>
          </w:p>
        </w:tc>
        <w:tc>
          <w:tcPr>
            <w:tcW w:w="1451" w:type="dxa"/>
            <w:noWrap/>
            <w:hideMark/>
          </w:tcPr>
          <w:p w14:paraId="5816B7D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310000</w:t>
            </w:r>
          </w:p>
        </w:tc>
        <w:tc>
          <w:tcPr>
            <w:tcW w:w="1080" w:type="dxa"/>
            <w:noWrap/>
            <w:hideMark/>
          </w:tcPr>
          <w:p w14:paraId="7A97543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114341" w:rsidRPr="00114341" w14:paraId="6B230E52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4637C1B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640FC2B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Benevento</w:t>
            </w:r>
          </w:p>
        </w:tc>
        <w:tc>
          <w:tcPr>
            <w:tcW w:w="1451" w:type="dxa"/>
            <w:noWrap/>
            <w:hideMark/>
          </w:tcPr>
          <w:p w14:paraId="4BAD4DD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285900</w:t>
            </w:r>
          </w:p>
        </w:tc>
        <w:tc>
          <w:tcPr>
            <w:tcW w:w="1080" w:type="dxa"/>
            <w:noWrap/>
            <w:hideMark/>
          </w:tcPr>
          <w:p w14:paraId="528FA11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114341" w:rsidRPr="00114341" w14:paraId="72FA1FB4" w14:textId="77777777" w:rsidTr="00114341">
        <w:trPr>
          <w:trHeight w:val="285"/>
        </w:trPr>
        <w:tc>
          <w:tcPr>
            <w:tcW w:w="2235" w:type="dxa"/>
            <w:noWrap/>
            <w:hideMark/>
          </w:tcPr>
          <w:p w14:paraId="3AE9576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2640" w:type="dxa"/>
            <w:noWrap/>
            <w:hideMark/>
          </w:tcPr>
          <w:p w14:paraId="24C9D3D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Crotone</w:t>
            </w:r>
          </w:p>
        </w:tc>
        <w:tc>
          <w:tcPr>
            <w:tcW w:w="1451" w:type="dxa"/>
            <w:noWrap/>
            <w:hideMark/>
          </w:tcPr>
          <w:p w14:paraId="6DCFDFE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150300</w:t>
            </w:r>
          </w:p>
        </w:tc>
        <w:tc>
          <w:tcPr>
            <w:tcW w:w="1080" w:type="dxa"/>
            <w:noWrap/>
            <w:hideMark/>
          </w:tcPr>
          <w:p w14:paraId="5ACC843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</w:tbl>
    <w:p w14:paraId="632C02EC" w14:textId="4B4AB5A1" w:rsidR="00023AA5" w:rsidRDefault="00023AA5" w:rsidP="005F6C82">
      <w:pPr>
        <w:rPr>
          <w:sz w:val="24"/>
          <w:szCs w:val="24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593"/>
        <w:gridCol w:w="2703"/>
      </w:tblGrid>
      <w:tr w:rsidR="00114341" w:rsidRPr="00114341" w14:paraId="089CDBA3" w14:textId="77777777" w:rsidTr="00114341">
        <w:trPr>
          <w:trHeight w:val="285"/>
        </w:trPr>
        <w:tc>
          <w:tcPr>
            <w:tcW w:w="3371" w:type="pct"/>
            <w:noWrap/>
            <w:hideMark/>
          </w:tcPr>
          <w:p w14:paraId="6E0A53E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league_name</w:t>
            </w:r>
          </w:p>
        </w:tc>
        <w:tc>
          <w:tcPr>
            <w:tcW w:w="1629" w:type="pct"/>
            <w:noWrap/>
            <w:hideMark/>
          </w:tcPr>
          <w:p w14:paraId="1D4203EA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average</w:t>
            </w:r>
          </w:p>
        </w:tc>
      </w:tr>
      <w:tr w:rsidR="00114341" w:rsidRPr="00114341" w14:paraId="4A83056D" w14:textId="77777777" w:rsidTr="00114341">
        <w:trPr>
          <w:trHeight w:val="285"/>
        </w:trPr>
        <w:tc>
          <w:tcPr>
            <w:tcW w:w="3371" w:type="pct"/>
            <w:noWrap/>
            <w:hideMark/>
          </w:tcPr>
          <w:p w14:paraId="04A2B577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1629" w:type="pct"/>
            <w:noWrap/>
            <w:hideMark/>
          </w:tcPr>
          <w:p w14:paraId="7118410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583367.5</w:t>
            </w:r>
          </w:p>
        </w:tc>
      </w:tr>
      <w:tr w:rsidR="00114341" w:rsidRPr="00114341" w14:paraId="1F9B8B73" w14:textId="77777777" w:rsidTr="00114341">
        <w:trPr>
          <w:trHeight w:val="285"/>
        </w:trPr>
        <w:tc>
          <w:tcPr>
            <w:tcW w:w="3371" w:type="pct"/>
            <w:noWrap/>
            <w:hideMark/>
          </w:tcPr>
          <w:p w14:paraId="1F7411D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1629" w:type="pct"/>
            <w:noWrap/>
            <w:hideMark/>
          </w:tcPr>
          <w:p w14:paraId="42DC7C5B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732919.4</w:t>
            </w:r>
          </w:p>
        </w:tc>
      </w:tr>
      <w:tr w:rsidR="00114341" w:rsidRPr="00114341" w14:paraId="04DF3EFE" w14:textId="77777777" w:rsidTr="00114341">
        <w:trPr>
          <w:trHeight w:val="285"/>
        </w:trPr>
        <w:tc>
          <w:tcPr>
            <w:tcW w:w="3371" w:type="pct"/>
            <w:noWrap/>
            <w:hideMark/>
          </w:tcPr>
          <w:p w14:paraId="2D416CD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1629" w:type="pct"/>
            <w:noWrap/>
            <w:hideMark/>
          </w:tcPr>
          <w:p w14:paraId="41F8E7B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890195</w:t>
            </w:r>
          </w:p>
        </w:tc>
      </w:tr>
      <w:tr w:rsidR="00114341" w:rsidRPr="00114341" w14:paraId="617DCBF5" w14:textId="77777777" w:rsidTr="00114341">
        <w:trPr>
          <w:trHeight w:val="285"/>
        </w:trPr>
        <w:tc>
          <w:tcPr>
            <w:tcW w:w="3371" w:type="pct"/>
            <w:noWrap/>
            <w:hideMark/>
          </w:tcPr>
          <w:p w14:paraId="03803705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1629" w:type="pct"/>
            <w:noWrap/>
            <w:hideMark/>
          </w:tcPr>
          <w:p w14:paraId="68CB7CC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1031533</w:t>
            </w:r>
          </w:p>
        </w:tc>
      </w:tr>
      <w:tr w:rsidR="00114341" w:rsidRPr="00114341" w14:paraId="7DEBE524" w14:textId="77777777" w:rsidTr="00114341">
        <w:trPr>
          <w:trHeight w:val="285"/>
        </w:trPr>
        <w:tc>
          <w:tcPr>
            <w:tcW w:w="3371" w:type="pct"/>
            <w:noWrap/>
            <w:hideMark/>
          </w:tcPr>
          <w:p w14:paraId="320659A9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1629" w:type="pct"/>
            <w:noWrap/>
            <w:hideMark/>
          </w:tcPr>
          <w:p w14:paraId="38AA723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1705275</w:t>
            </w:r>
          </w:p>
        </w:tc>
      </w:tr>
    </w:tbl>
    <w:p w14:paraId="0C26C645" w14:textId="2578D55B" w:rsidR="00114341" w:rsidRDefault="00114341" w:rsidP="005F6C82">
      <w:pPr>
        <w:rPr>
          <w:sz w:val="24"/>
          <w:szCs w:val="24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587"/>
        <w:gridCol w:w="2709"/>
      </w:tblGrid>
      <w:tr w:rsidR="00114341" w:rsidRPr="00114341" w14:paraId="3AA53EE6" w14:textId="77777777" w:rsidTr="00114341">
        <w:trPr>
          <w:trHeight w:val="285"/>
        </w:trPr>
        <w:tc>
          <w:tcPr>
            <w:tcW w:w="3367" w:type="pct"/>
            <w:noWrap/>
            <w:hideMark/>
          </w:tcPr>
          <w:p w14:paraId="1188B50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league_name</w:t>
            </w:r>
          </w:p>
        </w:tc>
        <w:tc>
          <w:tcPr>
            <w:tcW w:w="1633" w:type="pct"/>
            <w:noWrap/>
            <w:hideMark/>
          </w:tcPr>
          <w:p w14:paraId="44959C98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standard deviation</w:t>
            </w:r>
          </w:p>
        </w:tc>
      </w:tr>
      <w:tr w:rsidR="00114341" w:rsidRPr="00114341" w14:paraId="67A13E91" w14:textId="77777777" w:rsidTr="00114341">
        <w:trPr>
          <w:trHeight w:val="285"/>
        </w:trPr>
        <w:tc>
          <w:tcPr>
            <w:tcW w:w="3367" w:type="pct"/>
            <w:noWrap/>
            <w:hideMark/>
          </w:tcPr>
          <w:p w14:paraId="706AC290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German 1. Bundesliga</w:t>
            </w:r>
          </w:p>
        </w:tc>
        <w:tc>
          <w:tcPr>
            <w:tcW w:w="1633" w:type="pct"/>
            <w:noWrap/>
            <w:hideMark/>
          </w:tcPr>
          <w:p w14:paraId="4AB6F35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385994.7</w:t>
            </w:r>
          </w:p>
        </w:tc>
      </w:tr>
      <w:tr w:rsidR="00114341" w:rsidRPr="00114341" w14:paraId="530CE184" w14:textId="77777777" w:rsidTr="00114341">
        <w:trPr>
          <w:trHeight w:val="285"/>
        </w:trPr>
        <w:tc>
          <w:tcPr>
            <w:tcW w:w="3367" w:type="pct"/>
            <w:noWrap/>
            <w:hideMark/>
          </w:tcPr>
          <w:p w14:paraId="2FEA403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French Ligue 1</w:t>
            </w:r>
          </w:p>
        </w:tc>
        <w:tc>
          <w:tcPr>
            <w:tcW w:w="1633" w:type="pct"/>
            <w:noWrap/>
            <w:hideMark/>
          </w:tcPr>
          <w:p w14:paraId="48ADEA93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422336.4</w:t>
            </w:r>
          </w:p>
        </w:tc>
      </w:tr>
      <w:tr w:rsidR="00114341" w:rsidRPr="00114341" w14:paraId="6F34E725" w14:textId="77777777" w:rsidTr="00114341">
        <w:trPr>
          <w:trHeight w:val="285"/>
        </w:trPr>
        <w:tc>
          <w:tcPr>
            <w:tcW w:w="3367" w:type="pct"/>
            <w:noWrap/>
            <w:hideMark/>
          </w:tcPr>
          <w:p w14:paraId="3034762C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Italian Serie A</w:t>
            </w:r>
          </w:p>
        </w:tc>
        <w:tc>
          <w:tcPr>
            <w:tcW w:w="1633" w:type="pct"/>
            <w:noWrap/>
            <w:hideMark/>
          </w:tcPr>
          <w:p w14:paraId="67A63B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686719.2</w:t>
            </w:r>
          </w:p>
        </w:tc>
      </w:tr>
      <w:tr w:rsidR="00114341" w:rsidRPr="00114341" w14:paraId="291055C0" w14:textId="77777777" w:rsidTr="00114341">
        <w:trPr>
          <w:trHeight w:val="285"/>
        </w:trPr>
        <w:tc>
          <w:tcPr>
            <w:tcW w:w="3367" w:type="pct"/>
            <w:noWrap/>
            <w:hideMark/>
          </w:tcPr>
          <w:p w14:paraId="5B946CD4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English Premier League</w:t>
            </w:r>
          </w:p>
        </w:tc>
        <w:tc>
          <w:tcPr>
            <w:tcW w:w="1633" w:type="pct"/>
            <w:noWrap/>
            <w:hideMark/>
          </w:tcPr>
          <w:p w14:paraId="681FDA8E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865735.8</w:t>
            </w:r>
          </w:p>
        </w:tc>
      </w:tr>
      <w:tr w:rsidR="00114341" w:rsidRPr="00114341" w14:paraId="29C0BB04" w14:textId="77777777" w:rsidTr="00114341">
        <w:trPr>
          <w:trHeight w:val="285"/>
        </w:trPr>
        <w:tc>
          <w:tcPr>
            <w:tcW w:w="3367" w:type="pct"/>
            <w:noWrap/>
            <w:hideMark/>
          </w:tcPr>
          <w:p w14:paraId="72B66A42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Spain Primera Division</w:t>
            </w:r>
          </w:p>
        </w:tc>
        <w:tc>
          <w:tcPr>
            <w:tcW w:w="1633" w:type="pct"/>
            <w:noWrap/>
            <w:hideMark/>
          </w:tcPr>
          <w:p w14:paraId="5B175911" w14:textId="77777777" w:rsidR="00114341" w:rsidRPr="00114341" w:rsidRDefault="00114341" w:rsidP="001143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1434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1281632</w:t>
            </w:r>
          </w:p>
        </w:tc>
      </w:tr>
    </w:tbl>
    <w:p w14:paraId="0CE99B75" w14:textId="77777777" w:rsidR="00114341" w:rsidRDefault="00114341" w:rsidP="005F6C82">
      <w:pPr>
        <w:rPr>
          <w:sz w:val="24"/>
          <w:szCs w:val="24"/>
        </w:rPr>
      </w:pPr>
    </w:p>
    <w:p w14:paraId="17D13342" w14:textId="7CD86612" w:rsidR="005F6C82" w:rsidRDefault="00023AA5" w:rsidP="005F6C82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C80562">
        <w:rPr>
          <w:sz w:val="24"/>
          <w:szCs w:val="24"/>
        </w:rPr>
        <w:t xml:space="preserve">. </w:t>
      </w:r>
      <w:r w:rsidR="005F6C82">
        <w:rPr>
          <w:rFonts w:hint="eastAsia"/>
          <w:sz w:val="24"/>
          <w:szCs w:val="24"/>
        </w:rPr>
        <w:t>D</w:t>
      </w:r>
      <w:r w:rsidR="005F6C82">
        <w:rPr>
          <w:sz w:val="24"/>
          <w:szCs w:val="24"/>
        </w:rPr>
        <w:t>ata Visualization</w:t>
      </w:r>
    </w:p>
    <w:p w14:paraId="2E0954A0" w14:textId="3320F7A0" w:rsidR="005F6C82" w:rsidRPr="005F6C82" w:rsidRDefault="00883922" w:rsidP="005F6C8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C87677" wp14:editId="16F7AA7C">
            <wp:extent cx="5274310" cy="4608195"/>
            <wp:effectExtent l="0" t="0" r="2540" b="1905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E65484C1-8420-415A-8EA9-A7CF3A2270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ED39789" w14:textId="36541430" w:rsidR="00432CB4" w:rsidRDefault="008839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02215F" wp14:editId="30968E92">
            <wp:extent cx="5274310" cy="4608195"/>
            <wp:effectExtent l="0" t="0" r="2540" b="190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EA3A90AC-FDD1-4FC2-A2F2-FFF8040234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29757AB" w14:textId="7522D24A" w:rsidR="00883922" w:rsidRDefault="008839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A6581" wp14:editId="3B27AED6">
            <wp:extent cx="5274310" cy="4608195"/>
            <wp:effectExtent l="0" t="0" r="2540" b="1905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B8040202-04CB-4841-9A40-947CF28CB3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97FD1FE" w14:textId="5452B2B1" w:rsidR="00883922" w:rsidRDefault="008839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C73176" wp14:editId="249CE391">
            <wp:extent cx="5274310" cy="4608195"/>
            <wp:effectExtent l="0" t="0" r="2540" b="1905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0ABFDA63-4415-4E13-8E07-C988AF578D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39E23EB" w14:textId="34DD6768" w:rsidR="00883922" w:rsidRDefault="0088392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52287C" wp14:editId="1501BE63">
            <wp:extent cx="5274310" cy="4608195"/>
            <wp:effectExtent l="0" t="0" r="2540" b="1905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824E2617-C4BF-419A-913D-5ED0EFD886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D4D78D" w14:textId="532932E8" w:rsidR="00C80562" w:rsidRDefault="004773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EC69BB" wp14:editId="0604CEC0">
            <wp:extent cx="5274310" cy="3390900"/>
            <wp:effectExtent l="0" t="0" r="2540" b="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88C017CE-3680-4191-8279-50AB6DC486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E92C7AB" w14:textId="3378C20A" w:rsidR="0047733A" w:rsidRDefault="004773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B8CCB1" wp14:editId="0D299F8D">
            <wp:extent cx="5274310" cy="3863975"/>
            <wp:effectExtent l="0" t="0" r="2540" b="3175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28252488-468D-471C-94B3-126D2849E9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CB5A132" w14:textId="276DCB8C" w:rsidR="00C80562" w:rsidRDefault="00023AA5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C80562">
        <w:rPr>
          <w:sz w:val="24"/>
          <w:szCs w:val="24"/>
        </w:rPr>
        <w:t xml:space="preserve">. </w:t>
      </w:r>
      <w:r w:rsidR="00C80562">
        <w:rPr>
          <w:rFonts w:hint="eastAsia"/>
          <w:sz w:val="24"/>
          <w:szCs w:val="24"/>
        </w:rPr>
        <w:t>K</w:t>
      </w:r>
      <w:r w:rsidR="00C80562">
        <w:rPr>
          <w:sz w:val="24"/>
          <w:szCs w:val="24"/>
        </w:rPr>
        <w:t>ey Business Intelligence</w:t>
      </w:r>
    </w:p>
    <w:p w14:paraId="5167681F" w14:textId="1850DF4A" w:rsidR="0047733A" w:rsidRDefault="0047733A" w:rsidP="00C80562">
      <w:pPr>
        <w:widowControl/>
        <w:rPr>
          <w:sz w:val="24"/>
          <w:szCs w:val="24"/>
        </w:rPr>
      </w:pPr>
      <w:r>
        <w:rPr>
          <w:sz w:val="24"/>
          <w:szCs w:val="24"/>
        </w:rPr>
        <w:t xml:space="preserve">In season 20/21, </w:t>
      </w:r>
      <w:r w:rsidR="00703931">
        <w:rPr>
          <w:sz w:val="24"/>
          <w:szCs w:val="24"/>
        </w:rPr>
        <w:t>clubs from English Premiere L</w:t>
      </w:r>
      <w:r w:rsidR="00703931">
        <w:rPr>
          <w:rFonts w:hint="eastAsia"/>
          <w:sz w:val="24"/>
          <w:szCs w:val="24"/>
        </w:rPr>
        <w:t>eague</w:t>
      </w:r>
      <w:r w:rsidR="00703931">
        <w:rPr>
          <w:sz w:val="24"/>
          <w:szCs w:val="24"/>
        </w:rPr>
        <w:t xml:space="preserve"> had an average total wage</w:t>
      </w:r>
      <w:r w:rsidR="00161720">
        <w:rPr>
          <w:sz w:val="24"/>
          <w:szCs w:val="24"/>
        </w:rPr>
        <w:t xml:space="preserve"> that was much higher than clubs from other leagues.</w:t>
      </w:r>
    </w:p>
    <w:p w14:paraId="58E6FC6E" w14:textId="60456A45" w:rsidR="0047733A" w:rsidRDefault="00C80562" w:rsidP="00C80562">
      <w:pPr>
        <w:widowControl/>
        <w:rPr>
          <w:sz w:val="24"/>
          <w:szCs w:val="24"/>
        </w:rPr>
      </w:pPr>
      <w:r>
        <w:rPr>
          <w:sz w:val="24"/>
          <w:szCs w:val="24"/>
        </w:rPr>
        <w:t xml:space="preserve">In season 20/21, </w:t>
      </w:r>
      <w:r w:rsidR="0047733A">
        <w:rPr>
          <w:sz w:val="24"/>
          <w:szCs w:val="24"/>
        </w:rPr>
        <w:t>German 1. Bundesliga and French Ligue 1 had a relatively small standard deviation in total wages. While Spain Primera Division had the greatest standard deviation</w:t>
      </w:r>
      <w:r w:rsidR="005868D0">
        <w:rPr>
          <w:sz w:val="24"/>
          <w:szCs w:val="24"/>
        </w:rPr>
        <w:t xml:space="preserve"> in total wages</w:t>
      </w:r>
      <w:r w:rsidR="0047733A">
        <w:rPr>
          <w:sz w:val="24"/>
          <w:szCs w:val="24"/>
        </w:rPr>
        <w:t>.</w:t>
      </w:r>
    </w:p>
    <w:p w14:paraId="15623106" w14:textId="39B7BD53" w:rsidR="00C80562" w:rsidRPr="00C80562" w:rsidRDefault="00C80562" w:rsidP="00C8056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sz w:val="24"/>
          <w:szCs w:val="24"/>
        </w:rPr>
        <w:t>In English Premiere League, the highest total wage (Manchester City) was about only 6 times of the lowest one (Sheffield United). While in German 1. Bundesliga, the highest total wage (</w:t>
      </w:r>
      <w:r w:rsidRPr="00C80562">
        <w:rPr>
          <w:sz w:val="24"/>
          <w:szCs w:val="24"/>
        </w:rPr>
        <w:t>FC Bayern München</w:t>
      </w:r>
      <w:r>
        <w:rPr>
          <w:sz w:val="24"/>
          <w:szCs w:val="24"/>
        </w:rPr>
        <w:t>) was also about 6 times of the lowest one</w:t>
      </w:r>
      <w:r w:rsidRPr="006F1E0D">
        <w:rPr>
          <w:sz w:val="24"/>
          <w:szCs w:val="24"/>
        </w:rPr>
        <w:t xml:space="preserve"> (</w:t>
      </w:r>
      <w:r w:rsidRPr="006F1E0D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DSC Arminia Bielefeld)</w:t>
      </w:r>
      <w:r w:rsidRPr="006F1E0D">
        <w:rPr>
          <w:rFonts w:ascii="等线" w:eastAsia="等线" w:hAnsi="等线" w:cs="宋体"/>
          <w:color w:val="000000"/>
          <w:kern w:val="0"/>
          <w:sz w:val="24"/>
          <w:szCs w:val="24"/>
        </w:rPr>
        <w:t>.</w:t>
      </w:r>
    </w:p>
    <w:p w14:paraId="46F3B7F0" w14:textId="3CC30306" w:rsidR="00C80562" w:rsidRDefault="00C805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 French L</w:t>
      </w:r>
      <w:r w:rsidR="0047733A">
        <w:rPr>
          <w:sz w:val="24"/>
          <w:szCs w:val="24"/>
        </w:rPr>
        <w:t>i</w:t>
      </w:r>
      <w:r>
        <w:rPr>
          <w:sz w:val="24"/>
          <w:szCs w:val="24"/>
        </w:rPr>
        <w:t xml:space="preserve">gue 1, Paris Saint-Germain had </w:t>
      </w:r>
      <w:r w:rsidR="007C3527">
        <w:rPr>
          <w:sz w:val="24"/>
          <w:szCs w:val="24"/>
        </w:rPr>
        <w:t xml:space="preserve">a total wage that was approximately two times of the second highest one (AS Monaco) and 10 times of the lowest one </w:t>
      </w:r>
      <w:r w:rsidR="007C3527">
        <w:rPr>
          <w:sz w:val="24"/>
          <w:szCs w:val="24"/>
        </w:rPr>
        <w:lastRenderedPageBreak/>
        <w:t>(</w:t>
      </w:r>
      <w:r w:rsidR="007C3527" w:rsidRPr="007C3527">
        <w:rPr>
          <w:sz w:val="24"/>
          <w:szCs w:val="24"/>
        </w:rPr>
        <w:t>Dijon FCO</w:t>
      </w:r>
      <w:r w:rsidR="007C3527">
        <w:rPr>
          <w:sz w:val="24"/>
          <w:szCs w:val="24"/>
        </w:rPr>
        <w:t>).</w:t>
      </w:r>
    </w:p>
    <w:p w14:paraId="6EAB968B" w14:textId="5DEE25A6" w:rsidR="007C3527" w:rsidRPr="007C3527" w:rsidRDefault="007C35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 Italian Serie A, Inter had a total wage that was about 13 times of the lowest one (</w:t>
      </w:r>
      <w:r w:rsidRPr="007C3527">
        <w:rPr>
          <w:sz w:val="24"/>
          <w:szCs w:val="24"/>
        </w:rPr>
        <w:t>Crotone</w:t>
      </w:r>
      <w:r>
        <w:rPr>
          <w:sz w:val="24"/>
          <w:szCs w:val="24"/>
        </w:rPr>
        <w:t>).</w:t>
      </w:r>
    </w:p>
    <w:p w14:paraId="2B7C0C20" w14:textId="50E9EECE" w:rsidR="005F34CA" w:rsidRPr="007C3527" w:rsidRDefault="007C3527" w:rsidP="007C352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 Spanish La Liga, Real Madrid and FC Barcelona had very close total wages (nearly 5 million euros), which were also the highest among the clubs of the Big Five leagues. They were ove</w:t>
      </w:r>
      <w:r w:rsidRPr="00B26394">
        <w:rPr>
          <w:sz w:val="24"/>
          <w:szCs w:val="24"/>
        </w:rPr>
        <w:t>r 20 times higher than the lowest (</w:t>
      </w:r>
      <w:r w:rsidRPr="00B26394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Elche CF)</w:t>
      </w:r>
      <w:r w:rsidRPr="00B26394">
        <w:rPr>
          <w:rFonts w:ascii="等线" w:eastAsia="等线" w:hAnsi="等线" w:cs="宋体"/>
          <w:color w:val="000000"/>
          <w:kern w:val="0"/>
          <w:sz w:val="24"/>
          <w:szCs w:val="24"/>
        </w:rPr>
        <w:t>.</w:t>
      </w:r>
    </w:p>
    <w:p w14:paraId="599787C1" w14:textId="397B441B" w:rsidR="00C80562" w:rsidRDefault="00C80562">
      <w:pPr>
        <w:rPr>
          <w:sz w:val="24"/>
          <w:szCs w:val="24"/>
        </w:rPr>
      </w:pPr>
    </w:p>
    <w:p w14:paraId="48F08F88" w14:textId="18684F60" w:rsidR="005F34CA" w:rsidRDefault="001820CB" w:rsidP="005F34C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 Comparison of the Big 3 Clubs of La Liga in Terms of Overall Ratings of Different Positions from Season 18/19 to 20/21.</w:t>
      </w:r>
    </w:p>
    <w:p w14:paraId="37EE0585" w14:textId="40306DB0" w:rsidR="006A2870" w:rsidRPr="006A2870" w:rsidRDefault="001820CB" w:rsidP="006A2870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Code Implementation</w:t>
      </w:r>
    </w:p>
    <w:p w14:paraId="43F7729F" w14:textId="77777777" w:rsid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6A2870">
        <w:rPr>
          <w:rFonts w:ascii="Consolas" w:eastAsia="宋体" w:hAnsi="Consolas" w:cs="宋体"/>
          <w:color w:val="6A9955"/>
          <w:kern w:val="0"/>
          <w:szCs w:val="21"/>
        </w:rPr>
        <w:t>-- The average ratings of forwards, midfielders, defenders </w:t>
      </w:r>
    </w:p>
    <w:p w14:paraId="114B4094" w14:textId="10A9512F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6A2870">
        <w:rPr>
          <w:rFonts w:ascii="Consolas" w:eastAsia="宋体" w:hAnsi="Consolas" w:cs="宋体"/>
          <w:color w:val="6A9955"/>
          <w:kern w:val="0"/>
          <w:szCs w:val="21"/>
        </w:rPr>
        <w:t>(including goalkeepers) of the BIG 3 clubs of La Liga in </w:t>
      </w:r>
      <w:r>
        <w:rPr>
          <w:rFonts w:ascii="Consolas" w:eastAsia="宋体" w:hAnsi="Consolas" w:cs="宋体"/>
          <w:color w:val="6A9955"/>
          <w:kern w:val="0"/>
          <w:szCs w:val="21"/>
        </w:rPr>
        <w:br/>
        <w:t xml:space="preserve">-- </w:t>
      </w:r>
      <w:r w:rsidRPr="006A2870">
        <w:rPr>
          <w:rFonts w:ascii="Consolas" w:eastAsia="宋体" w:hAnsi="Consolas" w:cs="宋体"/>
          <w:color w:val="6A9955"/>
          <w:kern w:val="0"/>
          <w:szCs w:val="21"/>
        </w:rPr>
        <w:t>season 18-19, 19-20, and 20-21</w:t>
      </w:r>
    </w:p>
    <w:p w14:paraId="634B3CE3" w14:textId="77777777" w:rsid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6A2870">
        <w:rPr>
          <w:rFonts w:ascii="Consolas" w:eastAsia="宋体" w:hAnsi="Consolas" w:cs="宋体"/>
          <w:color w:val="6A9955"/>
          <w:kern w:val="0"/>
          <w:szCs w:val="21"/>
        </w:rPr>
        <w:t>-- Assuming each player plays in his best position </w:t>
      </w:r>
    </w:p>
    <w:p w14:paraId="0EF93746" w14:textId="1C121573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6A2870">
        <w:rPr>
          <w:rFonts w:ascii="Consolas" w:eastAsia="宋体" w:hAnsi="Consolas" w:cs="宋体"/>
          <w:color w:val="6A9955"/>
          <w:kern w:val="0"/>
          <w:szCs w:val="21"/>
        </w:rPr>
        <w:t>(where he has the highest rating)</w:t>
      </w:r>
    </w:p>
    <w:p w14:paraId="76D30BE2" w14:textId="77777777" w:rsid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6A2870">
        <w:rPr>
          <w:rFonts w:ascii="Consolas" w:eastAsia="宋体" w:hAnsi="Consolas" w:cs="宋体"/>
          <w:color w:val="6A9955"/>
          <w:kern w:val="0"/>
          <w:szCs w:val="21"/>
        </w:rPr>
        <w:t>-- If a player has the same rating in two or more positions </w:t>
      </w:r>
    </w:p>
    <w:p w14:paraId="09CA332D" w14:textId="5C124BFC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 xml:space="preserve">-- </w:t>
      </w:r>
      <w:r w:rsidRPr="006A2870">
        <w:rPr>
          <w:rFonts w:ascii="Consolas" w:eastAsia="宋体" w:hAnsi="Consolas" w:cs="宋体"/>
          <w:color w:val="6A9955"/>
          <w:kern w:val="0"/>
          <w:szCs w:val="21"/>
        </w:rPr>
        <w:t>that belong to different classes,</w:t>
      </w:r>
    </w:p>
    <w:p w14:paraId="2D1A0869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6A9955"/>
          <w:kern w:val="0"/>
          <w:szCs w:val="21"/>
        </w:rPr>
        <w:t>-- e.g. LW -&gt; forward and CM -&gt; midfielder,</w:t>
      </w:r>
    </w:p>
    <w:p w14:paraId="5AC16D6C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6A9955"/>
          <w:kern w:val="0"/>
          <w:szCs w:val="21"/>
        </w:rPr>
        <w:t>-- then, he will be counted in both classes.</w:t>
      </w:r>
    </w:p>
    <w:p w14:paraId="498FBACD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FE19E6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player_best_rating;</w:t>
      </w:r>
    </w:p>
    <w:p w14:paraId="143454B7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player_best_rating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</w:p>
    <w:p w14:paraId="36A2A0E3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player_id, season, </w:t>
      </w:r>
      <w:r w:rsidRPr="006A2870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(rating)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best_rating</w:t>
      </w:r>
    </w:p>
    <w:p w14:paraId="1802E4FB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(club_id, season)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player_positional_rating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(player_id, season)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general_player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(player_id, season)</w:t>
      </w:r>
    </w:p>
    <w:p w14:paraId="421733B8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season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"18/19"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"19/20"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"20/21"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27FF13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club_name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"Real Madrid"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"FC Barcelona"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"Atlético Madrid"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713E98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group by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player_id, season;</w:t>
      </w:r>
    </w:p>
    <w:p w14:paraId="6F7AF3A8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E254D6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player_best_position_class;</w:t>
      </w:r>
    </w:p>
    <w:p w14:paraId="37DD89A8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player_best_position_class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</w:p>
    <w:p w14:paraId="48F6CBCC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select distinct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player_id, season, player_name, club_id, club_name, position_class, rating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player_best_rating</w:t>
      </w:r>
    </w:p>
    <w:p w14:paraId="3EF51BD0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lastRenderedPageBreak/>
        <w:t>from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(club_id, season)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player_positional_rating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(player_id, season) </w:t>
      </w:r>
    </w:p>
    <w:p w14:paraId="5C38D812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positions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(position_name)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player_best_rating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(player_id, season)</w:t>
      </w:r>
    </w:p>
    <w:p w14:paraId="0BC61EC2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season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"18/19"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"19/20"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"20/21"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96A163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club_name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"Real Madrid"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"FC Barcelona"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"Atlético Madrid"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BA338D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rating = best_rating;</w:t>
      </w:r>
    </w:p>
    <w:p w14:paraId="755860DE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890AC6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player_best_position_class</w:t>
      </w:r>
    </w:p>
    <w:p w14:paraId="566F3DF2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player_id, season, player_name, club_id, club_name,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"defender"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position_class, overall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player_best_rating</w:t>
      </w:r>
    </w:p>
    <w:p w14:paraId="04A85BF6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(club_id, season)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join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goalkeeper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(player_id, season)</w:t>
      </w:r>
    </w:p>
    <w:p w14:paraId="49DCA730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season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"18/19"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"19/20"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"20/21"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06A678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club_name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"Real Madrid"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"FC Barcelona"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"Atlético Madrid"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72D0EC0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9BCEB1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player_best_position_class;</w:t>
      </w:r>
    </w:p>
    <w:p w14:paraId="62552834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F42CCD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club_name, season, position_class,</w:t>
      </w:r>
    </w:p>
    <w:p w14:paraId="6D67B379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DCDCAA"/>
          <w:kern w:val="0"/>
          <w:szCs w:val="21"/>
        </w:rPr>
        <w:t>avg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(player_best_rating)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CE9178"/>
          <w:kern w:val="0"/>
          <w:szCs w:val="21"/>
        </w:rPr>
        <w:t>"average rating"</w:t>
      </w:r>
    </w:p>
    <w:p w14:paraId="3E5D24AA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player_best_position_class</w:t>
      </w:r>
    </w:p>
    <w:p w14:paraId="16546367" w14:textId="77777777" w:rsidR="006A2870" w:rsidRPr="006A2870" w:rsidRDefault="006A2870" w:rsidP="006A2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2870">
        <w:rPr>
          <w:rFonts w:ascii="Consolas" w:eastAsia="宋体" w:hAnsi="Consolas" w:cs="宋体"/>
          <w:color w:val="569CD6"/>
          <w:kern w:val="0"/>
          <w:szCs w:val="21"/>
        </w:rPr>
        <w:t>group by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club_name, season, position_class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with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2870">
        <w:rPr>
          <w:rFonts w:ascii="Consolas" w:eastAsia="宋体" w:hAnsi="Consolas" w:cs="宋体"/>
          <w:color w:val="569CD6"/>
          <w:kern w:val="0"/>
          <w:szCs w:val="21"/>
        </w:rPr>
        <w:t>rollup</w:t>
      </w:r>
      <w:r w:rsidRPr="006A2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533257" w14:textId="3A268C95" w:rsidR="006A2870" w:rsidRDefault="006A2870" w:rsidP="006A2870">
      <w:pPr>
        <w:rPr>
          <w:sz w:val="24"/>
          <w:szCs w:val="24"/>
        </w:rPr>
      </w:pPr>
    </w:p>
    <w:p w14:paraId="3E955FCE" w14:textId="77777777" w:rsidR="00023AA5" w:rsidRDefault="00023AA5" w:rsidP="00023AA5">
      <w:pPr>
        <w:rPr>
          <w:sz w:val="24"/>
          <w:szCs w:val="24"/>
        </w:rPr>
      </w:pPr>
      <w:r>
        <w:rPr>
          <w:sz w:val="24"/>
          <w:szCs w:val="24"/>
        </w:rPr>
        <w:t>b. Query Output</w:t>
      </w:r>
    </w:p>
    <w:tbl>
      <w:tblPr>
        <w:tblStyle w:val="a5"/>
        <w:tblW w:w="7880" w:type="dxa"/>
        <w:tblLook w:val="04A0" w:firstRow="1" w:lastRow="0" w:firstColumn="1" w:lastColumn="0" w:noHBand="0" w:noVBand="1"/>
      </w:tblPr>
      <w:tblGrid>
        <w:gridCol w:w="2320"/>
        <w:gridCol w:w="1600"/>
        <w:gridCol w:w="1887"/>
        <w:gridCol w:w="2073"/>
      </w:tblGrid>
      <w:tr w:rsidR="00AD2F73" w:rsidRPr="00AD2F73" w14:paraId="38322307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714FFA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club_name</w:t>
            </w:r>
          </w:p>
        </w:tc>
        <w:tc>
          <w:tcPr>
            <w:tcW w:w="1600" w:type="dxa"/>
            <w:noWrap/>
            <w:hideMark/>
          </w:tcPr>
          <w:p w14:paraId="2BA19B8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season</w:t>
            </w:r>
          </w:p>
        </w:tc>
        <w:tc>
          <w:tcPr>
            <w:tcW w:w="1887" w:type="dxa"/>
            <w:noWrap/>
            <w:hideMark/>
          </w:tcPr>
          <w:p w14:paraId="71D7E09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position_class</w:t>
            </w:r>
          </w:p>
        </w:tc>
        <w:tc>
          <w:tcPr>
            <w:tcW w:w="2073" w:type="dxa"/>
            <w:noWrap/>
            <w:hideMark/>
          </w:tcPr>
          <w:p w14:paraId="01D0895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average rating</w:t>
            </w:r>
          </w:p>
        </w:tc>
      </w:tr>
      <w:tr w:rsidR="00AD2F73" w:rsidRPr="00AD2F73" w14:paraId="6C8C5FE1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76769B8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3F38C483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7FD799D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0D3605E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75.1429</w:t>
            </w:r>
          </w:p>
        </w:tc>
      </w:tr>
      <w:tr w:rsidR="00AD2F73" w:rsidRPr="00AD2F73" w14:paraId="60871FCB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0471E1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235A532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5B3540E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2508E00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74.4545</w:t>
            </w:r>
          </w:p>
        </w:tc>
      </w:tr>
      <w:tr w:rsidR="00AD2F73" w:rsidRPr="00AD2F73" w14:paraId="252B7CEB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3ADB91E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1478242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600ED31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33C4EFA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75.7143</w:t>
            </w:r>
          </w:p>
        </w:tc>
      </w:tr>
      <w:tr w:rsidR="00AD2F73" w:rsidRPr="00AD2F73" w14:paraId="57D220DE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1063F84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6638520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19B06E2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207F89B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75.0313</w:t>
            </w:r>
          </w:p>
        </w:tc>
      </w:tr>
      <w:tr w:rsidR="00AD2F73" w:rsidRPr="00AD2F73" w14:paraId="41E1E1AA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3343CF1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4B6DB65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4AFA39B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7C86290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76.3571</w:t>
            </w:r>
          </w:p>
        </w:tc>
      </w:tr>
      <w:tr w:rsidR="00AD2F73" w:rsidRPr="00AD2F73" w14:paraId="70A7B89E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119B200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0728B49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3FA5BF7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54AFA05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73.1538</w:t>
            </w:r>
          </w:p>
        </w:tc>
      </w:tr>
      <w:tr w:rsidR="00AD2F73" w:rsidRPr="00AD2F73" w14:paraId="5C2B1B14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D62856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77A3970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59E4E73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3D8616F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77.3</w:t>
            </w:r>
          </w:p>
        </w:tc>
      </w:tr>
      <w:tr w:rsidR="00AD2F73" w:rsidRPr="00AD2F73" w14:paraId="2C3C0886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7CBAADF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20B01B6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1F17BC8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6CA90BF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75.4865</w:t>
            </w:r>
          </w:p>
        </w:tc>
      </w:tr>
      <w:tr w:rsidR="00AD2F73" w:rsidRPr="00AD2F73" w14:paraId="2D149650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161FCCC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5CFFCEC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5CAD6683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034299D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77.1429</w:t>
            </w:r>
          </w:p>
        </w:tc>
      </w:tr>
      <w:tr w:rsidR="00AD2F73" w:rsidRPr="00AD2F73" w14:paraId="5A666410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09D7404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21CA8E2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72BC799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439230C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74.1429</w:t>
            </w:r>
          </w:p>
        </w:tc>
      </w:tr>
      <w:tr w:rsidR="00AD2F73" w:rsidRPr="00AD2F73" w14:paraId="4B23DEAA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251999D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6230D49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06591AE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236A96B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77.5833</w:t>
            </w:r>
          </w:p>
        </w:tc>
      </w:tr>
      <w:tr w:rsidR="00AD2F73" w:rsidRPr="00AD2F73" w14:paraId="5FF6E0AD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3A21FBD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44C7706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322EE3B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4BE309A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76.225</w:t>
            </w:r>
          </w:p>
        </w:tc>
      </w:tr>
      <w:tr w:rsidR="00AD2F73" w:rsidRPr="00AD2F73" w14:paraId="6E02C262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1D163AD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Atlético Madrid</w:t>
            </w:r>
          </w:p>
        </w:tc>
        <w:tc>
          <w:tcPr>
            <w:tcW w:w="1600" w:type="dxa"/>
            <w:noWrap/>
            <w:hideMark/>
          </w:tcPr>
          <w:p w14:paraId="78DC3CD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887" w:type="dxa"/>
            <w:noWrap/>
            <w:hideMark/>
          </w:tcPr>
          <w:p w14:paraId="341621A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5015C3B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75.6239</w:t>
            </w:r>
          </w:p>
        </w:tc>
      </w:tr>
      <w:tr w:rsidR="00AD2F73" w:rsidRPr="00AD2F73" w14:paraId="7C29CEE6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7AE8278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3742597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076EECD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4580E04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77.7857</w:t>
            </w:r>
          </w:p>
        </w:tc>
      </w:tr>
      <w:tr w:rsidR="00AD2F73" w:rsidRPr="00AD2F73" w14:paraId="3330B52B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AF3411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1115132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708CAC7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5FC211C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79.75</w:t>
            </w:r>
          </w:p>
        </w:tc>
      </w:tr>
      <w:tr w:rsidR="00AD2F73" w:rsidRPr="00AD2F73" w14:paraId="06B1C828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EA2FD1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7DD4970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5FB3A80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0A41504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80.6667</w:t>
            </w:r>
          </w:p>
        </w:tc>
      </w:tr>
      <w:tr w:rsidR="00AD2F73" w:rsidRPr="00AD2F73" w14:paraId="1664DD91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D584C8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6F7C67A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12A23E4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753BE8F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79.2647</w:t>
            </w:r>
          </w:p>
        </w:tc>
      </w:tr>
      <w:tr w:rsidR="00AD2F73" w:rsidRPr="00AD2F73" w14:paraId="41337AD1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3694C02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FC Barcelona</w:t>
            </w:r>
          </w:p>
        </w:tc>
        <w:tc>
          <w:tcPr>
            <w:tcW w:w="1600" w:type="dxa"/>
            <w:noWrap/>
            <w:hideMark/>
          </w:tcPr>
          <w:p w14:paraId="039C1553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15EAC86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6B15DFB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76.7647</w:t>
            </w:r>
          </w:p>
        </w:tc>
      </w:tr>
      <w:tr w:rsidR="00AD2F73" w:rsidRPr="00AD2F73" w14:paraId="3E9D6EEB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EFB84F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42288D7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28C7B56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1087A3A3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</w:tr>
      <w:tr w:rsidR="00AD2F73" w:rsidRPr="00AD2F73" w14:paraId="188F24DE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38B50AE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146F4DF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0D0E58E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7A75E99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78.8333</w:t>
            </w:r>
          </w:p>
        </w:tc>
      </w:tr>
      <w:tr w:rsidR="00AD2F73" w:rsidRPr="00AD2F73" w14:paraId="75AF0D56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4686186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2163641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7D03881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0B87D97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77.5143</w:t>
            </w:r>
          </w:p>
        </w:tc>
      </w:tr>
      <w:tr w:rsidR="00AD2F73" w:rsidRPr="00AD2F73" w14:paraId="718CDEAC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579F8B4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1EAF50D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46BD932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71C36F2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78.6923</w:t>
            </w:r>
          </w:p>
        </w:tc>
      </w:tr>
      <w:tr w:rsidR="00AD2F73" w:rsidRPr="00AD2F73" w14:paraId="4CC55B03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444757B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7FFC91E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1775E18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205A8C4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77.7273</w:t>
            </w:r>
          </w:p>
        </w:tc>
      </w:tr>
      <w:tr w:rsidR="00AD2F73" w:rsidRPr="00AD2F73" w14:paraId="2335A7C2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4A41514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46D85D7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7587B44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721B7A7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79.0714</w:t>
            </w:r>
          </w:p>
        </w:tc>
      </w:tr>
      <w:tr w:rsidR="00AD2F73" w:rsidRPr="00AD2F73" w14:paraId="55D9798F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5C717B7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0899803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03D8492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1B7AECC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78.5526</w:t>
            </w:r>
          </w:p>
        </w:tc>
      </w:tr>
      <w:tr w:rsidR="00AD2F73" w:rsidRPr="00AD2F73" w14:paraId="2E432E60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13194DC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FC Barcelona</w:t>
            </w:r>
          </w:p>
        </w:tc>
        <w:tc>
          <w:tcPr>
            <w:tcW w:w="1600" w:type="dxa"/>
            <w:noWrap/>
            <w:hideMark/>
          </w:tcPr>
          <w:p w14:paraId="4CCA65B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887" w:type="dxa"/>
            <w:noWrap/>
            <w:hideMark/>
          </w:tcPr>
          <w:p w14:paraId="0BAC4EA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6C52599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78.4393</w:t>
            </w:r>
          </w:p>
        </w:tc>
      </w:tr>
      <w:tr w:rsidR="00AD2F73" w:rsidRPr="00AD2F73" w14:paraId="04DEF1F8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256E7E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3B0C3AC7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5F37A94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7566D3F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78.0588</w:t>
            </w:r>
          </w:p>
        </w:tc>
      </w:tr>
      <w:tr w:rsidR="00AD2F73" w:rsidRPr="00AD2F73" w14:paraId="405726B9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77F569F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1CEF35B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1FEDB48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7D339E9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76.7778</w:t>
            </w:r>
          </w:p>
        </w:tc>
      </w:tr>
      <w:tr w:rsidR="00AD2F73" w:rsidRPr="00AD2F73" w14:paraId="79E1DB60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A755F6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33D99DE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3E8A81B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629E9C5F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80.1818</w:t>
            </w:r>
          </w:p>
        </w:tc>
      </w:tr>
      <w:tr w:rsidR="00AD2F73" w:rsidRPr="00AD2F73" w14:paraId="66AE4513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8A9DD2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5796BF0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18/19</w:t>
            </w:r>
          </w:p>
        </w:tc>
        <w:tc>
          <w:tcPr>
            <w:tcW w:w="1887" w:type="dxa"/>
            <w:noWrap/>
            <w:hideMark/>
          </w:tcPr>
          <w:p w14:paraId="4D2AFB1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04EF2D6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78.3784</w:t>
            </w:r>
          </w:p>
        </w:tc>
      </w:tr>
      <w:tr w:rsidR="00AD2F73" w:rsidRPr="00AD2F73" w14:paraId="06258FCE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469CD6A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09E2811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517FBF8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2CE2716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</w:tr>
      <w:tr w:rsidR="00AD2F73" w:rsidRPr="00AD2F73" w14:paraId="0EEA0042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6A0A9053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324FACB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35A2169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264A63F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78.0909</w:t>
            </w:r>
          </w:p>
        </w:tc>
      </w:tr>
      <w:tr w:rsidR="00AD2F73" w:rsidRPr="00AD2F73" w14:paraId="520F569F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42188B5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42A563C3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5DF118A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054C100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79.5</w:t>
            </w:r>
          </w:p>
        </w:tc>
      </w:tr>
      <w:tr w:rsidR="00AD2F73" w:rsidRPr="00AD2F73" w14:paraId="49F1C34D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317B048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576A798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19/20</w:t>
            </w:r>
          </w:p>
        </w:tc>
        <w:tc>
          <w:tcPr>
            <w:tcW w:w="1887" w:type="dxa"/>
            <w:noWrap/>
            <w:hideMark/>
          </w:tcPr>
          <w:p w14:paraId="2AC5F86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07D6792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78.5641</w:t>
            </w:r>
          </w:p>
        </w:tc>
      </w:tr>
      <w:tr w:rsidR="00AD2F73" w:rsidRPr="00AD2F73" w14:paraId="150DC930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5ADE326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19411DB9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721DF66E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defender</w:t>
            </w:r>
          </w:p>
        </w:tc>
        <w:tc>
          <w:tcPr>
            <w:tcW w:w="2073" w:type="dxa"/>
            <w:noWrap/>
            <w:hideMark/>
          </w:tcPr>
          <w:p w14:paraId="0283CAF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78.3846</w:t>
            </w:r>
          </w:p>
        </w:tc>
      </w:tr>
      <w:tr w:rsidR="00AD2F73" w:rsidRPr="00AD2F73" w14:paraId="36D7453E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4CEBE20C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104BCC44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46E80161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forward</w:t>
            </w:r>
          </w:p>
        </w:tc>
        <w:tc>
          <w:tcPr>
            <w:tcW w:w="2073" w:type="dxa"/>
            <w:noWrap/>
            <w:hideMark/>
          </w:tcPr>
          <w:p w14:paraId="4D89B450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77.6667</w:t>
            </w:r>
          </w:p>
        </w:tc>
      </w:tr>
      <w:tr w:rsidR="00AD2F73" w:rsidRPr="00AD2F73" w14:paraId="57479BD7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7B882FB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329C6C2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35EE162B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midfielder</w:t>
            </w:r>
          </w:p>
        </w:tc>
        <w:tc>
          <w:tcPr>
            <w:tcW w:w="2073" w:type="dxa"/>
            <w:noWrap/>
            <w:hideMark/>
          </w:tcPr>
          <w:p w14:paraId="09D54F15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80.3333</w:t>
            </w:r>
          </w:p>
        </w:tc>
      </w:tr>
      <w:tr w:rsidR="00AD2F73" w:rsidRPr="00AD2F73" w14:paraId="1CFFCA3F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71325E52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34595A1D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20/21</w:t>
            </w:r>
          </w:p>
        </w:tc>
        <w:tc>
          <w:tcPr>
            <w:tcW w:w="1887" w:type="dxa"/>
            <w:noWrap/>
            <w:hideMark/>
          </w:tcPr>
          <w:p w14:paraId="62E2DAC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33F0191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78.7838</w:t>
            </w:r>
          </w:p>
        </w:tc>
      </w:tr>
      <w:tr w:rsidR="00AD2F73" w:rsidRPr="00AD2F73" w14:paraId="03301334" w14:textId="77777777" w:rsidTr="00AD2F73">
        <w:trPr>
          <w:trHeight w:val="285"/>
        </w:trPr>
        <w:tc>
          <w:tcPr>
            <w:tcW w:w="2320" w:type="dxa"/>
            <w:noWrap/>
            <w:hideMark/>
          </w:tcPr>
          <w:p w14:paraId="1BFE9786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Real Madrid</w:t>
            </w:r>
          </w:p>
        </w:tc>
        <w:tc>
          <w:tcPr>
            <w:tcW w:w="1600" w:type="dxa"/>
            <w:noWrap/>
            <w:hideMark/>
          </w:tcPr>
          <w:p w14:paraId="1107B1D8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887" w:type="dxa"/>
            <w:noWrap/>
            <w:hideMark/>
          </w:tcPr>
          <w:p w14:paraId="6F3E6DD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2073" w:type="dxa"/>
            <w:noWrap/>
            <w:hideMark/>
          </w:tcPr>
          <w:p w14:paraId="490941DA" w14:textId="77777777" w:rsidR="00AD2F73" w:rsidRPr="00AD2F73" w:rsidRDefault="00AD2F73" w:rsidP="00AD2F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F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78.5752</w:t>
            </w:r>
          </w:p>
        </w:tc>
      </w:tr>
    </w:tbl>
    <w:p w14:paraId="4175BC86" w14:textId="77777777" w:rsidR="00023AA5" w:rsidRPr="006A2870" w:rsidRDefault="00023AA5" w:rsidP="006A2870">
      <w:pPr>
        <w:rPr>
          <w:sz w:val="24"/>
          <w:szCs w:val="24"/>
        </w:rPr>
      </w:pPr>
    </w:p>
    <w:p w14:paraId="075A797B" w14:textId="326BE9FD" w:rsidR="001820CB" w:rsidRPr="00023AA5" w:rsidRDefault="001820CB" w:rsidP="00023AA5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023AA5">
        <w:rPr>
          <w:sz w:val="24"/>
          <w:szCs w:val="24"/>
        </w:rPr>
        <w:t>Data Visualization</w:t>
      </w:r>
    </w:p>
    <w:p w14:paraId="7AD0BE1C" w14:textId="1A9B16DA" w:rsidR="006A2870" w:rsidRPr="006A2870" w:rsidRDefault="006A2870" w:rsidP="006A287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C8722D" wp14:editId="2086DD18">
            <wp:extent cx="5274310" cy="4493260"/>
            <wp:effectExtent l="0" t="0" r="2540" b="254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4134A251-28A3-404B-9944-F198B1B79F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3875B93" w14:textId="4FD0E4E2" w:rsidR="006A2870" w:rsidRPr="006A2870" w:rsidRDefault="00C12964" w:rsidP="006A287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E9A0FF" wp14:editId="6CD229E1">
            <wp:extent cx="4600575" cy="5372100"/>
            <wp:effectExtent l="0" t="0" r="0" b="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3A0936F2-9BB4-412A-9BBF-61260D9C18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B8BBB1B" w14:textId="4174F530" w:rsidR="001820CB" w:rsidRPr="00023AA5" w:rsidRDefault="006A2870" w:rsidP="00023AA5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023AA5">
        <w:rPr>
          <w:rFonts w:hint="eastAsia"/>
          <w:sz w:val="24"/>
          <w:szCs w:val="24"/>
        </w:rPr>
        <w:t>K</w:t>
      </w:r>
      <w:r w:rsidRPr="00023AA5">
        <w:rPr>
          <w:sz w:val="24"/>
          <w:szCs w:val="24"/>
        </w:rPr>
        <w:t>ey Business Intelligence</w:t>
      </w:r>
    </w:p>
    <w:p w14:paraId="20EBBC84" w14:textId="7EB26681" w:rsidR="00C80562" w:rsidRDefault="00DF72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uring the three seasons, Read Madrid and FC Barcelona had close overall ratings, while </w:t>
      </w:r>
      <w:r w:rsidRPr="00DF72A3">
        <w:rPr>
          <w:sz w:val="24"/>
          <w:szCs w:val="24"/>
        </w:rPr>
        <w:t>Atlético Madrid</w:t>
      </w:r>
      <w:r>
        <w:rPr>
          <w:sz w:val="24"/>
          <w:szCs w:val="24"/>
        </w:rPr>
        <w:t xml:space="preserve"> had a lower overall rating.</w:t>
      </w:r>
    </w:p>
    <w:p w14:paraId="1D13611F" w14:textId="51DA9949" w:rsidR="00DF72A3" w:rsidRDefault="00DF72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season 19/20 and 20/21, </w:t>
      </w:r>
      <w:r w:rsidRPr="00DF72A3">
        <w:rPr>
          <w:sz w:val="24"/>
          <w:szCs w:val="24"/>
        </w:rPr>
        <w:t>Atlético Madrid</w:t>
      </w:r>
      <w:r>
        <w:rPr>
          <w:sz w:val="24"/>
          <w:szCs w:val="24"/>
        </w:rPr>
        <w:t xml:space="preserve">’s ratings of defenders and midfielders were not far behind those of FC Barcelona and Real Madrid. However, the </w:t>
      </w:r>
      <w:r>
        <w:rPr>
          <w:rFonts w:hint="eastAsia"/>
          <w:sz w:val="24"/>
          <w:szCs w:val="24"/>
        </w:rPr>
        <w:t>front</w:t>
      </w:r>
      <w:r>
        <w:rPr>
          <w:sz w:val="24"/>
          <w:szCs w:val="24"/>
        </w:rPr>
        <w:t xml:space="preserve"> line of </w:t>
      </w:r>
      <w:r w:rsidRPr="00DF72A3">
        <w:rPr>
          <w:sz w:val="24"/>
          <w:szCs w:val="24"/>
        </w:rPr>
        <w:t>Atlético Madrid</w:t>
      </w:r>
      <w:r>
        <w:rPr>
          <w:sz w:val="24"/>
          <w:szCs w:val="24"/>
        </w:rPr>
        <w:t xml:space="preserve"> had a great </w:t>
      </w:r>
      <w:r w:rsidRPr="00DF72A3">
        <w:rPr>
          <w:sz w:val="24"/>
          <w:szCs w:val="24"/>
        </w:rPr>
        <w:t>disparity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with</w:t>
      </w:r>
      <w:r>
        <w:rPr>
          <w:sz w:val="24"/>
          <w:szCs w:val="24"/>
        </w:rPr>
        <w:t xml:space="preserve"> the others.</w:t>
      </w:r>
    </w:p>
    <w:p w14:paraId="11A29CE1" w14:textId="152A13A4" w:rsidR="00DF72A3" w:rsidRPr="00DF72A3" w:rsidRDefault="004C69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 rating of defenders, midfielders as well as overall rating of </w:t>
      </w:r>
      <w:r w:rsidRPr="00DF72A3">
        <w:rPr>
          <w:sz w:val="24"/>
          <w:szCs w:val="24"/>
        </w:rPr>
        <w:t>Atlético Madrid</w:t>
      </w:r>
      <w:r>
        <w:rPr>
          <w:sz w:val="24"/>
          <w:szCs w:val="24"/>
        </w:rPr>
        <w:t xml:space="preserve"> showed an upward trend during the three seasons.</w:t>
      </w:r>
    </w:p>
    <w:p w14:paraId="334E8775" w14:textId="1A361779" w:rsidR="00145269" w:rsidRPr="0081219C" w:rsidRDefault="00145269">
      <w:pPr>
        <w:rPr>
          <w:sz w:val="24"/>
          <w:szCs w:val="24"/>
        </w:rPr>
      </w:pPr>
      <w:r w:rsidRPr="0081219C">
        <w:rPr>
          <w:rFonts w:hint="eastAsia"/>
          <w:sz w:val="24"/>
          <w:szCs w:val="24"/>
        </w:rPr>
        <w:lastRenderedPageBreak/>
        <w:t>R</w:t>
      </w:r>
      <w:r w:rsidRPr="0081219C">
        <w:rPr>
          <w:sz w:val="24"/>
          <w:szCs w:val="24"/>
        </w:rPr>
        <w:t>eferences</w:t>
      </w:r>
    </w:p>
    <w:p w14:paraId="6EC0DD83" w14:textId="249DD509" w:rsidR="00145269" w:rsidRPr="0081219C" w:rsidRDefault="00145269" w:rsidP="00145269">
      <w:pPr>
        <w:pStyle w:val="a3"/>
        <w:ind w:left="567" w:hanging="567"/>
        <w:rPr>
          <w:rFonts w:ascii="Times New Roman" w:hAnsi="Times New Roman" w:cs="Times New Roman"/>
        </w:rPr>
      </w:pPr>
      <w:r w:rsidRPr="0081219C">
        <w:rPr>
          <w:rFonts w:ascii="Times New Roman" w:hAnsi="Times New Roman" w:cs="Times New Roman"/>
        </w:rPr>
        <w:t>SoFIFA.com. (</w:t>
      </w:r>
      <w:r w:rsidR="00976C70" w:rsidRPr="0081219C">
        <w:rPr>
          <w:rFonts w:ascii="Times New Roman" w:hAnsi="Times New Roman" w:cs="Times New Roman"/>
        </w:rPr>
        <w:t>2020</w:t>
      </w:r>
      <w:r w:rsidRPr="0081219C">
        <w:rPr>
          <w:rFonts w:ascii="Times New Roman" w:hAnsi="Times New Roman" w:cs="Times New Roman"/>
        </w:rPr>
        <w:t>). EA Sports FIFA series database. Retrieved April 10, 2021, from https://www.kaggle.com/stefanoleone992/fifa-21-complete-player-dataset?select=players_21.csv</w:t>
      </w:r>
    </w:p>
    <w:p w14:paraId="282F3B4D" w14:textId="77777777" w:rsidR="00145269" w:rsidRPr="0081219C" w:rsidRDefault="00145269">
      <w:pPr>
        <w:rPr>
          <w:sz w:val="24"/>
          <w:szCs w:val="24"/>
        </w:rPr>
      </w:pPr>
    </w:p>
    <w:sectPr w:rsidR="00145269" w:rsidRPr="00812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C5BE5" w14:textId="77777777" w:rsidR="005B36BD" w:rsidRDefault="005B36BD" w:rsidP="006D6C3B">
      <w:r>
        <w:separator/>
      </w:r>
    </w:p>
  </w:endnote>
  <w:endnote w:type="continuationSeparator" w:id="0">
    <w:p w14:paraId="79A57E26" w14:textId="77777777" w:rsidR="005B36BD" w:rsidRDefault="005B36BD" w:rsidP="006D6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00FE2" w14:textId="77777777" w:rsidR="005B36BD" w:rsidRDefault="005B36BD" w:rsidP="006D6C3B">
      <w:r>
        <w:separator/>
      </w:r>
    </w:p>
  </w:footnote>
  <w:footnote w:type="continuationSeparator" w:id="0">
    <w:p w14:paraId="2FA3049F" w14:textId="77777777" w:rsidR="005B36BD" w:rsidRDefault="005B36BD" w:rsidP="006D6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9686D"/>
    <w:multiLevelType w:val="hybridMultilevel"/>
    <w:tmpl w:val="A5C4E98E"/>
    <w:lvl w:ilvl="0" w:tplc="4D7A9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1C289D"/>
    <w:multiLevelType w:val="hybridMultilevel"/>
    <w:tmpl w:val="508EC0E8"/>
    <w:lvl w:ilvl="0" w:tplc="6F2A39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FB1D3D"/>
    <w:multiLevelType w:val="hybridMultilevel"/>
    <w:tmpl w:val="B9F2EAFC"/>
    <w:lvl w:ilvl="0" w:tplc="B08A4E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MzI2sjCyNDE0tTRQ0lEKTi0uzszPAykwrQUAJeTFYywAAAA="/>
  </w:docVars>
  <w:rsids>
    <w:rsidRoot w:val="009E3931"/>
    <w:rsid w:val="00023AA5"/>
    <w:rsid w:val="00114341"/>
    <w:rsid w:val="00145269"/>
    <w:rsid w:val="00161720"/>
    <w:rsid w:val="001820CB"/>
    <w:rsid w:val="00242869"/>
    <w:rsid w:val="002462D7"/>
    <w:rsid w:val="00432CB4"/>
    <w:rsid w:val="0047733A"/>
    <w:rsid w:val="004C694D"/>
    <w:rsid w:val="0053216B"/>
    <w:rsid w:val="005868D0"/>
    <w:rsid w:val="005B36BD"/>
    <w:rsid w:val="005F34CA"/>
    <w:rsid w:val="005F6C82"/>
    <w:rsid w:val="006A2870"/>
    <w:rsid w:val="006D6C3B"/>
    <w:rsid w:val="006F1E0D"/>
    <w:rsid w:val="00703931"/>
    <w:rsid w:val="00772864"/>
    <w:rsid w:val="007C3527"/>
    <w:rsid w:val="0081219C"/>
    <w:rsid w:val="00883922"/>
    <w:rsid w:val="008D3E86"/>
    <w:rsid w:val="009070F7"/>
    <w:rsid w:val="00976C70"/>
    <w:rsid w:val="009B28F4"/>
    <w:rsid w:val="009E3931"/>
    <w:rsid w:val="00AD2F73"/>
    <w:rsid w:val="00B26394"/>
    <w:rsid w:val="00BB59B8"/>
    <w:rsid w:val="00BE1CAE"/>
    <w:rsid w:val="00C12964"/>
    <w:rsid w:val="00C13B6D"/>
    <w:rsid w:val="00C80562"/>
    <w:rsid w:val="00CE6BF1"/>
    <w:rsid w:val="00D854D1"/>
    <w:rsid w:val="00DB4138"/>
    <w:rsid w:val="00DD218A"/>
    <w:rsid w:val="00D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206A6"/>
  <w15:chartTrackingRefBased/>
  <w15:docId w15:val="{17D110B3-7FA7-4502-95E0-C316E2BE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52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E1CAE"/>
    <w:pPr>
      <w:ind w:firstLineChars="200" w:firstLine="420"/>
    </w:pPr>
  </w:style>
  <w:style w:type="table" w:styleId="a5">
    <w:name w:val="Grid Table Light"/>
    <w:basedOn w:val="a1"/>
    <w:uiPriority w:val="40"/>
    <w:rsid w:val="0077286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header"/>
    <w:basedOn w:val="a"/>
    <w:link w:val="a7"/>
    <w:uiPriority w:val="99"/>
    <w:unhideWhenUsed/>
    <w:rsid w:val="006D6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D6C3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D6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D6C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EPL_BIG6_SAL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LA_LIGA_BIG3_CLUB_RATING_ROLLUP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_AVG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CLUB_RANK_BY_PLAYER_VALUE_IN_BIG_FIVE_LEAGUES_STD_DEVIATION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UHK\Y3T2\CSC3170\Project\FIFADB\FIFADB\Data\Analysis\LA_LIGA_BIG3_CLUB_RATING_ROLLUP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[EPL_BIG6_SALARY.xlsx]Sheet1!数据透视表1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200" b="1" i="0" u="none" strike="noStrike" baseline="0">
                <a:effectLst/>
              </a:rPr>
              <a:t>Total Wages of the BIG 6 Clubs of English Premiere League From Season 14/15 to 20/21</a:t>
            </a:r>
            <a:endParaRPr lang="zh-CN" alt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rgbClr val="FF0000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solidFill>
              <a:srgbClr val="FF0000"/>
            </a:solidFill>
            <a:ln w="9525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rgbClr val="FF0000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solidFill>
              <a:srgbClr val="FF0000"/>
            </a:solidFill>
            <a:ln w="9525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rgbClr val="FF0000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solidFill>
              <a:srgbClr val="FF0000"/>
            </a:solidFill>
            <a:ln w="9525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Sheet1!$B$1:$B$2</c:f>
              <c:strCache>
                <c:ptCount val="1"/>
                <c:pt idx="0">
                  <c:v>Arsenal</c:v>
                </c:pt>
              </c:strCache>
            </c:strRef>
          </c:tx>
          <c:spPr>
            <a:ln w="34925" cap="rnd">
              <a:solidFill>
                <a:srgbClr val="FF0000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solidFill>
                <a:srgbClr val="FF0000"/>
              </a:solidFill>
              <a:ln w="9525">
                <a:solidFill>
                  <a:srgbClr val="FF0000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Sheet1!$A$3:$A$10</c:f>
              <c:strCache>
                <c:ptCount val="7"/>
                <c:pt idx="0">
                  <c:v>14/15</c:v>
                </c:pt>
                <c:pt idx="1">
                  <c:v>15/16</c:v>
                </c:pt>
                <c:pt idx="2">
                  <c:v>16/17</c:v>
                </c:pt>
                <c:pt idx="3">
                  <c:v>17/18</c:v>
                </c:pt>
                <c:pt idx="4">
                  <c:v>18/19</c:v>
                </c:pt>
                <c:pt idx="5">
                  <c:v>19/20</c:v>
                </c:pt>
                <c:pt idx="6">
                  <c:v>20/21</c:v>
                </c:pt>
              </c:strCache>
            </c:strRef>
          </c:cat>
          <c:val>
            <c:numRef>
              <c:f>Sheet1!$B$3:$B$10</c:f>
              <c:numCache>
                <c:formatCode>General</c:formatCode>
                <c:ptCount val="7"/>
                <c:pt idx="0">
                  <c:v>2428000</c:v>
                </c:pt>
                <c:pt idx="1">
                  <c:v>2640000</c:v>
                </c:pt>
                <c:pt idx="2">
                  <c:v>3146000</c:v>
                </c:pt>
                <c:pt idx="3">
                  <c:v>2961000</c:v>
                </c:pt>
                <c:pt idx="4">
                  <c:v>2484000</c:v>
                </c:pt>
                <c:pt idx="5">
                  <c:v>1996000</c:v>
                </c:pt>
                <c:pt idx="6">
                  <c:v>2046000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92-4723-9A9E-932C7DB36DB6}"/>
            </c:ext>
          </c:extLst>
        </c:ser>
        <c:ser>
          <c:idx val="1"/>
          <c:order val="1"/>
          <c:tx>
            <c:strRef>
              <c:f>Sheet1!$C$1:$C$2</c:f>
              <c:strCache>
                <c:ptCount val="1"/>
                <c:pt idx="0">
                  <c:v>Chelsea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Sheet1!$A$3:$A$10</c:f>
              <c:strCache>
                <c:ptCount val="7"/>
                <c:pt idx="0">
                  <c:v>14/15</c:v>
                </c:pt>
                <c:pt idx="1">
                  <c:v>15/16</c:v>
                </c:pt>
                <c:pt idx="2">
                  <c:v>16/17</c:v>
                </c:pt>
                <c:pt idx="3">
                  <c:v>17/18</c:v>
                </c:pt>
                <c:pt idx="4">
                  <c:v>18/19</c:v>
                </c:pt>
                <c:pt idx="5">
                  <c:v>19/20</c:v>
                </c:pt>
                <c:pt idx="6">
                  <c:v>20/21</c:v>
                </c:pt>
              </c:strCache>
            </c:strRef>
          </c:cat>
          <c:val>
            <c:numRef>
              <c:f>Sheet1!$C$3:$C$10</c:f>
              <c:numCache>
                <c:formatCode>General</c:formatCode>
                <c:ptCount val="7"/>
                <c:pt idx="0">
                  <c:v>2571000</c:v>
                </c:pt>
                <c:pt idx="1">
                  <c:v>2847000</c:v>
                </c:pt>
                <c:pt idx="2">
                  <c:v>3379000</c:v>
                </c:pt>
                <c:pt idx="3">
                  <c:v>3508000</c:v>
                </c:pt>
                <c:pt idx="4">
                  <c:v>3367000</c:v>
                </c:pt>
                <c:pt idx="5">
                  <c:v>2775000</c:v>
                </c:pt>
                <c:pt idx="6">
                  <c:v>2698000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92-4723-9A9E-932C7DB36DB6}"/>
            </c:ext>
          </c:extLst>
        </c:ser>
        <c:ser>
          <c:idx val="2"/>
          <c:order val="2"/>
          <c:tx>
            <c:strRef>
              <c:f>Sheet1!$D$1:$D$2</c:f>
              <c:strCache>
                <c:ptCount val="1"/>
                <c:pt idx="0">
                  <c:v>Liverpool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Sheet1!$A$3:$A$10</c:f>
              <c:strCache>
                <c:ptCount val="7"/>
                <c:pt idx="0">
                  <c:v>14/15</c:v>
                </c:pt>
                <c:pt idx="1">
                  <c:v>15/16</c:v>
                </c:pt>
                <c:pt idx="2">
                  <c:v>16/17</c:v>
                </c:pt>
                <c:pt idx="3">
                  <c:v>17/18</c:v>
                </c:pt>
                <c:pt idx="4">
                  <c:v>18/19</c:v>
                </c:pt>
                <c:pt idx="5">
                  <c:v>19/20</c:v>
                </c:pt>
                <c:pt idx="6">
                  <c:v>20/21</c:v>
                </c:pt>
              </c:strCache>
            </c:strRef>
          </c:cat>
          <c:val>
            <c:numRef>
              <c:f>Sheet1!$D$3:$D$10</c:f>
              <c:numCache>
                <c:formatCode>General</c:formatCode>
                <c:ptCount val="7"/>
                <c:pt idx="0">
                  <c:v>1832000</c:v>
                </c:pt>
                <c:pt idx="1">
                  <c:v>2111000</c:v>
                </c:pt>
                <c:pt idx="2">
                  <c:v>2514000</c:v>
                </c:pt>
                <c:pt idx="3">
                  <c:v>2725000</c:v>
                </c:pt>
                <c:pt idx="4">
                  <c:v>2996000</c:v>
                </c:pt>
                <c:pt idx="5">
                  <c:v>2626000</c:v>
                </c:pt>
                <c:pt idx="6">
                  <c:v>3154000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92-4723-9A9E-932C7DB36DB6}"/>
            </c:ext>
          </c:extLst>
        </c:ser>
        <c:ser>
          <c:idx val="3"/>
          <c:order val="3"/>
          <c:tx>
            <c:strRef>
              <c:f>Sheet1!$E$1:$E$2</c:f>
              <c:strCache>
                <c:ptCount val="1"/>
                <c:pt idx="0">
                  <c:v>Manchester City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Sheet1!$A$3:$A$10</c:f>
              <c:strCache>
                <c:ptCount val="7"/>
                <c:pt idx="0">
                  <c:v>14/15</c:v>
                </c:pt>
                <c:pt idx="1">
                  <c:v>15/16</c:v>
                </c:pt>
                <c:pt idx="2">
                  <c:v>16/17</c:v>
                </c:pt>
                <c:pt idx="3">
                  <c:v>17/18</c:v>
                </c:pt>
                <c:pt idx="4">
                  <c:v>18/19</c:v>
                </c:pt>
                <c:pt idx="5">
                  <c:v>19/20</c:v>
                </c:pt>
                <c:pt idx="6">
                  <c:v>20/21</c:v>
                </c:pt>
              </c:strCache>
            </c:strRef>
          </c:cat>
          <c:val>
            <c:numRef>
              <c:f>Sheet1!$E$3:$E$10</c:f>
              <c:numCache>
                <c:formatCode>General</c:formatCode>
                <c:ptCount val="7"/>
                <c:pt idx="0">
                  <c:v>2830000</c:v>
                </c:pt>
                <c:pt idx="1">
                  <c:v>2817000</c:v>
                </c:pt>
                <c:pt idx="2">
                  <c:v>3442000</c:v>
                </c:pt>
                <c:pt idx="3">
                  <c:v>3141000</c:v>
                </c:pt>
                <c:pt idx="4">
                  <c:v>3776000</c:v>
                </c:pt>
                <c:pt idx="5">
                  <c:v>3958000</c:v>
                </c:pt>
                <c:pt idx="6">
                  <c:v>3765000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592-4723-9A9E-932C7DB36DB6}"/>
            </c:ext>
          </c:extLst>
        </c:ser>
        <c:ser>
          <c:idx val="4"/>
          <c:order val="4"/>
          <c:tx>
            <c:strRef>
              <c:f>Sheet1!$F$1:$F$2</c:f>
              <c:strCache>
                <c:ptCount val="1"/>
                <c:pt idx="0">
                  <c:v>Manchester United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Sheet1!$A$3:$A$10</c:f>
              <c:strCache>
                <c:ptCount val="7"/>
                <c:pt idx="0">
                  <c:v>14/15</c:v>
                </c:pt>
                <c:pt idx="1">
                  <c:v>15/16</c:v>
                </c:pt>
                <c:pt idx="2">
                  <c:v>16/17</c:v>
                </c:pt>
                <c:pt idx="3">
                  <c:v>17/18</c:v>
                </c:pt>
                <c:pt idx="4">
                  <c:v>18/19</c:v>
                </c:pt>
                <c:pt idx="5">
                  <c:v>19/20</c:v>
                </c:pt>
                <c:pt idx="6">
                  <c:v>20/21</c:v>
                </c:pt>
              </c:strCache>
            </c:strRef>
          </c:cat>
          <c:val>
            <c:numRef>
              <c:f>Sheet1!$F$3:$F$10</c:f>
              <c:numCache>
                <c:formatCode>General</c:formatCode>
                <c:ptCount val="7"/>
                <c:pt idx="0">
                  <c:v>2659000</c:v>
                </c:pt>
                <c:pt idx="1">
                  <c:v>2278000</c:v>
                </c:pt>
                <c:pt idx="2">
                  <c:v>3412000</c:v>
                </c:pt>
                <c:pt idx="3">
                  <c:v>3497000</c:v>
                </c:pt>
                <c:pt idx="4">
                  <c:v>3483000</c:v>
                </c:pt>
                <c:pt idx="5">
                  <c:v>2837000</c:v>
                </c:pt>
                <c:pt idx="6">
                  <c:v>2950000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592-4723-9A9E-932C7DB36DB6}"/>
            </c:ext>
          </c:extLst>
        </c:ser>
        <c:ser>
          <c:idx val="5"/>
          <c:order val="5"/>
          <c:tx>
            <c:strRef>
              <c:f>Sheet1!$G$1:$G$2</c:f>
              <c:strCache>
                <c:ptCount val="1"/>
                <c:pt idx="0">
                  <c:v>Tottenham Hotspur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Sheet1!$A$3:$A$10</c:f>
              <c:strCache>
                <c:ptCount val="7"/>
                <c:pt idx="0">
                  <c:v>14/15</c:v>
                </c:pt>
                <c:pt idx="1">
                  <c:v>15/16</c:v>
                </c:pt>
                <c:pt idx="2">
                  <c:v>16/17</c:v>
                </c:pt>
                <c:pt idx="3">
                  <c:v>17/18</c:v>
                </c:pt>
                <c:pt idx="4">
                  <c:v>18/19</c:v>
                </c:pt>
                <c:pt idx="5">
                  <c:v>19/20</c:v>
                </c:pt>
                <c:pt idx="6">
                  <c:v>20/21</c:v>
                </c:pt>
              </c:strCache>
            </c:strRef>
          </c:cat>
          <c:val>
            <c:numRef>
              <c:f>Sheet1!$G$3:$G$10</c:f>
              <c:numCache>
                <c:formatCode>General</c:formatCode>
                <c:ptCount val="7"/>
                <c:pt idx="0">
                  <c:v>1860000</c:v>
                </c:pt>
                <c:pt idx="1">
                  <c:v>1577000</c:v>
                </c:pt>
                <c:pt idx="2">
                  <c:v>2045000</c:v>
                </c:pt>
                <c:pt idx="3">
                  <c:v>2240000</c:v>
                </c:pt>
                <c:pt idx="4">
                  <c:v>2542000</c:v>
                </c:pt>
                <c:pt idx="5">
                  <c:v>2563500</c:v>
                </c:pt>
                <c:pt idx="6">
                  <c:v>2542000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592-4723-9A9E-932C7DB36D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1113888"/>
        <c:axId val="611112248"/>
      </c:lineChart>
      <c:catAx>
        <c:axId val="611113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season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1112248"/>
        <c:crosses val="autoZero"/>
        <c:auto val="1"/>
        <c:lblAlgn val="ctr"/>
        <c:lblOffset val="100"/>
        <c:noMultiLvlLbl val="0"/>
      </c:catAx>
      <c:valAx>
        <c:axId val="611112248"/>
        <c:scaling>
          <c:orientation val="minMax"/>
          <c:min val="100000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Total wage (</a:t>
                </a:r>
                <a:r>
                  <a:rPr lang="zh-CN" altLang="en-US" sz="900" b="0" i="0" u="none" strike="noStrike" cap="all" baseline="0">
                    <a:effectLst/>
                  </a:rPr>
                  <a:t>€</a:t>
                </a:r>
                <a:r>
                  <a:rPr lang="en-US" altLang="zh-CN"/>
                  <a:t>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1113888"/>
        <c:crosses val="autoZero"/>
        <c:crossBetween val="between"/>
        <c:dispUnits>
          <c:builtInUnit val="millions"/>
          <c:dispUnitsLbl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[LA_LIGA_BIG3_CLUB_RATING_ROLLUP.xlsx]Sheet2 (2)!数据透视表4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600" b="1" i="0" u="none" strike="noStrike" baseline="0">
                <a:effectLst/>
              </a:rPr>
              <a:t>Atlético Madrid's Ratings from season 18/19 to 20/21</a:t>
            </a:r>
            <a:endParaRPr lang="zh-CN" altLang="zh-CN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rgbClr val="99FF99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square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CC33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triangle"/>
          <c:size val="5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1"/>
          <c:order val="0"/>
          <c:tx>
            <c:strRef>
              <c:f>'Sheet2 (2)'!$B$4:$B$5</c:f>
              <c:strCache>
                <c:ptCount val="1"/>
                <c:pt idx="0">
                  <c:v>forward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'Sheet2 (2)'!$A$6:$A$9</c:f>
              <c:strCache>
                <c:ptCount val="3"/>
                <c:pt idx="0">
                  <c:v>18/19</c:v>
                </c:pt>
                <c:pt idx="1">
                  <c:v>19/20</c:v>
                </c:pt>
                <c:pt idx="2">
                  <c:v>20/21</c:v>
                </c:pt>
              </c:strCache>
            </c:strRef>
          </c:cat>
          <c:val>
            <c:numRef>
              <c:f>'Sheet2 (2)'!$B$6:$B$9</c:f>
              <c:numCache>
                <c:formatCode>General</c:formatCode>
                <c:ptCount val="3"/>
                <c:pt idx="0">
                  <c:v>74.454499999999996</c:v>
                </c:pt>
                <c:pt idx="1">
                  <c:v>73.153800000000004</c:v>
                </c:pt>
                <c:pt idx="2">
                  <c:v>74.142899999999997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69-489F-96A4-93E0D968FE21}"/>
            </c:ext>
          </c:extLst>
        </c:ser>
        <c:ser>
          <c:idx val="0"/>
          <c:order val="1"/>
          <c:tx>
            <c:strRef>
              <c:f>'Sheet2 (2)'!$C$4:$C$5</c:f>
              <c:strCache>
                <c:ptCount val="1"/>
                <c:pt idx="0">
                  <c:v>midfielder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'Sheet2 (2)'!$A$6:$A$9</c:f>
              <c:strCache>
                <c:ptCount val="3"/>
                <c:pt idx="0">
                  <c:v>18/19</c:v>
                </c:pt>
                <c:pt idx="1">
                  <c:v>19/20</c:v>
                </c:pt>
                <c:pt idx="2">
                  <c:v>20/21</c:v>
                </c:pt>
              </c:strCache>
            </c:strRef>
          </c:cat>
          <c:val>
            <c:numRef>
              <c:f>'Sheet2 (2)'!$C$6:$C$9</c:f>
              <c:numCache>
                <c:formatCode>General</c:formatCode>
                <c:ptCount val="3"/>
                <c:pt idx="0">
                  <c:v>75.714299999999994</c:v>
                </c:pt>
                <c:pt idx="1">
                  <c:v>77.3</c:v>
                </c:pt>
                <c:pt idx="2">
                  <c:v>77.583299999999994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69-489F-96A4-93E0D968FE21}"/>
            </c:ext>
          </c:extLst>
        </c:ser>
        <c:ser>
          <c:idx val="2"/>
          <c:order val="2"/>
          <c:tx>
            <c:strRef>
              <c:f>'Sheet2 (2)'!$D$4:$D$5</c:f>
              <c:strCache>
                <c:ptCount val="1"/>
                <c:pt idx="0">
                  <c:v>defender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'Sheet2 (2)'!$A$6:$A$9</c:f>
              <c:strCache>
                <c:ptCount val="3"/>
                <c:pt idx="0">
                  <c:v>18/19</c:v>
                </c:pt>
                <c:pt idx="1">
                  <c:v>19/20</c:v>
                </c:pt>
                <c:pt idx="2">
                  <c:v>20/21</c:v>
                </c:pt>
              </c:strCache>
            </c:strRef>
          </c:cat>
          <c:val>
            <c:numRef>
              <c:f>'Sheet2 (2)'!$D$6:$D$9</c:f>
              <c:numCache>
                <c:formatCode>General</c:formatCode>
                <c:ptCount val="3"/>
                <c:pt idx="0">
                  <c:v>75.142899999999997</c:v>
                </c:pt>
                <c:pt idx="1">
                  <c:v>76.357100000000003</c:v>
                </c:pt>
                <c:pt idx="2">
                  <c:v>77.142899999999997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D69-489F-96A4-93E0D968FE21}"/>
            </c:ext>
          </c:extLst>
        </c:ser>
        <c:ser>
          <c:idx val="3"/>
          <c:order val="3"/>
          <c:tx>
            <c:strRef>
              <c:f>'Sheet2 (2)'!$E$4:$E$5</c:f>
              <c:strCache>
                <c:ptCount val="1"/>
                <c:pt idx="0">
                  <c:v>overall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'Sheet2 (2)'!$A$6:$A$9</c:f>
              <c:strCache>
                <c:ptCount val="3"/>
                <c:pt idx="0">
                  <c:v>18/19</c:v>
                </c:pt>
                <c:pt idx="1">
                  <c:v>19/20</c:v>
                </c:pt>
                <c:pt idx="2">
                  <c:v>20/21</c:v>
                </c:pt>
              </c:strCache>
            </c:strRef>
          </c:cat>
          <c:val>
            <c:numRef>
              <c:f>'Sheet2 (2)'!$E$6:$E$9</c:f>
              <c:numCache>
                <c:formatCode>General</c:formatCode>
                <c:ptCount val="3"/>
                <c:pt idx="0">
                  <c:v>75.031300000000002</c:v>
                </c:pt>
                <c:pt idx="1">
                  <c:v>75.486500000000007</c:v>
                </c:pt>
                <c:pt idx="2">
                  <c:v>76.224999999999994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D69-489F-96A4-93E0D968FE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0380472"/>
        <c:axId val="730381784"/>
      </c:lineChart>
      <c:catAx>
        <c:axId val="730380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SEASON</a:t>
                </a:r>
              </a:p>
              <a:p>
                <a:pPr>
                  <a:defRPr/>
                </a:pPr>
                <a:r>
                  <a:rPr lang="en-US" altLang="zh-CN"/>
                  <a:t>POSITION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381784"/>
        <c:crosses val="autoZero"/>
        <c:auto val="1"/>
        <c:lblAlgn val="ctr"/>
        <c:lblOffset val="100"/>
        <c:noMultiLvlLbl val="0"/>
      </c:catAx>
      <c:valAx>
        <c:axId val="730381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aseline="0"/>
                  <a:t>rating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380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[CLUB_RANK_BY_PLAYER_VALUE_IN_BIG_FIVE_LEAGUES.xlsx]Sheet1!数据透视表2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Total Wage of English Premiere League in Season 20/21</a:t>
            </a:r>
            <a:endParaRPr lang="zh-C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</c:pivotFmt>
      <c:pivotFmt>
        <c:idx val="87"/>
      </c:pivotFmt>
      <c:pivotFmt>
        <c:idx val="88"/>
      </c:pivotFmt>
      <c:pivotFmt>
        <c:idx val="89"/>
      </c:pivotFmt>
      <c:pivotFmt>
        <c:idx val="90"/>
      </c:pivotFmt>
      <c:pivotFmt>
        <c:idx val="91"/>
      </c:pivotFmt>
      <c:pivotFmt>
        <c:idx val="92"/>
      </c:pivotFmt>
      <c:pivotFmt>
        <c:idx val="93"/>
      </c:pivotFmt>
      <c:pivotFmt>
        <c:idx val="94"/>
      </c:pivotFmt>
      <c:pivotFmt>
        <c:idx val="95"/>
      </c:pivotFmt>
      <c:pivotFmt>
        <c:idx val="96"/>
      </c:pivotFmt>
      <c:pivotFmt>
        <c:idx val="97"/>
      </c:pivotFmt>
      <c:pivotFmt>
        <c:idx val="98"/>
      </c:pivotFmt>
      <c:pivotFmt>
        <c:idx val="99"/>
      </c:pivotFmt>
      <c:pivotFmt>
        <c:idx val="100"/>
      </c:pivotFmt>
      <c:pivotFmt>
        <c:idx val="101"/>
      </c:pivotFmt>
      <c:pivotFmt>
        <c:idx val="102"/>
      </c:pivotFmt>
      <c:pivotFmt>
        <c:idx val="103"/>
      </c:pivotFmt>
      <c:pivotFmt>
        <c:idx val="104"/>
      </c:pivotFmt>
      <c:pivotFmt>
        <c:idx val="105"/>
      </c:pivotFmt>
      <c:pivotFmt>
        <c:idx val="106"/>
      </c:pivotFmt>
      <c:pivotFmt>
        <c:idx val="107"/>
      </c:pivotFmt>
      <c:pivotFmt>
        <c:idx val="108"/>
      </c:pivotFmt>
      <c:pivotFmt>
        <c:idx val="109"/>
      </c:pivotFmt>
      <c:pivotFmt>
        <c:idx val="110"/>
      </c:pivotFmt>
      <c:pivotFmt>
        <c:idx val="111"/>
      </c:pivotFmt>
      <c:pivotFmt>
        <c:idx val="112"/>
      </c:pivotFmt>
      <c:pivotFmt>
        <c:idx val="113"/>
      </c:pivotFmt>
      <c:pivotFmt>
        <c:idx val="114"/>
      </c:pivotFmt>
      <c:pivotFmt>
        <c:idx val="115"/>
      </c:pivotFmt>
      <c:pivotFmt>
        <c:idx val="116"/>
      </c:pivotFmt>
      <c:pivotFmt>
        <c:idx val="117"/>
      </c:pivotFmt>
      <c:pivotFmt>
        <c:idx val="118"/>
      </c:pivotFmt>
      <c:pivotFmt>
        <c:idx val="119"/>
      </c:pivotFmt>
      <c:pivotFmt>
        <c:idx val="120"/>
      </c:pivotFmt>
      <c:pivotFmt>
        <c:idx val="121"/>
      </c:pivotFmt>
      <c:pivotFmt>
        <c:idx val="122"/>
      </c:pivotFmt>
      <c:pivotFmt>
        <c:idx val="123"/>
      </c:pivotFmt>
      <c:pivotFmt>
        <c:idx val="124"/>
      </c:pivotFmt>
      <c:pivotFmt>
        <c:idx val="125"/>
      </c:pivotFmt>
      <c:pivotFmt>
        <c:idx val="126"/>
      </c:pivotFmt>
      <c:pivotFmt>
        <c:idx val="127"/>
      </c:pivotFmt>
      <c:pivotFmt>
        <c:idx val="128"/>
      </c:pivotFmt>
      <c:pivotFmt>
        <c:idx val="129"/>
      </c:pivotFmt>
      <c:pivotFmt>
        <c:idx val="130"/>
      </c:pivotFmt>
      <c:pivotFmt>
        <c:idx val="131"/>
      </c:pivotFmt>
      <c:pivotFmt>
        <c:idx val="132"/>
      </c:pivotFmt>
      <c:pivotFmt>
        <c:idx val="133"/>
      </c:pivotFmt>
      <c:pivotFmt>
        <c:idx val="134"/>
      </c:pivotFmt>
      <c:pivotFmt>
        <c:idx val="135"/>
      </c:pivotFmt>
      <c:pivotFmt>
        <c:idx val="136"/>
      </c:pivotFmt>
      <c:pivotFmt>
        <c:idx val="137"/>
      </c:pivotFmt>
      <c:pivotFmt>
        <c:idx val="138"/>
      </c:pivotFmt>
      <c:pivotFmt>
        <c:idx val="139"/>
      </c:pivotFmt>
      <c:pivotFmt>
        <c:idx val="140"/>
      </c:pivotFmt>
      <c:pivotFmt>
        <c:idx val="141"/>
      </c:pivotFmt>
      <c:pivotFmt>
        <c:idx val="142"/>
      </c:pivotFmt>
      <c:pivotFmt>
        <c:idx val="143"/>
      </c:pivotFmt>
      <c:pivotFmt>
        <c:idx val="144"/>
      </c:pivotFmt>
      <c:pivotFmt>
        <c:idx val="145"/>
      </c:pivotFmt>
      <c:pivotFmt>
        <c:idx val="146"/>
      </c:pivotFmt>
      <c:pivotFmt>
        <c:idx val="147"/>
      </c:pivotFmt>
      <c:pivotFmt>
        <c:idx val="148"/>
      </c:pivotFmt>
      <c:pivotFmt>
        <c:idx val="149"/>
      </c:pivotFmt>
      <c:pivotFmt>
        <c:idx val="150"/>
      </c:pivotFmt>
      <c:pivotFmt>
        <c:idx val="151"/>
      </c:pivotFmt>
      <c:pivotFmt>
        <c:idx val="152"/>
      </c:pivotFmt>
      <c:pivotFmt>
        <c:idx val="153"/>
      </c:pivotFmt>
      <c:pivotFmt>
        <c:idx val="154"/>
      </c:pivotFmt>
      <c:pivotFmt>
        <c:idx val="155"/>
      </c:pivotFmt>
      <c:pivotFmt>
        <c:idx val="156"/>
      </c:pivotFmt>
      <c:pivotFmt>
        <c:idx val="157"/>
      </c:pivotFmt>
      <c:pivotFmt>
        <c:idx val="158"/>
      </c:pivotFmt>
      <c:pivotFmt>
        <c:idx val="159"/>
      </c:pivotFmt>
      <c:pivotFmt>
        <c:idx val="160"/>
      </c:pivotFmt>
      <c:pivotFmt>
        <c:idx val="161"/>
      </c:pivotFmt>
      <c:pivotFmt>
        <c:idx val="162"/>
      </c:pivotFmt>
      <c:pivotFmt>
        <c:idx val="163"/>
      </c:pivotFmt>
      <c:pivotFmt>
        <c:idx val="164"/>
      </c:pivotFmt>
      <c:pivotFmt>
        <c:idx val="165"/>
      </c:pivotFmt>
      <c:pivotFmt>
        <c:idx val="166"/>
      </c:pivotFmt>
      <c:pivotFmt>
        <c:idx val="167"/>
      </c:pivotFmt>
      <c:pivotFmt>
        <c:idx val="168"/>
      </c:pivotFmt>
      <c:pivotFmt>
        <c:idx val="169"/>
      </c:pivotFmt>
      <c:pivotFmt>
        <c:idx val="170"/>
      </c:pivotFmt>
      <c:pivotFmt>
        <c:idx val="171"/>
      </c:pivotFmt>
      <c:pivotFmt>
        <c:idx val="172"/>
      </c:pivotFmt>
      <c:pivotFmt>
        <c:idx val="173"/>
      </c:pivotFmt>
      <c:pivotFmt>
        <c:idx val="174"/>
      </c:pivotFmt>
      <c:pivotFmt>
        <c:idx val="175"/>
      </c:pivotFmt>
      <c:pivotFmt>
        <c:idx val="176"/>
      </c:pivotFmt>
      <c:pivotFmt>
        <c:idx val="177"/>
      </c:pivotFmt>
      <c:pivotFmt>
        <c:idx val="178"/>
      </c:pivotFmt>
      <c:pivotFmt>
        <c:idx val="179"/>
      </c:pivotFmt>
      <c:pivotFmt>
        <c:idx val="180"/>
      </c:pivotFmt>
      <c:pivotFmt>
        <c:idx val="181"/>
      </c:pivotFmt>
      <c:pivotFmt>
        <c:idx val="182"/>
      </c:pivotFmt>
      <c:pivotFmt>
        <c:idx val="183"/>
      </c:pivotFmt>
      <c:pivotFmt>
        <c:idx val="184"/>
      </c:pivotFmt>
      <c:pivotFmt>
        <c:idx val="185"/>
      </c:pivotFmt>
      <c:pivotFmt>
        <c:idx val="186"/>
      </c:pivotFmt>
      <c:pivotFmt>
        <c:idx val="187"/>
      </c:pivotFmt>
      <c:pivotFmt>
        <c:idx val="188"/>
      </c:pivotFmt>
      <c:pivotFmt>
        <c:idx val="189"/>
      </c:pivotFmt>
      <c:pivotFmt>
        <c:idx val="190"/>
      </c:pivotFmt>
      <c:pivotFmt>
        <c:idx val="191"/>
      </c:pivotFmt>
      <c:pivotFmt>
        <c:idx val="192"/>
      </c:pivotFmt>
      <c:pivotFmt>
        <c:idx val="193"/>
      </c:pivotFmt>
      <c:pivotFmt>
        <c:idx val="194"/>
      </c:pivotFmt>
      <c:pivotFmt>
        <c:idx val="195"/>
      </c:pivotFmt>
      <c:pivotFmt>
        <c:idx val="196"/>
      </c:pivotFmt>
      <c:pivotFmt>
        <c:idx val="197"/>
      </c:pivotFmt>
      <c:pivotFmt>
        <c:idx val="198"/>
      </c:pivotFmt>
      <c:pivotFmt>
        <c:idx val="199"/>
      </c:pivotFmt>
      <c:pivotFmt>
        <c:idx val="200"/>
      </c:pivotFmt>
      <c:pivotFmt>
        <c:idx val="201"/>
      </c:pivotFmt>
      <c:pivotFmt>
        <c:idx val="202"/>
      </c:pivotFmt>
      <c:pivotFmt>
        <c:idx val="203"/>
      </c:pivotFmt>
      <c:pivotFmt>
        <c:idx val="204"/>
      </c:pivotFmt>
      <c:pivotFmt>
        <c:idx val="205"/>
      </c:pivotFmt>
      <c:pivotFmt>
        <c:idx val="206"/>
      </c:pivotFmt>
      <c:pivotFmt>
        <c:idx val="207"/>
      </c:pivotFmt>
      <c:pivotFmt>
        <c:idx val="208"/>
      </c:pivotFmt>
      <c:pivotFmt>
        <c:idx val="209"/>
      </c:pivotFmt>
      <c:pivotFmt>
        <c:idx val="210"/>
      </c:pivotFmt>
      <c:pivotFmt>
        <c:idx val="211"/>
      </c:pivotFmt>
      <c:pivotFmt>
        <c:idx val="212"/>
      </c:pivotFmt>
      <c:pivotFmt>
        <c:idx val="213"/>
      </c:pivotFmt>
      <c:pivotFmt>
        <c:idx val="214"/>
      </c:pivotFmt>
      <c:pivotFmt>
        <c:idx val="215"/>
      </c:pivotFmt>
      <c:pivotFmt>
        <c:idx val="216"/>
      </c:pivotFmt>
      <c:pivotFmt>
        <c:idx val="217"/>
      </c:pivotFmt>
      <c:pivotFmt>
        <c:idx val="218"/>
      </c:pivotFmt>
      <c:pivotFmt>
        <c:idx val="219"/>
      </c:pivotFmt>
      <c:pivotFmt>
        <c:idx val="220"/>
      </c:pivotFmt>
      <c:pivotFmt>
        <c:idx val="221"/>
      </c:pivotFmt>
      <c:pivotFmt>
        <c:idx val="222"/>
      </c:pivotFmt>
      <c:pivotFmt>
        <c:idx val="223"/>
      </c:pivotFmt>
      <c:pivotFmt>
        <c:idx val="224"/>
      </c:pivotFmt>
      <c:pivotFmt>
        <c:idx val="225"/>
      </c:pivotFmt>
      <c:pivotFmt>
        <c:idx val="226"/>
      </c:pivotFmt>
      <c:pivotFmt>
        <c:idx val="227"/>
      </c:pivotFmt>
      <c:pivotFmt>
        <c:idx val="228"/>
      </c:pivotFmt>
      <c:pivotFmt>
        <c:idx val="229"/>
      </c:pivotFmt>
      <c:pivotFmt>
        <c:idx val="230"/>
      </c:pivotFmt>
      <c:pivotFmt>
        <c:idx val="231"/>
      </c:pivotFmt>
      <c:pivotFmt>
        <c:idx val="232"/>
      </c:pivotFmt>
      <c:pivotFmt>
        <c:idx val="233"/>
      </c:pivotFmt>
      <c:pivotFmt>
        <c:idx val="234"/>
      </c:pivotFmt>
      <c:pivotFmt>
        <c:idx val="235"/>
      </c:pivotFmt>
      <c:pivotFmt>
        <c:idx val="236"/>
      </c:pivotFmt>
      <c:pivotFmt>
        <c:idx val="237"/>
      </c:pivotFmt>
      <c:pivotFmt>
        <c:idx val="238"/>
      </c:pivotFmt>
      <c:pivotFmt>
        <c:idx val="239"/>
      </c:pivotFmt>
      <c:pivotFmt>
        <c:idx val="240"/>
      </c:pivotFmt>
      <c:pivotFmt>
        <c:idx val="241"/>
      </c:pivotFmt>
      <c:pivotFmt>
        <c:idx val="242"/>
      </c:pivotFmt>
      <c:pivotFmt>
        <c:idx val="243"/>
      </c:pivotFmt>
      <c:pivotFmt>
        <c:idx val="244"/>
      </c:pivotFmt>
      <c:pivotFmt>
        <c:idx val="245"/>
      </c:pivotFmt>
      <c:pivotFmt>
        <c:idx val="246"/>
      </c:pivotFmt>
      <c:pivotFmt>
        <c:idx val="247"/>
      </c:pivotFmt>
      <c:pivotFmt>
        <c:idx val="248"/>
      </c:pivotFmt>
      <c:pivotFmt>
        <c:idx val="249"/>
      </c:pivotFmt>
      <c:pivotFmt>
        <c:idx val="250"/>
      </c:pivotFmt>
      <c:pivotFmt>
        <c:idx val="251"/>
      </c:pivotFmt>
      <c:pivotFmt>
        <c:idx val="252"/>
      </c:pivotFmt>
      <c:pivotFmt>
        <c:idx val="253"/>
      </c:pivotFmt>
      <c:pivotFmt>
        <c:idx val="254"/>
      </c:pivotFmt>
      <c:pivotFmt>
        <c:idx val="255"/>
      </c:pivotFmt>
      <c:pivotFmt>
        <c:idx val="256"/>
      </c:pivotFmt>
      <c:pivotFmt>
        <c:idx val="257"/>
      </c:pivotFmt>
      <c:pivotFmt>
        <c:idx val="258"/>
      </c:pivotFmt>
      <c:pivotFmt>
        <c:idx val="259"/>
      </c:pivotFmt>
      <c:pivotFmt>
        <c:idx val="260"/>
      </c:pivotFmt>
      <c:pivotFmt>
        <c:idx val="261"/>
      </c:pivotFmt>
      <c:pivotFmt>
        <c:idx val="262"/>
      </c:pivotFmt>
      <c:pivotFmt>
        <c:idx val="263"/>
      </c:pivotFmt>
      <c:pivotFmt>
        <c:idx val="264"/>
      </c:pivotFmt>
      <c:pivotFmt>
        <c:idx val="265"/>
      </c:pivotFmt>
      <c:pivotFmt>
        <c:idx val="266"/>
      </c:pivotFmt>
      <c:pivotFmt>
        <c:idx val="267"/>
      </c:pivotFmt>
      <c:pivotFmt>
        <c:idx val="268"/>
      </c:pivotFmt>
      <c:pivotFmt>
        <c:idx val="269"/>
      </c:pivotFmt>
      <c:pivotFmt>
        <c:idx val="270"/>
      </c:pivotFmt>
      <c:pivotFmt>
        <c:idx val="271"/>
      </c:pivotFmt>
      <c:pivotFmt>
        <c:idx val="272"/>
      </c:pivotFmt>
      <c:pivotFmt>
        <c:idx val="273"/>
      </c:pivotFmt>
      <c:pivotFmt>
        <c:idx val="274"/>
      </c:pivotFmt>
      <c:pivotFmt>
        <c:idx val="275"/>
      </c:pivotFmt>
      <c:pivotFmt>
        <c:idx val="276"/>
      </c:pivotFmt>
      <c:pivotFmt>
        <c:idx val="277"/>
      </c:pivotFmt>
      <c:pivotFmt>
        <c:idx val="278"/>
      </c:pivotFmt>
      <c:pivotFmt>
        <c:idx val="279"/>
      </c:pivotFmt>
      <c:pivotFmt>
        <c:idx val="280"/>
      </c:pivotFmt>
      <c:pivotFmt>
        <c:idx val="281"/>
      </c:pivotFmt>
      <c:pivotFmt>
        <c:idx val="282"/>
      </c:pivotFmt>
      <c:pivotFmt>
        <c:idx val="283"/>
      </c:pivotFmt>
      <c:pivotFmt>
        <c:idx val="284"/>
      </c:pivotFmt>
      <c:pivotFmt>
        <c:idx val="285"/>
      </c:pivotFmt>
      <c:pivotFmt>
        <c:idx val="286"/>
      </c:pivotFmt>
      <c:pivotFmt>
        <c:idx val="287"/>
      </c:pivotFmt>
      <c:pivotFmt>
        <c:idx val="288"/>
      </c:pivotFmt>
      <c:pivotFmt>
        <c:idx val="289"/>
      </c:pivotFmt>
      <c:pivotFmt>
        <c:idx val="290"/>
      </c:pivotFmt>
      <c:pivotFmt>
        <c:idx val="291"/>
      </c:pivotFmt>
      <c:pivotFmt>
        <c:idx val="292"/>
      </c:pivotFmt>
      <c:pivotFmt>
        <c:idx val="293"/>
      </c:pivotFmt>
      <c:pivotFmt>
        <c:idx val="294"/>
      </c:pivotFmt>
      <c:pivotFmt>
        <c:idx val="295"/>
      </c:pivotFmt>
      <c:pivotFmt>
        <c:idx val="296"/>
      </c:pivotFmt>
      <c:pivotFmt>
        <c:idx val="297"/>
      </c:pivotFmt>
      <c:pivotFmt>
        <c:idx val="298"/>
      </c:pivotFmt>
      <c:pivotFmt>
        <c:idx val="299"/>
      </c:pivotFmt>
      <c:pivotFmt>
        <c:idx val="300"/>
      </c:pivotFmt>
      <c:pivotFmt>
        <c:idx val="301"/>
      </c:pivotFmt>
      <c:pivotFmt>
        <c:idx val="302"/>
      </c:pivotFmt>
      <c:pivotFmt>
        <c:idx val="303"/>
      </c:pivotFmt>
      <c:pivotFmt>
        <c:idx val="304"/>
      </c:pivotFmt>
      <c:pivotFmt>
        <c:idx val="305"/>
      </c:pivotFmt>
      <c:pivotFmt>
        <c:idx val="306"/>
      </c:pivotFmt>
      <c:pivotFmt>
        <c:idx val="307"/>
      </c:pivotFmt>
      <c:pivotFmt>
        <c:idx val="308"/>
      </c:pivotFmt>
      <c:pivotFmt>
        <c:idx val="309"/>
      </c:pivotFmt>
      <c:pivotFmt>
        <c:idx val="310"/>
      </c:pivotFmt>
      <c:pivotFmt>
        <c:idx val="311"/>
      </c:pivotFmt>
      <c:pivotFmt>
        <c:idx val="312"/>
      </c:pivotFmt>
      <c:pivotFmt>
        <c:idx val="313"/>
      </c:pivotFmt>
      <c:pivotFmt>
        <c:idx val="314"/>
      </c:pivotFmt>
      <c:pivotFmt>
        <c:idx val="315"/>
      </c:pivotFmt>
      <c:pivotFmt>
        <c:idx val="316"/>
      </c:pivotFmt>
      <c:pivotFmt>
        <c:idx val="317"/>
      </c:pivotFmt>
      <c:pivotFmt>
        <c:idx val="318"/>
      </c:pivotFmt>
      <c:pivotFmt>
        <c:idx val="319"/>
      </c:pivotFmt>
      <c:pivotFmt>
        <c:idx val="320"/>
      </c:pivotFmt>
      <c:pivotFmt>
        <c:idx val="321"/>
      </c:pivotFmt>
      <c:pivotFmt>
        <c:idx val="322"/>
      </c:pivotFmt>
      <c:pivotFmt>
        <c:idx val="323"/>
      </c:pivotFmt>
      <c:pivotFmt>
        <c:idx val="324"/>
      </c:pivotFmt>
      <c:pivotFmt>
        <c:idx val="325"/>
      </c:pivotFmt>
      <c:pivotFmt>
        <c:idx val="326"/>
      </c:pivotFmt>
      <c:pivotFmt>
        <c:idx val="327"/>
      </c:pivotFmt>
      <c:pivotFmt>
        <c:idx val="328"/>
      </c:pivotFmt>
      <c:pivotFmt>
        <c:idx val="329"/>
      </c:pivotFmt>
      <c:pivotFmt>
        <c:idx val="330"/>
      </c:pivotFmt>
      <c:pivotFmt>
        <c:idx val="331"/>
      </c:pivotFmt>
      <c:pivotFmt>
        <c:idx val="332"/>
      </c:pivotFmt>
      <c:pivotFmt>
        <c:idx val="333"/>
      </c:pivotFmt>
      <c:pivotFmt>
        <c:idx val="334"/>
      </c:pivotFmt>
      <c:pivotFmt>
        <c:idx val="335"/>
      </c:pivotFmt>
      <c:pivotFmt>
        <c:idx val="336"/>
      </c:pivotFmt>
      <c:pivotFmt>
        <c:idx val="337"/>
      </c:pivotFmt>
      <c:pivotFmt>
        <c:idx val="338"/>
      </c:pivotFmt>
      <c:pivotFmt>
        <c:idx val="339"/>
      </c:pivotFmt>
      <c:pivotFmt>
        <c:idx val="340"/>
      </c:pivotFmt>
      <c:pivotFmt>
        <c:idx val="341"/>
      </c:pivotFmt>
      <c:pivotFmt>
        <c:idx val="342"/>
      </c:pivotFmt>
      <c:pivotFmt>
        <c:idx val="343"/>
      </c:pivotFmt>
      <c:pivotFmt>
        <c:idx val="344"/>
      </c:pivotFmt>
      <c:pivotFmt>
        <c:idx val="345"/>
      </c:pivotFmt>
      <c:pivotFmt>
        <c:idx val="346"/>
      </c:pivotFmt>
      <c:pivotFmt>
        <c:idx val="347"/>
      </c:pivotFmt>
      <c:pivotFmt>
        <c:idx val="348"/>
      </c:pivotFmt>
      <c:pivotFmt>
        <c:idx val="349"/>
      </c:pivotFmt>
      <c:pivotFmt>
        <c:idx val="350"/>
      </c:pivotFmt>
      <c:pivotFmt>
        <c:idx val="351"/>
      </c:pivotFmt>
      <c:pivotFmt>
        <c:idx val="352"/>
      </c:pivotFmt>
      <c:pivotFmt>
        <c:idx val="353"/>
      </c:pivotFmt>
      <c:pivotFmt>
        <c:idx val="354"/>
      </c:pivotFmt>
      <c:pivotFmt>
        <c:idx val="355"/>
      </c:pivotFmt>
      <c:pivotFmt>
        <c:idx val="356"/>
      </c:pivotFmt>
      <c:pivotFmt>
        <c:idx val="357"/>
      </c:pivotFmt>
      <c:pivotFmt>
        <c:idx val="358"/>
      </c:pivotFmt>
      <c:pivotFmt>
        <c:idx val="359"/>
      </c:pivotFmt>
      <c:pivotFmt>
        <c:idx val="360"/>
      </c:pivotFmt>
      <c:pivotFmt>
        <c:idx val="361"/>
      </c:pivotFmt>
      <c:pivotFmt>
        <c:idx val="362"/>
      </c:pivotFmt>
      <c:pivotFmt>
        <c:idx val="363"/>
      </c:pivotFmt>
      <c:pivotFmt>
        <c:idx val="364"/>
      </c:pivotFmt>
      <c:pivotFmt>
        <c:idx val="365"/>
      </c:pivotFmt>
      <c:pivotFmt>
        <c:idx val="366"/>
      </c:pivotFmt>
      <c:pivotFmt>
        <c:idx val="367"/>
      </c:pivotFmt>
      <c:pivotFmt>
        <c:idx val="368"/>
      </c:pivotFmt>
      <c:pivotFmt>
        <c:idx val="369"/>
      </c:pivotFmt>
      <c:pivotFmt>
        <c:idx val="370"/>
      </c:pivotFmt>
      <c:pivotFmt>
        <c:idx val="371"/>
      </c:pivotFmt>
      <c:pivotFmt>
        <c:idx val="372"/>
      </c:pivotFmt>
      <c:pivotFmt>
        <c:idx val="373"/>
      </c:pivotFmt>
      <c:pivotFmt>
        <c:idx val="374"/>
      </c:pivotFmt>
      <c:pivotFmt>
        <c:idx val="375"/>
      </c:pivotFmt>
      <c:pivotFmt>
        <c:idx val="376"/>
      </c:pivotFmt>
      <c:pivotFmt>
        <c:idx val="377"/>
      </c:pivotFmt>
      <c:pivotFmt>
        <c:idx val="378"/>
      </c:pivotFmt>
      <c:pivotFmt>
        <c:idx val="379"/>
      </c:pivotFmt>
      <c:pivotFmt>
        <c:idx val="380"/>
      </c:pivotFmt>
      <c:pivotFmt>
        <c:idx val="381"/>
      </c:pivotFmt>
      <c:pivotFmt>
        <c:idx val="382"/>
      </c:pivotFmt>
      <c:pivotFmt>
        <c:idx val="383"/>
      </c:pivotFmt>
      <c:pivotFmt>
        <c:idx val="384"/>
      </c:pivotFmt>
      <c:pivotFmt>
        <c:idx val="385"/>
      </c:pivotFmt>
      <c:pivotFmt>
        <c:idx val="386"/>
      </c:pivotFmt>
      <c:pivotFmt>
        <c:idx val="387"/>
      </c:pivotFmt>
      <c:pivotFmt>
        <c:idx val="388"/>
      </c:pivotFmt>
      <c:pivotFmt>
        <c:idx val="389"/>
      </c:pivotFmt>
      <c:pivotFmt>
        <c:idx val="390"/>
      </c:pivotFmt>
      <c:pivotFmt>
        <c:idx val="391"/>
      </c:pivotFmt>
      <c:pivotFmt>
        <c:idx val="392"/>
      </c:pivotFmt>
      <c:pivotFmt>
        <c:idx val="393"/>
      </c:pivotFmt>
      <c:pivotFmt>
        <c:idx val="394"/>
      </c:pivotFmt>
      <c:pivotFmt>
        <c:idx val="395"/>
      </c:pivotFmt>
      <c:pivotFmt>
        <c:idx val="396"/>
      </c:pivotFmt>
      <c:pivotFmt>
        <c:idx val="397"/>
      </c:pivotFmt>
      <c:pivotFmt>
        <c:idx val="398"/>
      </c:pivotFmt>
      <c:pivotFmt>
        <c:idx val="399"/>
      </c:pivotFmt>
      <c:pivotFmt>
        <c:idx val="400"/>
      </c:pivotFmt>
      <c:pivotFmt>
        <c:idx val="401"/>
      </c:pivotFmt>
      <c:pivotFmt>
        <c:idx val="402"/>
      </c:pivotFmt>
      <c:pivotFmt>
        <c:idx val="403"/>
      </c:pivotFmt>
      <c:pivotFmt>
        <c:idx val="404"/>
      </c:pivotFmt>
      <c:pivotFmt>
        <c:idx val="405"/>
      </c:pivotFmt>
      <c:pivotFmt>
        <c:idx val="406"/>
      </c:pivotFmt>
      <c:pivotFmt>
        <c:idx val="407"/>
      </c:pivotFmt>
      <c:pivotFmt>
        <c:idx val="408"/>
      </c:pivotFmt>
      <c:pivotFmt>
        <c:idx val="409"/>
      </c:pivotFmt>
      <c:pivotFmt>
        <c:idx val="410"/>
      </c:pivotFmt>
      <c:pivotFmt>
        <c:idx val="411"/>
        <c:spPr>
          <a:solidFill>
            <a:srgbClr val="C86BFB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2"/>
        <c:spPr>
          <a:solidFill>
            <a:srgbClr val="C86BFB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3"/>
        <c:spPr>
          <a:solidFill>
            <a:srgbClr val="C86BFB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rgbClr val="C86BFB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Sheet1!$A$4:$A$24</c:f>
              <c:strCache>
                <c:ptCount val="20"/>
                <c:pt idx="0">
                  <c:v>Sheffield United</c:v>
                </c:pt>
                <c:pt idx="1">
                  <c:v>West Ham United</c:v>
                </c:pt>
                <c:pt idx="2">
                  <c:v>Burnley</c:v>
                </c:pt>
                <c:pt idx="3">
                  <c:v>Newcastle United</c:v>
                </c:pt>
                <c:pt idx="4">
                  <c:v>Southampton</c:v>
                </c:pt>
                <c:pt idx="5">
                  <c:v>Brighton &amp; Hove Albion</c:v>
                </c:pt>
                <c:pt idx="6">
                  <c:v>Crystal Palace</c:v>
                </c:pt>
                <c:pt idx="7">
                  <c:v>Aston Villa</c:v>
                </c:pt>
                <c:pt idx="8">
                  <c:v>West Bromwich Albion</c:v>
                </c:pt>
                <c:pt idx="9">
                  <c:v>Leeds United</c:v>
                </c:pt>
                <c:pt idx="10">
                  <c:v>Wolverhampton Wanderers</c:v>
                </c:pt>
                <c:pt idx="11">
                  <c:v>Fulham</c:v>
                </c:pt>
                <c:pt idx="12">
                  <c:v>Everton</c:v>
                </c:pt>
                <c:pt idx="13">
                  <c:v>Leicester City</c:v>
                </c:pt>
                <c:pt idx="14">
                  <c:v>Arsenal</c:v>
                </c:pt>
                <c:pt idx="15">
                  <c:v>Tottenham Hotspur</c:v>
                </c:pt>
                <c:pt idx="16">
                  <c:v>Chelsea</c:v>
                </c:pt>
                <c:pt idx="17">
                  <c:v>Manchester United</c:v>
                </c:pt>
                <c:pt idx="18">
                  <c:v>Liverpool</c:v>
                </c:pt>
                <c:pt idx="19">
                  <c:v>Manchester City</c:v>
                </c:pt>
              </c:strCache>
            </c:strRef>
          </c:cat>
          <c:val>
            <c:numRef>
              <c:f>Sheet1!$B$4:$B$24</c:f>
              <c:numCache>
                <c:formatCode>General</c:formatCode>
                <c:ptCount val="20"/>
                <c:pt idx="0">
                  <c:v>634000</c:v>
                </c:pt>
                <c:pt idx="1">
                  <c:v>850000</c:v>
                </c:pt>
                <c:pt idx="2">
                  <c:v>926000</c:v>
                </c:pt>
                <c:pt idx="3">
                  <c:v>993000</c:v>
                </c:pt>
                <c:pt idx="4">
                  <c:v>1021000</c:v>
                </c:pt>
                <c:pt idx="5">
                  <c:v>1068000</c:v>
                </c:pt>
                <c:pt idx="6">
                  <c:v>1131000</c:v>
                </c:pt>
                <c:pt idx="7">
                  <c:v>1141000</c:v>
                </c:pt>
                <c:pt idx="8">
                  <c:v>1161000</c:v>
                </c:pt>
                <c:pt idx="9">
                  <c:v>1212500</c:v>
                </c:pt>
                <c:pt idx="10">
                  <c:v>1344000</c:v>
                </c:pt>
                <c:pt idx="11">
                  <c:v>1616000</c:v>
                </c:pt>
                <c:pt idx="12">
                  <c:v>1872000</c:v>
                </c:pt>
                <c:pt idx="13">
                  <c:v>1981000</c:v>
                </c:pt>
                <c:pt idx="14">
                  <c:v>2046000</c:v>
                </c:pt>
                <c:pt idx="15">
                  <c:v>2542000</c:v>
                </c:pt>
                <c:pt idx="16">
                  <c:v>2698000</c:v>
                </c:pt>
                <c:pt idx="17">
                  <c:v>2950000</c:v>
                </c:pt>
                <c:pt idx="18">
                  <c:v>3154000</c:v>
                </c:pt>
                <c:pt idx="19">
                  <c:v>3765000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2C-4142-9124-54A4579465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04111616"/>
        <c:axId val="704114896"/>
      </c:barChart>
      <c:catAx>
        <c:axId val="704111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club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4896"/>
        <c:crosses val="autoZero"/>
        <c:auto val="1"/>
        <c:lblAlgn val="ctr"/>
        <c:lblOffset val="100"/>
        <c:noMultiLvlLbl val="0"/>
      </c:catAx>
      <c:valAx>
        <c:axId val="70411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cap="all" baseline="0">
                    <a:solidFill>
                      <a:sysClr val="window" lastClr="FFFFFF">
                        <a:lumMod val="8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 b="1" i="0" cap="all" baseline="0">
                    <a:effectLst/>
                  </a:rPr>
                  <a:t>Total wage (</a:t>
                </a:r>
                <a:r>
                  <a:rPr lang="zh-CN" altLang="zh-CN" sz="900" b="0" i="0" cap="all" baseline="0">
                    <a:effectLst/>
                  </a:rPr>
                  <a:t>€</a:t>
                </a:r>
                <a:r>
                  <a:rPr lang="en-US" altLang="zh-CN" sz="900" b="1" i="0" cap="all" baseline="0">
                    <a:effectLst/>
                  </a:rPr>
                  <a:t>)</a:t>
                </a:r>
                <a:endParaRPr lang="zh-CN" altLang="zh-CN" sz="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cap="all" baseline="0">
                  <a:solidFill>
                    <a:sysClr val="window" lastClr="FFFFFF">
                      <a:lumMod val="8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1616"/>
        <c:crosses val="autoZero"/>
        <c:crossBetween val="between"/>
        <c:dispUnits>
          <c:builtInUnit val="million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[CLUB_RANK_BY_PLAYER_VALUE_IN_BIG_FIVE_LEAGUES.xlsx]Sheet1 (2)!数据透视表2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Total Wage of French League 1 in Season 20/21</a:t>
            </a:r>
            <a:endParaRPr lang="en-US" altLang="zh-C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</c:pivotFmt>
      <c:pivotFmt>
        <c:idx val="87"/>
      </c:pivotFmt>
      <c:pivotFmt>
        <c:idx val="88"/>
      </c:pivotFmt>
      <c:pivotFmt>
        <c:idx val="89"/>
      </c:pivotFmt>
      <c:pivotFmt>
        <c:idx val="90"/>
      </c:pivotFmt>
      <c:pivotFmt>
        <c:idx val="91"/>
      </c:pivotFmt>
      <c:pivotFmt>
        <c:idx val="92"/>
      </c:pivotFmt>
      <c:pivotFmt>
        <c:idx val="93"/>
      </c:pivotFmt>
      <c:pivotFmt>
        <c:idx val="94"/>
      </c:pivotFmt>
      <c:pivotFmt>
        <c:idx val="95"/>
      </c:pivotFmt>
      <c:pivotFmt>
        <c:idx val="96"/>
      </c:pivotFmt>
      <c:pivotFmt>
        <c:idx val="97"/>
      </c:pivotFmt>
      <c:pivotFmt>
        <c:idx val="98"/>
      </c:pivotFmt>
      <c:pivotFmt>
        <c:idx val="99"/>
      </c:pivotFmt>
      <c:pivotFmt>
        <c:idx val="100"/>
      </c:pivotFmt>
      <c:pivotFmt>
        <c:idx val="101"/>
      </c:pivotFmt>
      <c:pivotFmt>
        <c:idx val="102"/>
      </c:pivotFmt>
      <c:pivotFmt>
        <c:idx val="103"/>
      </c:pivotFmt>
      <c:pivotFmt>
        <c:idx val="104"/>
      </c:pivotFmt>
      <c:pivotFmt>
        <c:idx val="105"/>
      </c:pivotFmt>
      <c:pivotFmt>
        <c:idx val="106"/>
      </c:pivotFmt>
      <c:pivotFmt>
        <c:idx val="107"/>
      </c:pivotFmt>
      <c:pivotFmt>
        <c:idx val="108"/>
      </c:pivotFmt>
      <c:pivotFmt>
        <c:idx val="109"/>
      </c:pivotFmt>
      <c:pivotFmt>
        <c:idx val="110"/>
      </c:pivotFmt>
      <c:pivotFmt>
        <c:idx val="111"/>
      </c:pivotFmt>
      <c:pivotFmt>
        <c:idx val="112"/>
      </c:pivotFmt>
      <c:pivotFmt>
        <c:idx val="113"/>
      </c:pivotFmt>
      <c:pivotFmt>
        <c:idx val="114"/>
      </c:pivotFmt>
      <c:pivotFmt>
        <c:idx val="115"/>
      </c:pivotFmt>
      <c:pivotFmt>
        <c:idx val="116"/>
      </c:pivotFmt>
      <c:pivotFmt>
        <c:idx val="117"/>
      </c:pivotFmt>
      <c:pivotFmt>
        <c:idx val="118"/>
      </c:pivotFmt>
      <c:pivotFmt>
        <c:idx val="119"/>
      </c:pivotFmt>
      <c:pivotFmt>
        <c:idx val="120"/>
      </c:pivotFmt>
      <c:pivotFmt>
        <c:idx val="121"/>
      </c:pivotFmt>
      <c:pivotFmt>
        <c:idx val="122"/>
      </c:pivotFmt>
      <c:pivotFmt>
        <c:idx val="123"/>
      </c:pivotFmt>
      <c:pivotFmt>
        <c:idx val="124"/>
      </c:pivotFmt>
      <c:pivotFmt>
        <c:idx val="125"/>
      </c:pivotFmt>
      <c:pivotFmt>
        <c:idx val="126"/>
      </c:pivotFmt>
      <c:pivotFmt>
        <c:idx val="127"/>
      </c:pivotFmt>
      <c:pivotFmt>
        <c:idx val="128"/>
      </c:pivotFmt>
      <c:pivotFmt>
        <c:idx val="129"/>
      </c:pivotFmt>
      <c:pivotFmt>
        <c:idx val="130"/>
      </c:pivotFmt>
      <c:pivotFmt>
        <c:idx val="131"/>
      </c:pivotFmt>
      <c:pivotFmt>
        <c:idx val="132"/>
      </c:pivotFmt>
      <c:pivotFmt>
        <c:idx val="133"/>
      </c:pivotFmt>
      <c:pivotFmt>
        <c:idx val="134"/>
      </c:pivotFmt>
      <c:pivotFmt>
        <c:idx val="135"/>
      </c:pivotFmt>
      <c:pivotFmt>
        <c:idx val="136"/>
      </c:pivotFmt>
      <c:pivotFmt>
        <c:idx val="137"/>
      </c:pivotFmt>
      <c:pivotFmt>
        <c:idx val="138"/>
      </c:pivotFmt>
      <c:pivotFmt>
        <c:idx val="139"/>
      </c:pivotFmt>
      <c:pivotFmt>
        <c:idx val="140"/>
      </c:pivotFmt>
      <c:pivotFmt>
        <c:idx val="141"/>
      </c:pivotFmt>
      <c:pivotFmt>
        <c:idx val="142"/>
      </c:pivotFmt>
      <c:pivotFmt>
        <c:idx val="143"/>
      </c:pivotFmt>
      <c:pivotFmt>
        <c:idx val="144"/>
      </c:pivotFmt>
      <c:pivotFmt>
        <c:idx val="145"/>
      </c:pivotFmt>
      <c:pivotFmt>
        <c:idx val="146"/>
      </c:pivotFmt>
      <c:pivotFmt>
        <c:idx val="147"/>
      </c:pivotFmt>
      <c:pivotFmt>
        <c:idx val="148"/>
      </c:pivotFmt>
      <c:pivotFmt>
        <c:idx val="149"/>
      </c:pivotFmt>
      <c:pivotFmt>
        <c:idx val="150"/>
      </c:pivotFmt>
      <c:pivotFmt>
        <c:idx val="151"/>
      </c:pivotFmt>
      <c:pivotFmt>
        <c:idx val="152"/>
      </c:pivotFmt>
      <c:pivotFmt>
        <c:idx val="153"/>
      </c:pivotFmt>
      <c:pivotFmt>
        <c:idx val="154"/>
      </c:pivotFmt>
      <c:pivotFmt>
        <c:idx val="155"/>
      </c:pivotFmt>
      <c:pivotFmt>
        <c:idx val="156"/>
      </c:pivotFmt>
      <c:pivotFmt>
        <c:idx val="157"/>
      </c:pivotFmt>
      <c:pivotFmt>
        <c:idx val="158"/>
      </c:pivotFmt>
      <c:pivotFmt>
        <c:idx val="159"/>
      </c:pivotFmt>
      <c:pivotFmt>
        <c:idx val="160"/>
      </c:pivotFmt>
      <c:pivotFmt>
        <c:idx val="161"/>
      </c:pivotFmt>
      <c:pivotFmt>
        <c:idx val="162"/>
      </c:pivotFmt>
      <c:pivotFmt>
        <c:idx val="163"/>
      </c:pivotFmt>
      <c:pivotFmt>
        <c:idx val="164"/>
      </c:pivotFmt>
      <c:pivotFmt>
        <c:idx val="165"/>
      </c:pivotFmt>
      <c:pivotFmt>
        <c:idx val="166"/>
      </c:pivotFmt>
      <c:pivotFmt>
        <c:idx val="167"/>
      </c:pivotFmt>
      <c:pivotFmt>
        <c:idx val="168"/>
      </c:pivotFmt>
      <c:pivotFmt>
        <c:idx val="169"/>
      </c:pivotFmt>
      <c:pivotFmt>
        <c:idx val="170"/>
      </c:pivotFmt>
      <c:pivotFmt>
        <c:idx val="171"/>
      </c:pivotFmt>
      <c:pivotFmt>
        <c:idx val="172"/>
      </c:pivotFmt>
      <c:pivotFmt>
        <c:idx val="173"/>
      </c:pivotFmt>
      <c:pivotFmt>
        <c:idx val="174"/>
      </c:pivotFmt>
      <c:pivotFmt>
        <c:idx val="175"/>
      </c:pivotFmt>
      <c:pivotFmt>
        <c:idx val="176"/>
      </c:pivotFmt>
      <c:pivotFmt>
        <c:idx val="177"/>
      </c:pivotFmt>
      <c:pivotFmt>
        <c:idx val="178"/>
      </c:pivotFmt>
      <c:pivotFmt>
        <c:idx val="179"/>
      </c:pivotFmt>
      <c:pivotFmt>
        <c:idx val="180"/>
      </c:pivotFmt>
      <c:pivotFmt>
        <c:idx val="181"/>
      </c:pivotFmt>
      <c:pivotFmt>
        <c:idx val="182"/>
      </c:pivotFmt>
      <c:pivotFmt>
        <c:idx val="183"/>
      </c:pivotFmt>
      <c:pivotFmt>
        <c:idx val="184"/>
      </c:pivotFmt>
      <c:pivotFmt>
        <c:idx val="185"/>
      </c:pivotFmt>
      <c:pivotFmt>
        <c:idx val="186"/>
      </c:pivotFmt>
      <c:pivotFmt>
        <c:idx val="187"/>
      </c:pivotFmt>
      <c:pivotFmt>
        <c:idx val="188"/>
      </c:pivotFmt>
      <c:pivotFmt>
        <c:idx val="189"/>
      </c:pivotFmt>
      <c:pivotFmt>
        <c:idx val="190"/>
      </c:pivotFmt>
      <c:pivotFmt>
        <c:idx val="191"/>
      </c:pivotFmt>
      <c:pivotFmt>
        <c:idx val="192"/>
      </c:pivotFmt>
      <c:pivotFmt>
        <c:idx val="193"/>
      </c:pivotFmt>
      <c:pivotFmt>
        <c:idx val="194"/>
      </c:pivotFmt>
      <c:pivotFmt>
        <c:idx val="195"/>
      </c:pivotFmt>
      <c:pivotFmt>
        <c:idx val="196"/>
      </c:pivotFmt>
      <c:pivotFmt>
        <c:idx val="197"/>
      </c:pivotFmt>
      <c:pivotFmt>
        <c:idx val="198"/>
      </c:pivotFmt>
      <c:pivotFmt>
        <c:idx val="199"/>
      </c:pivotFmt>
      <c:pivotFmt>
        <c:idx val="200"/>
      </c:pivotFmt>
      <c:pivotFmt>
        <c:idx val="201"/>
      </c:pivotFmt>
      <c:pivotFmt>
        <c:idx val="202"/>
      </c:pivotFmt>
      <c:pivotFmt>
        <c:idx val="203"/>
      </c:pivotFmt>
      <c:pivotFmt>
        <c:idx val="204"/>
      </c:pivotFmt>
      <c:pivotFmt>
        <c:idx val="205"/>
      </c:pivotFmt>
      <c:pivotFmt>
        <c:idx val="206"/>
      </c:pivotFmt>
      <c:pivotFmt>
        <c:idx val="207"/>
      </c:pivotFmt>
      <c:pivotFmt>
        <c:idx val="208"/>
      </c:pivotFmt>
      <c:pivotFmt>
        <c:idx val="209"/>
      </c:pivotFmt>
      <c:pivotFmt>
        <c:idx val="210"/>
      </c:pivotFmt>
      <c:pivotFmt>
        <c:idx val="211"/>
      </c:pivotFmt>
      <c:pivotFmt>
        <c:idx val="212"/>
      </c:pivotFmt>
      <c:pivotFmt>
        <c:idx val="213"/>
      </c:pivotFmt>
      <c:pivotFmt>
        <c:idx val="214"/>
      </c:pivotFmt>
      <c:pivotFmt>
        <c:idx val="215"/>
      </c:pivotFmt>
      <c:pivotFmt>
        <c:idx val="216"/>
      </c:pivotFmt>
      <c:pivotFmt>
        <c:idx val="217"/>
      </c:pivotFmt>
      <c:pivotFmt>
        <c:idx val="218"/>
      </c:pivotFmt>
      <c:pivotFmt>
        <c:idx val="219"/>
      </c:pivotFmt>
      <c:pivotFmt>
        <c:idx val="220"/>
      </c:pivotFmt>
      <c:pivotFmt>
        <c:idx val="221"/>
      </c:pivotFmt>
      <c:pivotFmt>
        <c:idx val="222"/>
      </c:pivotFmt>
      <c:pivotFmt>
        <c:idx val="223"/>
      </c:pivotFmt>
      <c:pivotFmt>
        <c:idx val="224"/>
      </c:pivotFmt>
      <c:pivotFmt>
        <c:idx val="225"/>
      </c:pivotFmt>
      <c:pivotFmt>
        <c:idx val="226"/>
      </c:pivotFmt>
      <c:pivotFmt>
        <c:idx val="227"/>
      </c:pivotFmt>
      <c:pivotFmt>
        <c:idx val="228"/>
      </c:pivotFmt>
      <c:pivotFmt>
        <c:idx val="229"/>
      </c:pivotFmt>
      <c:pivotFmt>
        <c:idx val="230"/>
      </c:pivotFmt>
      <c:pivotFmt>
        <c:idx val="231"/>
      </c:pivotFmt>
      <c:pivotFmt>
        <c:idx val="232"/>
      </c:pivotFmt>
      <c:pivotFmt>
        <c:idx val="233"/>
      </c:pivotFmt>
      <c:pivotFmt>
        <c:idx val="234"/>
      </c:pivotFmt>
      <c:pivotFmt>
        <c:idx val="235"/>
      </c:pivotFmt>
      <c:pivotFmt>
        <c:idx val="236"/>
      </c:pivotFmt>
      <c:pivotFmt>
        <c:idx val="237"/>
      </c:pivotFmt>
      <c:pivotFmt>
        <c:idx val="238"/>
      </c:pivotFmt>
      <c:pivotFmt>
        <c:idx val="239"/>
      </c:pivotFmt>
      <c:pivotFmt>
        <c:idx val="240"/>
      </c:pivotFmt>
      <c:pivotFmt>
        <c:idx val="241"/>
      </c:pivotFmt>
      <c:pivotFmt>
        <c:idx val="242"/>
      </c:pivotFmt>
      <c:pivotFmt>
        <c:idx val="243"/>
      </c:pivotFmt>
      <c:pivotFmt>
        <c:idx val="244"/>
      </c:pivotFmt>
      <c:pivotFmt>
        <c:idx val="245"/>
      </c:pivotFmt>
      <c:pivotFmt>
        <c:idx val="246"/>
      </c:pivotFmt>
      <c:pivotFmt>
        <c:idx val="247"/>
      </c:pivotFmt>
      <c:pivotFmt>
        <c:idx val="248"/>
      </c:pivotFmt>
      <c:pivotFmt>
        <c:idx val="249"/>
      </c:pivotFmt>
      <c:pivotFmt>
        <c:idx val="250"/>
      </c:pivotFmt>
      <c:pivotFmt>
        <c:idx val="251"/>
      </c:pivotFmt>
      <c:pivotFmt>
        <c:idx val="252"/>
      </c:pivotFmt>
      <c:pivotFmt>
        <c:idx val="253"/>
      </c:pivotFmt>
      <c:pivotFmt>
        <c:idx val="254"/>
      </c:pivotFmt>
      <c:pivotFmt>
        <c:idx val="255"/>
      </c:pivotFmt>
      <c:pivotFmt>
        <c:idx val="256"/>
      </c:pivotFmt>
      <c:pivotFmt>
        <c:idx val="257"/>
      </c:pivotFmt>
      <c:pivotFmt>
        <c:idx val="258"/>
      </c:pivotFmt>
      <c:pivotFmt>
        <c:idx val="259"/>
      </c:pivotFmt>
      <c:pivotFmt>
        <c:idx val="260"/>
      </c:pivotFmt>
      <c:pivotFmt>
        <c:idx val="261"/>
      </c:pivotFmt>
      <c:pivotFmt>
        <c:idx val="262"/>
      </c:pivotFmt>
      <c:pivotFmt>
        <c:idx val="263"/>
      </c:pivotFmt>
      <c:pivotFmt>
        <c:idx val="264"/>
      </c:pivotFmt>
      <c:pivotFmt>
        <c:idx val="265"/>
      </c:pivotFmt>
      <c:pivotFmt>
        <c:idx val="266"/>
      </c:pivotFmt>
      <c:pivotFmt>
        <c:idx val="267"/>
      </c:pivotFmt>
      <c:pivotFmt>
        <c:idx val="268"/>
      </c:pivotFmt>
      <c:pivotFmt>
        <c:idx val="269"/>
      </c:pivotFmt>
      <c:pivotFmt>
        <c:idx val="270"/>
      </c:pivotFmt>
      <c:pivotFmt>
        <c:idx val="271"/>
      </c:pivotFmt>
      <c:pivotFmt>
        <c:idx val="272"/>
      </c:pivotFmt>
      <c:pivotFmt>
        <c:idx val="273"/>
      </c:pivotFmt>
      <c:pivotFmt>
        <c:idx val="274"/>
      </c:pivotFmt>
      <c:pivotFmt>
        <c:idx val="275"/>
      </c:pivotFmt>
      <c:pivotFmt>
        <c:idx val="276"/>
      </c:pivotFmt>
      <c:pivotFmt>
        <c:idx val="277"/>
      </c:pivotFmt>
      <c:pivotFmt>
        <c:idx val="278"/>
      </c:pivotFmt>
      <c:pivotFmt>
        <c:idx val="279"/>
      </c:pivotFmt>
      <c:pivotFmt>
        <c:idx val="280"/>
      </c:pivotFmt>
      <c:pivotFmt>
        <c:idx val="281"/>
      </c:pivotFmt>
      <c:pivotFmt>
        <c:idx val="282"/>
      </c:pivotFmt>
      <c:pivotFmt>
        <c:idx val="283"/>
      </c:pivotFmt>
      <c:pivotFmt>
        <c:idx val="284"/>
      </c:pivotFmt>
      <c:pivotFmt>
        <c:idx val="285"/>
      </c:pivotFmt>
      <c:pivotFmt>
        <c:idx val="286"/>
      </c:pivotFmt>
      <c:pivotFmt>
        <c:idx val="287"/>
      </c:pivotFmt>
      <c:pivotFmt>
        <c:idx val="288"/>
      </c:pivotFmt>
      <c:pivotFmt>
        <c:idx val="289"/>
      </c:pivotFmt>
      <c:pivotFmt>
        <c:idx val="290"/>
      </c:pivotFmt>
      <c:pivotFmt>
        <c:idx val="291"/>
      </c:pivotFmt>
      <c:pivotFmt>
        <c:idx val="292"/>
      </c:pivotFmt>
      <c:pivotFmt>
        <c:idx val="293"/>
      </c:pivotFmt>
      <c:pivotFmt>
        <c:idx val="294"/>
      </c:pivotFmt>
      <c:pivotFmt>
        <c:idx val="295"/>
      </c:pivotFmt>
      <c:pivotFmt>
        <c:idx val="296"/>
      </c:pivotFmt>
      <c:pivotFmt>
        <c:idx val="297"/>
      </c:pivotFmt>
      <c:pivotFmt>
        <c:idx val="298"/>
      </c:pivotFmt>
      <c:pivotFmt>
        <c:idx val="299"/>
      </c:pivotFmt>
      <c:pivotFmt>
        <c:idx val="300"/>
      </c:pivotFmt>
      <c:pivotFmt>
        <c:idx val="301"/>
      </c:pivotFmt>
      <c:pivotFmt>
        <c:idx val="302"/>
      </c:pivotFmt>
      <c:pivotFmt>
        <c:idx val="303"/>
      </c:pivotFmt>
      <c:pivotFmt>
        <c:idx val="304"/>
      </c:pivotFmt>
      <c:pivotFmt>
        <c:idx val="305"/>
      </c:pivotFmt>
      <c:pivotFmt>
        <c:idx val="306"/>
      </c:pivotFmt>
      <c:pivotFmt>
        <c:idx val="307"/>
      </c:pivotFmt>
      <c:pivotFmt>
        <c:idx val="308"/>
      </c:pivotFmt>
      <c:pivotFmt>
        <c:idx val="309"/>
      </c:pivotFmt>
      <c:pivotFmt>
        <c:idx val="310"/>
      </c:pivotFmt>
      <c:pivotFmt>
        <c:idx val="311"/>
      </c:pivotFmt>
      <c:pivotFmt>
        <c:idx val="312"/>
      </c:pivotFmt>
      <c:pivotFmt>
        <c:idx val="313"/>
      </c:pivotFmt>
      <c:pivotFmt>
        <c:idx val="314"/>
      </c:pivotFmt>
      <c:pivotFmt>
        <c:idx val="315"/>
      </c:pivotFmt>
      <c:pivotFmt>
        <c:idx val="316"/>
      </c:pivotFmt>
      <c:pivotFmt>
        <c:idx val="317"/>
      </c:pivotFmt>
      <c:pivotFmt>
        <c:idx val="318"/>
      </c:pivotFmt>
      <c:pivotFmt>
        <c:idx val="319"/>
      </c:pivotFmt>
      <c:pivotFmt>
        <c:idx val="320"/>
      </c:pivotFmt>
      <c:pivotFmt>
        <c:idx val="321"/>
      </c:pivotFmt>
      <c:pivotFmt>
        <c:idx val="322"/>
      </c:pivotFmt>
      <c:pivotFmt>
        <c:idx val="323"/>
      </c:pivotFmt>
      <c:pivotFmt>
        <c:idx val="324"/>
      </c:pivotFmt>
      <c:pivotFmt>
        <c:idx val="325"/>
      </c:pivotFmt>
      <c:pivotFmt>
        <c:idx val="326"/>
      </c:pivotFmt>
      <c:pivotFmt>
        <c:idx val="327"/>
      </c:pivotFmt>
      <c:pivotFmt>
        <c:idx val="328"/>
      </c:pivotFmt>
      <c:pivotFmt>
        <c:idx val="329"/>
      </c:pivotFmt>
      <c:pivotFmt>
        <c:idx val="330"/>
      </c:pivotFmt>
      <c:pivotFmt>
        <c:idx val="331"/>
      </c:pivotFmt>
      <c:pivotFmt>
        <c:idx val="332"/>
      </c:pivotFmt>
      <c:pivotFmt>
        <c:idx val="333"/>
      </c:pivotFmt>
      <c:pivotFmt>
        <c:idx val="334"/>
      </c:pivotFmt>
      <c:pivotFmt>
        <c:idx val="335"/>
      </c:pivotFmt>
      <c:pivotFmt>
        <c:idx val="336"/>
      </c:pivotFmt>
      <c:pivotFmt>
        <c:idx val="337"/>
      </c:pivotFmt>
      <c:pivotFmt>
        <c:idx val="338"/>
      </c:pivotFmt>
      <c:pivotFmt>
        <c:idx val="339"/>
      </c:pivotFmt>
      <c:pivotFmt>
        <c:idx val="340"/>
      </c:pivotFmt>
      <c:pivotFmt>
        <c:idx val="341"/>
      </c:pivotFmt>
      <c:pivotFmt>
        <c:idx val="342"/>
      </c:pivotFmt>
      <c:pivotFmt>
        <c:idx val="343"/>
      </c:pivotFmt>
      <c:pivotFmt>
        <c:idx val="344"/>
      </c:pivotFmt>
      <c:pivotFmt>
        <c:idx val="345"/>
      </c:pivotFmt>
      <c:pivotFmt>
        <c:idx val="346"/>
      </c:pivotFmt>
      <c:pivotFmt>
        <c:idx val="347"/>
      </c:pivotFmt>
      <c:pivotFmt>
        <c:idx val="348"/>
      </c:pivotFmt>
      <c:pivotFmt>
        <c:idx val="349"/>
      </c:pivotFmt>
      <c:pivotFmt>
        <c:idx val="350"/>
      </c:pivotFmt>
      <c:pivotFmt>
        <c:idx val="351"/>
      </c:pivotFmt>
      <c:pivotFmt>
        <c:idx val="352"/>
      </c:pivotFmt>
      <c:pivotFmt>
        <c:idx val="353"/>
      </c:pivotFmt>
      <c:pivotFmt>
        <c:idx val="354"/>
      </c:pivotFmt>
      <c:pivotFmt>
        <c:idx val="355"/>
      </c:pivotFmt>
      <c:pivotFmt>
        <c:idx val="356"/>
      </c:pivotFmt>
      <c:pivotFmt>
        <c:idx val="357"/>
      </c:pivotFmt>
      <c:pivotFmt>
        <c:idx val="358"/>
      </c:pivotFmt>
      <c:pivotFmt>
        <c:idx val="359"/>
      </c:pivotFmt>
      <c:pivotFmt>
        <c:idx val="360"/>
      </c:pivotFmt>
      <c:pivotFmt>
        <c:idx val="361"/>
      </c:pivotFmt>
      <c:pivotFmt>
        <c:idx val="362"/>
      </c:pivotFmt>
      <c:pivotFmt>
        <c:idx val="363"/>
      </c:pivotFmt>
      <c:pivotFmt>
        <c:idx val="364"/>
      </c:pivotFmt>
      <c:pivotFmt>
        <c:idx val="365"/>
      </c:pivotFmt>
      <c:pivotFmt>
        <c:idx val="366"/>
      </c:pivotFmt>
      <c:pivotFmt>
        <c:idx val="367"/>
      </c:pivotFmt>
      <c:pivotFmt>
        <c:idx val="368"/>
      </c:pivotFmt>
      <c:pivotFmt>
        <c:idx val="369"/>
      </c:pivotFmt>
      <c:pivotFmt>
        <c:idx val="370"/>
      </c:pivotFmt>
      <c:pivotFmt>
        <c:idx val="371"/>
      </c:pivotFmt>
      <c:pivotFmt>
        <c:idx val="372"/>
      </c:pivotFmt>
      <c:pivotFmt>
        <c:idx val="373"/>
      </c:pivotFmt>
      <c:pivotFmt>
        <c:idx val="374"/>
      </c:pivotFmt>
      <c:pivotFmt>
        <c:idx val="375"/>
      </c:pivotFmt>
      <c:pivotFmt>
        <c:idx val="376"/>
      </c:pivotFmt>
      <c:pivotFmt>
        <c:idx val="377"/>
      </c:pivotFmt>
      <c:pivotFmt>
        <c:idx val="378"/>
      </c:pivotFmt>
      <c:pivotFmt>
        <c:idx val="379"/>
      </c:pivotFmt>
      <c:pivotFmt>
        <c:idx val="380"/>
      </c:pivotFmt>
      <c:pivotFmt>
        <c:idx val="381"/>
      </c:pivotFmt>
      <c:pivotFmt>
        <c:idx val="382"/>
      </c:pivotFmt>
      <c:pivotFmt>
        <c:idx val="383"/>
      </c:pivotFmt>
      <c:pivotFmt>
        <c:idx val="384"/>
      </c:pivotFmt>
      <c:pivotFmt>
        <c:idx val="385"/>
      </c:pivotFmt>
      <c:pivotFmt>
        <c:idx val="386"/>
      </c:pivotFmt>
      <c:pivotFmt>
        <c:idx val="387"/>
      </c:pivotFmt>
      <c:pivotFmt>
        <c:idx val="388"/>
      </c:pivotFmt>
      <c:pivotFmt>
        <c:idx val="389"/>
      </c:pivotFmt>
      <c:pivotFmt>
        <c:idx val="390"/>
      </c:pivotFmt>
      <c:pivotFmt>
        <c:idx val="391"/>
      </c:pivotFmt>
      <c:pivotFmt>
        <c:idx val="392"/>
      </c:pivotFmt>
      <c:pivotFmt>
        <c:idx val="393"/>
      </c:pivotFmt>
      <c:pivotFmt>
        <c:idx val="394"/>
      </c:pivotFmt>
      <c:pivotFmt>
        <c:idx val="395"/>
      </c:pivotFmt>
      <c:pivotFmt>
        <c:idx val="396"/>
      </c:pivotFmt>
      <c:pivotFmt>
        <c:idx val="397"/>
      </c:pivotFmt>
      <c:pivotFmt>
        <c:idx val="398"/>
      </c:pivotFmt>
      <c:pivotFmt>
        <c:idx val="399"/>
      </c:pivotFmt>
      <c:pivotFmt>
        <c:idx val="400"/>
      </c:pivotFmt>
      <c:pivotFmt>
        <c:idx val="401"/>
      </c:pivotFmt>
      <c:pivotFmt>
        <c:idx val="402"/>
      </c:pivotFmt>
      <c:pivotFmt>
        <c:idx val="403"/>
      </c:pivotFmt>
      <c:pivotFmt>
        <c:idx val="404"/>
      </c:pivotFmt>
      <c:pivotFmt>
        <c:idx val="405"/>
      </c:pivotFmt>
      <c:pivotFmt>
        <c:idx val="406"/>
      </c:pivotFmt>
      <c:pivotFmt>
        <c:idx val="407"/>
      </c:pivotFmt>
      <c:pivotFmt>
        <c:idx val="408"/>
      </c:pivotFmt>
      <c:pivotFmt>
        <c:idx val="409"/>
      </c:pivotFmt>
      <c:pivotFmt>
        <c:idx val="410"/>
      </c:pivotFmt>
      <c:pivotFmt>
        <c:idx val="411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2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3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4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5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6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'Sheet1 (2)'!$B$3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'Sheet1 (2)'!$A$4:$A$24</c:f>
              <c:strCache>
                <c:ptCount val="20"/>
                <c:pt idx="0">
                  <c:v>Dijon FCO</c:v>
                </c:pt>
                <c:pt idx="1">
                  <c:v>Stade Brestois 29</c:v>
                </c:pt>
                <c:pt idx="2">
                  <c:v>Nîmes Olympique</c:v>
                </c:pt>
                <c:pt idx="3">
                  <c:v>FC Metz</c:v>
                </c:pt>
                <c:pt idx="4">
                  <c:v>FC Lorient</c:v>
                </c:pt>
                <c:pt idx="5">
                  <c:v>Stade de Reims</c:v>
                </c:pt>
                <c:pt idx="6">
                  <c:v>Angers SCO</c:v>
                </c:pt>
                <c:pt idx="7">
                  <c:v>FC Nantes</c:v>
                </c:pt>
                <c:pt idx="8">
                  <c:v>RC Strasbourg Alsace</c:v>
                </c:pt>
                <c:pt idx="9">
                  <c:v>AS Saint-Étienne</c:v>
                </c:pt>
                <c:pt idx="10">
                  <c:v>Montpellier HSC</c:v>
                </c:pt>
                <c:pt idx="11">
                  <c:v>Racing Club de Lens</c:v>
                </c:pt>
                <c:pt idx="12">
                  <c:v>FC Girondins de Bordeaux</c:v>
                </c:pt>
                <c:pt idx="13">
                  <c:v>OGC Nice</c:v>
                </c:pt>
                <c:pt idx="14">
                  <c:v>LOSC Lille</c:v>
                </c:pt>
                <c:pt idx="15">
                  <c:v>Stade Rennais FC</c:v>
                </c:pt>
                <c:pt idx="16">
                  <c:v>Olympique de Marseille</c:v>
                </c:pt>
                <c:pt idx="17">
                  <c:v>Olympique Lyonnais</c:v>
                </c:pt>
                <c:pt idx="18">
                  <c:v>AS Monaco</c:v>
                </c:pt>
                <c:pt idx="19">
                  <c:v>Paris Saint-Germain</c:v>
                </c:pt>
              </c:strCache>
            </c:strRef>
          </c:cat>
          <c:val>
            <c:numRef>
              <c:f>'Sheet1 (2)'!$B$4:$B$24</c:f>
              <c:numCache>
                <c:formatCode>General</c:formatCode>
                <c:ptCount val="20"/>
                <c:pt idx="0">
                  <c:v>183100</c:v>
                </c:pt>
                <c:pt idx="1">
                  <c:v>243000</c:v>
                </c:pt>
                <c:pt idx="2">
                  <c:v>286000</c:v>
                </c:pt>
                <c:pt idx="3">
                  <c:v>291500</c:v>
                </c:pt>
                <c:pt idx="4">
                  <c:v>320000</c:v>
                </c:pt>
                <c:pt idx="5">
                  <c:v>350000</c:v>
                </c:pt>
                <c:pt idx="6">
                  <c:v>361000</c:v>
                </c:pt>
                <c:pt idx="7">
                  <c:v>404000</c:v>
                </c:pt>
                <c:pt idx="8">
                  <c:v>415000</c:v>
                </c:pt>
                <c:pt idx="9">
                  <c:v>433100</c:v>
                </c:pt>
                <c:pt idx="10">
                  <c:v>487000</c:v>
                </c:pt>
                <c:pt idx="11">
                  <c:v>513000</c:v>
                </c:pt>
                <c:pt idx="12">
                  <c:v>534000</c:v>
                </c:pt>
                <c:pt idx="13">
                  <c:v>546000</c:v>
                </c:pt>
                <c:pt idx="14">
                  <c:v>587150</c:v>
                </c:pt>
                <c:pt idx="15">
                  <c:v>749000</c:v>
                </c:pt>
                <c:pt idx="16">
                  <c:v>780950</c:v>
                </c:pt>
                <c:pt idx="17">
                  <c:v>1004000</c:v>
                </c:pt>
                <c:pt idx="18">
                  <c:v>1054000</c:v>
                </c:pt>
                <c:pt idx="19">
                  <c:v>2125550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35-4C9A-BDFD-213D120DB4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04111616"/>
        <c:axId val="704114896"/>
      </c:barChart>
      <c:catAx>
        <c:axId val="704111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club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4896"/>
        <c:crosses val="autoZero"/>
        <c:auto val="1"/>
        <c:lblAlgn val="ctr"/>
        <c:lblOffset val="100"/>
        <c:noMultiLvlLbl val="0"/>
      </c:catAx>
      <c:valAx>
        <c:axId val="70411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cap="all" baseline="0">
                    <a:solidFill>
                      <a:sysClr val="window" lastClr="FFFFFF">
                        <a:lumMod val="8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 b="1" i="0" cap="all" baseline="0">
                    <a:effectLst/>
                  </a:rPr>
                  <a:t>Total wage (</a:t>
                </a:r>
                <a:r>
                  <a:rPr lang="zh-CN" altLang="zh-CN" sz="900" b="0" i="0" cap="all" baseline="0">
                    <a:effectLst/>
                  </a:rPr>
                  <a:t>€</a:t>
                </a:r>
                <a:r>
                  <a:rPr lang="en-US" altLang="zh-CN" sz="900" b="1" i="0" cap="all" baseline="0">
                    <a:effectLst/>
                  </a:rPr>
                  <a:t>)</a:t>
                </a:r>
                <a:endParaRPr lang="zh-CN" altLang="zh-CN" sz="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cap="all" baseline="0">
                  <a:solidFill>
                    <a:sysClr val="window" lastClr="FFFFFF">
                      <a:lumMod val="8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1616"/>
        <c:crosses val="autoZero"/>
        <c:crossBetween val="between"/>
        <c:dispUnits>
          <c:builtInUnit val="million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[CLUB_RANK_BY_PLAYER_VALUE_IN_BIG_FIVE_LEAGUES.xlsx]Sheet1 (3)!数据透视表2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Total Wage of German 1. Bundesliga in Season 20/21</a:t>
            </a:r>
            <a:endParaRPr lang="en-US" altLang="zh-C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</c:pivotFmt>
      <c:pivotFmt>
        <c:idx val="87"/>
      </c:pivotFmt>
      <c:pivotFmt>
        <c:idx val="88"/>
      </c:pivotFmt>
      <c:pivotFmt>
        <c:idx val="89"/>
      </c:pivotFmt>
      <c:pivotFmt>
        <c:idx val="90"/>
      </c:pivotFmt>
      <c:pivotFmt>
        <c:idx val="91"/>
      </c:pivotFmt>
      <c:pivotFmt>
        <c:idx val="92"/>
      </c:pivotFmt>
      <c:pivotFmt>
        <c:idx val="93"/>
      </c:pivotFmt>
      <c:pivotFmt>
        <c:idx val="94"/>
      </c:pivotFmt>
      <c:pivotFmt>
        <c:idx val="95"/>
      </c:pivotFmt>
      <c:pivotFmt>
        <c:idx val="96"/>
      </c:pivotFmt>
      <c:pivotFmt>
        <c:idx val="97"/>
      </c:pivotFmt>
      <c:pivotFmt>
        <c:idx val="98"/>
      </c:pivotFmt>
      <c:pivotFmt>
        <c:idx val="99"/>
      </c:pivotFmt>
      <c:pivotFmt>
        <c:idx val="100"/>
      </c:pivotFmt>
      <c:pivotFmt>
        <c:idx val="101"/>
      </c:pivotFmt>
      <c:pivotFmt>
        <c:idx val="102"/>
      </c:pivotFmt>
      <c:pivotFmt>
        <c:idx val="103"/>
      </c:pivotFmt>
      <c:pivotFmt>
        <c:idx val="104"/>
      </c:pivotFmt>
      <c:pivotFmt>
        <c:idx val="105"/>
      </c:pivotFmt>
      <c:pivotFmt>
        <c:idx val="106"/>
      </c:pivotFmt>
      <c:pivotFmt>
        <c:idx val="107"/>
      </c:pivotFmt>
      <c:pivotFmt>
        <c:idx val="108"/>
      </c:pivotFmt>
      <c:pivotFmt>
        <c:idx val="109"/>
      </c:pivotFmt>
      <c:pivotFmt>
        <c:idx val="110"/>
      </c:pivotFmt>
      <c:pivotFmt>
        <c:idx val="111"/>
      </c:pivotFmt>
      <c:pivotFmt>
        <c:idx val="112"/>
      </c:pivotFmt>
      <c:pivotFmt>
        <c:idx val="113"/>
      </c:pivotFmt>
      <c:pivotFmt>
        <c:idx val="114"/>
      </c:pivotFmt>
      <c:pivotFmt>
        <c:idx val="115"/>
      </c:pivotFmt>
      <c:pivotFmt>
        <c:idx val="116"/>
      </c:pivotFmt>
      <c:pivotFmt>
        <c:idx val="117"/>
      </c:pivotFmt>
      <c:pivotFmt>
        <c:idx val="118"/>
      </c:pivotFmt>
      <c:pivotFmt>
        <c:idx val="119"/>
      </c:pivotFmt>
      <c:pivotFmt>
        <c:idx val="120"/>
      </c:pivotFmt>
      <c:pivotFmt>
        <c:idx val="121"/>
      </c:pivotFmt>
      <c:pivotFmt>
        <c:idx val="122"/>
      </c:pivotFmt>
      <c:pivotFmt>
        <c:idx val="123"/>
      </c:pivotFmt>
      <c:pivotFmt>
        <c:idx val="124"/>
      </c:pivotFmt>
      <c:pivotFmt>
        <c:idx val="125"/>
      </c:pivotFmt>
      <c:pivotFmt>
        <c:idx val="126"/>
      </c:pivotFmt>
      <c:pivotFmt>
        <c:idx val="127"/>
      </c:pivotFmt>
      <c:pivotFmt>
        <c:idx val="128"/>
      </c:pivotFmt>
      <c:pivotFmt>
        <c:idx val="129"/>
      </c:pivotFmt>
      <c:pivotFmt>
        <c:idx val="130"/>
      </c:pivotFmt>
      <c:pivotFmt>
        <c:idx val="131"/>
      </c:pivotFmt>
      <c:pivotFmt>
        <c:idx val="132"/>
      </c:pivotFmt>
      <c:pivotFmt>
        <c:idx val="133"/>
      </c:pivotFmt>
      <c:pivotFmt>
        <c:idx val="134"/>
      </c:pivotFmt>
      <c:pivotFmt>
        <c:idx val="135"/>
      </c:pivotFmt>
      <c:pivotFmt>
        <c:idx val="136"/>
      </c:pivotFmt>
      <c:pivotFmt>
        <c:idx val="137"/>
      </c:pivotFmt>
      <c:pivotFmt>
        <c:idx val="138"/>
      </c:pivotFmt>
      <c:pivotFmt>
        <c:idx val="139"/>
      </c:pivotFmt>
      <c:pivotFmt>
        <c:idx val="140"/>
      </c:pivotFmt>
      <c:pivotFmt>
        <c:idx val="141"/>
      </c:pivotFmt>
      <c:pivotFmt>
        <c:idx val="142"/>
      </c:pivotFmt>
      <c:pivotFmt>
        <c:idx val="143"/>
      </c:pivotFmt>
      <c:pivotFmt>
        <c:idx val="144"/>
      </c:pivotFmt>
      <c:pivotFmt>
        <c:idx val="145"/>
      </c:pivotFmt>
      <c:pivotFmt>
        <c:idx val="146"/>
      </c:pivotFmt>
      <c:pivotFmt>
        <c:idx val="147"/>
      </c:pivotFmt>
      <c:pivotFmt>
        <c:idx val="148"/>
      </c:pivotFmt>
      <c:pivotFmt>
        <c:idx val="149"/>
      </c:pivotFmt>
      <c:pivotFmt>
        <c:idx val="150"/>
      </c:pivotFmt>
      <c:pivotFmt>
        <c:idx val="151"/>
      </c:pivotFmt>
      <c:pivotFmt>
        <c:idx val="152"/>
      </c:pivotFmt>
      <c:pivotFmt>
        <c:idx val="153"/>
      </c:pivotFmt>
      <c:pivotFmt>
        <c:idx val="154"/>
      </c:pivotFmt>
      <c:pivotFmt>
        <c:idx val="155"/>
      </c:pivotFmt>
      <c:pivotFmt>
        <c:idx val="156"/>
      </c:pivotFmt>
      <c:pivotFmt>
        <c:idx val="157"/>
      </c:pivotFmt>
      <c:pivotFmt>
        <c:idx val="158"/>
      </c:pivotFmt>
      <c:pivotFmt>
        <c:idx val="159"/>
      </c:pivotFmt>
      <c:pivotFmt>
        <c:idx val="160"/>
      </c:pivotFmt>
      <c:pivotFmt>
        <c:idx val="161"/>
      </c:pivotFmt>
      <c:pivotFmt>
        <c:idx val="162"/>
      </c:pivotFmt>
      <c:pivotFmt>
        <c:idx val="163"/>
      </c:pivotFmt>
      <c:pivotFmt>
        <c:idx val="164"/>
      </c:pivotFmt>
      <c:pivotFmt>
        <c:idx val="165"/>
      </c:pivotFmt>
      <c:pivotFmt>
        <c:idx val="166"/>
      </c:pivotFmt>
      <c:pivotFmt>
        <c:idx val="167"/>
      </c:pivotFmt>
      <c:pivotFmt>
        <c:idx val="168"/>
      </c:pivotFmt>
      <c:pivotFmt>
        <c:idx val="169"/>
      </c:pivotFmt>
      <c:pivotFmt>
        <c:idx val="170"/>
      </c:pivotFmt>
      <c:pivotFmt>
        <c:idx val="171"/>
      </c:pivotFmt>
      <c:pivotFmt>
        <c:idx val="172"/>
      </c:pivotFmt>
      <c:pivotFmt>
        <c:idx val="173"/>
      </c:pivotFmt>
      <c:pivotFmt>
        <c:idx val="174"/>
      </c:pivotFmt>
      <c:pivotFmt>
        <c:idx val="175"/>
      </c:pivotFmt>
      <c:pivotFmt>
        <c:idx val="176"/>
      </c:pivotFmt>
      <c:pivotFmt>
        <c:idx val="177"/>
      </c:pivotFmt>
      <c:pivotFmt>
        <c:idx val="178"/>
      </c:pivotFmt>
      <c:pivotFmt>
        <c:idx val="179"/>
      </c:pivotFmt>
      <c:pivotFmt>
        <c:idx val="180"/>
      </c:pivotFmt>
      <c:pivotFmt>
        <c:idx val="181"/>
      </c:pivotFmt>
      <c:pivotFmt>
        <c:idx val="182"/>
      </c:pivotFmt>
      <c:pivotFmt>
        <c:idx val="183"/>
      </c:pivotFmt>
      <c:pivotFmt>
        <c:idx val="184"/>
      </c:pivotFmt>
      <c:pivotFmt>
        <c:idx val="185"/>
      </c:pivotFmt>
      <c:pivotFmt>
        <c:idx val="186"/>
      </c:pivotFmt>
      <c:pivotFmt>
        <c:idx val="187"/>
      </c:pivotFmt>
      <c:pivotFmt>
        <c:idx val="188"/>
      </c:pivotFmt>
      <c:pivotFmt>
        <c:idx val="189"/>
      </c:pivotFmt>
      <c:pivotFmt>
        <c:idx val="190"/>
      </c:pivotFmt>
      <c:pivotFmt>
        <c:idx val="191"/>
      </c:pivotFmt>
      <c:pivotFmt>
        <c:idx val="192"/>
      </c:pivotFmt>
      <c:pivotFmt>
        <c:idx val="193"/>
      </c:pivotFmt>
      <c:pivotFmt>
        <c:idx val="194"/>
      </c:pivotFmt>
      <c:pivotFmt>
        <c:idx val="195"/>
      </c:pivotFmt>
      <c:pivotFmt>
        <c:idx val="196"/>
      </c:pivotFmt>
      <c:pivotFmt>
        <c:idx val="197"/>
      </c:pivotFmt>
      <c:pivotFmt>
        <c:idx val="198"/>
      </c:pivotFmt>
      <c:pivotFmt>
        <c:idx val="199"/>
      </c:pivotFmt>
      <c:pivotFmt>
        <c:idx val="200"/>
      </c:pivotFmt>
      <c:pivotFmt>
        <c:idx val="201"/>
      </c:pivotFmt>
      <c:pivotFmt>
        <c:idx val="202"/>
      </c:pivotFmt>
      <c:pivotFmt>
        <c:idx val="203"/>
      </c:pivotFmt>
      <c:pivotFmt>
        <c:idx val="204"/>
      </c:pivotFmt>
      <c:pivotFmt>
        <c:idx val="205"/>
      </c:pivotFmt>
      <c:pivotFmt>
        <c:idx val="206"/>
      </c:pivotFmt>
      <c:pivotFmt>
        <c:idx val="207"/>
      </c:pivotFmt>
      <c:pivotFmt>
        <c:idx val="208"/>
      </c:pivotFmt>
      <c:pivotFmt>
        <c:idx val="209"/>
      </c:pivotFmt>
      <c:pivotFmt>
        <c:idx val="210"/>
      </c:pivotFmt>
      <c:pivotFmt>
        <c:idx val="211"/>
      </c:pivotFmt>
      <c:pivotFmt>
        <c:idx val="212"/>
      </c:pivotFmt>
      <c:pivotFmt>
        <c:idx val="213"/>
      </c:pivotFmt>
      <c:pivotFmt>
        <c:idx val="214"/>
      </c:pivotFmt>
      <c:pivotFmt>
        <c:idx val="215"/>
      </c:pivotFmt>
      <c:pivotFmt>
        <c:idx val="216"/>
      </c:pivotFmt>
      <c:pivotFmt>
        <c:idx val="217"/>
      </c:pivotFmt>
      <c:pivotFmt>
        <c:idx val="218"/>
      </c:pivotFmt>
      <c:pivotFmt>
        <c:idx val="219"/>
      </c:pivotFmt>
      <c:pivotFmt>
        <c:idx val="220"/>
      </c:pivotFmt>
      <c:pivotFmt>
        <c:idx val="221"/>
      </c:pivotFmt>
      <c:pivotFmt>
        <c:idx val="222"/>
      </c:pivotFmt>
      <c:pivotFmt>
        <c:idx val="223"/>
      </c:pivotFmt>
      <c:pivotFmt>
        <c:idx val="224"/>
      </c:pivotFmt>
      <c:pivotFmt>
        <c:idx val="225"/>
      </c:pivotFmt>
      <c:pivotFmt>
        <c:idx val="226"/>
      </c:pivotFmt>
      <c:pivotFmt>
        <c:idx val="227"/>
      </c:pivotFmt>
      <c:pivotFmt>
        <c:idx val="228"/>
      </c:pivotFmt>
      <c:pivotFmt>
        <c:idx val="229"/>
      </c:pivotFmt>
      <c:pivotFmt>
        <c:idx val="230"/>
      </c:pivotFmt>
      <c:pivotFmt>
        <c:idx val="231"/>
      </c:pivotFmt>
      <c:pivotFmt>
        <c:idx val="232"/>
      </c:pivotFmt>
      <c:pivotFmt>
        <c:idx val="233"/>
      </c:pivotFmt>
      <c:pivotFmt>
        <c:idx val="234"/>
      </c:pivotFmt>
      <c:pivotFmt>
        <c:idx val="235"/>
      </c:pivotFmt>
      <c:pivotFmt>
        <c:idx val="236"/>
      </c:pivotFmt>
      <c:pivotFmt>
        <c:idx val="237"/>
      </c:pivotFmt>
      <c:pivotFmt>
        <c:idx val="238"/>
      </c:pivotFmt>
      <c:pivotFmt>
        <c:idx val="239"/>
      </c:pivotFmt>
      <c:pivotFmt>
        <c:idx val="240"/>
      </c:pivotFmt>
      <c:pivotFmt>
        <c:idx val="241"/>
      </c:pivotFmt>
      <c:pivotFmt>
        <c:idx val="242"/>
      </c:pivotFmt>
      <c:pivotFmt>
        <c:idx val="243"/>
      </c:pivotFmt>
      <c:pivotFmt>
        <c:idx val="244"/>
      </c:pivotFmt>
      <c:pivotFmt>
        <c:idx val="245"/>
      </c:pivotFmt>
      <c:pivotFmt>
        <c:idx val="246"/>
      </c:pivotFmt>
      <c:pivotFmt>
        <c:idx val="247"/>
      </c:pivotFmt>
      <c:pivotFmt>
        <c:idx val="248"/>
      </c:pivotFmt>
      <c:pivotFmt>
        <c:idx val="249"/>
      </c:pivotFmt>
      <c:pivotFmt>
        <c:idx val="250"/>
      </c:pivotFmt>
      <c:pivotFmt>
        <c:idx val="251"/>
      </c:pivotFmt>
      <c:pivotFmt>
        <c:idx val="252"/>
      </c:pivotFmt>
      <c:pivotFmt>
        <c:idx val="253"/>
      </c:pivotFmt>
      <c:pivotFmt>
        <c:idx val="254"/>
      </c:pivotFmt>
      <c:pivotFmt>
        <c:idx val="255"/>
      </c:pivotFmt>
      <c:pivotFmt>
        <c:idx val="256"/>
      </c:pivotFmt>
      <c:pivotFmt>
        <c:idx val="257"/>
      </c:pivotFmt>
      <c:pivotFmt>
        <c:idx val="258"/>
      </c:pivotFmt>
      <c:pivotFmt>
        <c:idx val="259"/>
      </c:pivotFmt>
      <c:pivotFmt>
        <c:idx val="260"/>
      </c:pivotFmt>
      <c:pivotFmt>
        <c:idx val="261"/>
      </c:pivotFmt>
      <c:pivotFmt>
        <c:idx val="262"/>
      </c:pivotFmt>
      <c:pivotFmt>
        <c:idx val="263"/>
      </c:pivotFmt>
      <c:pivotFmt>
        <c:idx val="264"/>
      </c:pivotFmt>
      <c:pivotFmt>
        <c:idx val="265"/>
      </c:pivotFmt>
      <c:pivotFmt>
        <c:idx val="266"/>
      </c:pivotFmt>
      <c:pivotFmt>
        <c:idx val="267"/>
      </c:pivotFmt>
      <c:pivotFmt>
        <c:idx val="268"/>
      </c:pivotFmt>
      <c:pivotFmt>
        <c:idx val="269"/>
      </c:pivotFmt>
      <c:pivotFmt>
        <c:idx val="270"/>
      </c:pivotFmt>
      <c:pivotFmt>
        <c:idx val="271"/>
      </c:pivotFmt>
      <c:pivotFmt>
        <c:idx val="272"/>
      </c:pivotFmt>
      <c:pivotFmt>
        <c:idx val="273"/>
      </c:pivotFmt>
      <c:pivotFmt>
        <c:idx val="274"/>
      </c:pivotFmt>
      <c:pivotFmt>
        <c:idx val="275"/>
      </c:pivotFmt>
      <c:pivotFmt>
        <c:idx val="276"/>
      </c:pivotFmt>
      <c:pivotFmt>
        <c:idx val="277"/>
      </c:pivotFmt>
      <c:pivotFmt>
        <c:idx val="278"/>
      </c:pivotFmt>
      <c:pivotFmt>
        <c:idx val="279"/>
      </c:pivotFmt>
      <c:pivotFmt>
        <c:idx val="280"/>
      </c:pivotFmt>
      <c:pivotFmt>
        <c:idx val="281"/>
      </c:pivotFmt>
      <c:pivotFmt>
        <c:idx val="282"/>
      </c:pivotFmt>
      <c:pivotFmt>
        <c:idx val="283"/>
      </c:pivotFmt>
      <c:pivotFmt>
        <c:idx val="284"/>
      </c:pivotFmt>
      <c:pivotFmt>
        <c:idx val="285"/>
      </c:pivotFmt>
      <c:pivotFmt>
        <c:idx val="286"/>
      </c:pivotFmt>
      <c:pivotFmt>
        <c:idx val="287"/>
      </c:pivotFmt>
      <c:pivotFmt>
        <c:idx val="288"/>
      </c:pivotFmt>
      <c:pivotFmt>
        <c:idx val="289"/>
      </c:pivotFmt>
      <c:pivotFmt>
        <c:idx val="290"/>
      </c:pivotFmt>
      <c:pivotFmt>
        <c:idx val="291"/>
      </c:pivotFmt>
      <c:pivotFmt>
        <c:idx val="292"/>
      </c:pivotFmt>
      <c:pivotFmt>
        <c:idx val="293"/>
      </c:pivotFmt>
      <c:pivotFmt>
        <c:idx val="294"/>
      </c:pivotFmt>
      <c:pivotFmt>
        <c:idx val="295"/>
      </c:pivotFmt>
      <c:pivotFmt>
        <c:idx val="296"/>
      </c:pivotFmt>
      <c:pivotFmt>
        <c:idx val="297"/>
      </c:pivotFmt>
      <c:pivotFmt>
        <c:idx val="298"/>
      </c:pivotFmt>
      <c:pivotFmt>
        <c:idx val="299"/>
      </c:pivotFmt>
      <c:pivotFmt>
        <c:idx val="300"/>
      </c:pivotFmt>
      <c:pivotFmt>
        <c:idx val="301"/>
      </c:pivotFmt>
      <c:pivotFmt>
        <c:idx val="302"/>
      </c:pivotFmt>
      <c:pivotFmt>
        <c:idx val="303"/>
      </c:pivotFmt>
      <c:pivotFmt>
        <c:idx val="304"/>
      </c:pivotFmt>
      <c:pivotFmt>
        <c:idx val="305"/>
      </c:pivotFmt>
      <c:pivotFmt>
        <c:idx val="306"/>
      </c:pivotFmt>
      <c:pivotFmt>
        <c:idx val="307"/>
      </c:pivotFmt>
      <c:pivotFmt>
        <c:idx val="308"/>
      </c:pivotFmt>
      <c:pivotFmt>
        <c:idx val="309"/>
      </c:pivotFmt>
      <c:pivotFmt>
        <c:idx val="310"/>
      </c:pivotFmt>
      <c:pivotFmt>
        <c:idx val="311"/>
      </c:pivotFmt>
      <c:pivotFmt>
        <c:idx val="312"/>
      </c:pivotFmt>
      <c:pivotFmt>
        <c:idx val="313"/>
      </c:pivotFmt>
      <c:pivotFmt>
        <c:idx val="314"/>
      </c:pivotFmt>
      <c:pivotFmt>
        <c:idx val="315"/>
      </c:pivotFmt>
      <c:pivotFmt>
        <c:idx val="316"/>
      </c:pivotFmt>
      <c:pivotFmt>
        <c:idx val="317"/>
      </c:pivotFmt>
      <c:pivotFmt>
        <c:idx val="318"/>
      </c:pivotFmt>
      <c:pivotFmt>
        <c:idx val="319"/>
      </c:pivotFmt>
      <c:pivotFmt>
        <c:idx val="320"/>
      </c:pivotFmt>
      <c:pivotFmt>
        <c:idx val="321"/>
      </c:pivotFmt>
      <c:pivotFmt>
        <c:idx val="322"/>
      </c:pivotFmt>
      <c:pivotFmt>
        <c:idx val="323"/>
      </c:pivotFmt>
      <c:pivotFmt>
        <c:idx val="324"/>
      </c:pivotFmt>
      <c:pivotFmt>
        <c:idx val="325"/>
      </c:pivotFmt>
      <c:pivotFmt>
        <c:idx val="326"/>
      </c:pivotFmt>
      <c:pivotFmt>
        <c:idx val="327"/>
      </c:pivotFmt>
      <c:pivotFmt>
        <c:idx val="328"/>
      </c:pivotFmt>
      <c:pivotFmt>
        <c:idx val="329"/>
      </c:pivotFmt>
      <c:pivotFmt>
        <c:idx val="330"/>
      </c:pivotFmt>
      <c:pivotFmt>
        <c:idx val="331"/>
      </c:pivotFmt>
      <c:pivotFmt>
        <c:idx val="332"/>
      </c:pivotFmt>
      <c:pivotFmt>
        <c:idx val="333"/>
      </c:pivotFmt>
      <c:pivotFmt>
        <c:idx val="334"/>
      </c:pivotFmt>
      <c:pivotFmt>
        <c:idx val="335"/>
      </c:pivotFmt>
      <c:pivotFmt>
        <c:idx val="336"/>
      </c:pivotFmt>
      <c:pivotFmt>
        <c:idx val="337"/>
      </c:pivotFmt>
      <c:pivotFmt>
        <c:idx val="338"/>
      </c:pivotFmt>
      <c:pivotFmt>
        <c:idx val="339"/>
      </c:pivotFmt>
      <c:pivotFmt>
        <c:idx val="340"/>
      </c:pivotFmt>
      <c:pivotFmt>
        <c:idx val="341"/>
      </c:pivotFmt>
      <c:pivotFmt>
        <c:idx val="342"/>
      </c:pivotFmt>
      <c:pivotFmt>
        <c:idx val="343"/>
      </c:pivotFmt>
      <c:pivotFmt>
        <c:idx val="344"/>
      </c:pivotFmt>
      <c:pivotFmt>
        <c:idx val="345"/>
      </c:pivotFmt>
      <c:pivotFmt>
        <c:idx val="346"/>
      </c:pivotFmt>
      <c:pivotFmt>
        <c:idx val="347"/>
      </c:pivotFmt>
      <c:pivotFmt>
        <c:idx val="348"/>
      </c:pivotFmt>
      <c:pivotFmt>
        <c:idx val="349"/>
      </c:pivotFmt>
      <c:pivotFmt>
        <c:idx val="350"/>
      </c:pivotFmt>
      <c:pivotFmt>
        <c:idx val="351"/>
      </c:pivotFmt>
      <c:pivotFmt>
        <c:idx val="352"/>
      </c:pivotFmt>
      <c:pivotFmt>
        <c:idx val="353"/>
      </c:pivotFmt>
      <c:pivotFmt>
        <c:idx val="354"/>
      </c:pivotFmt>
      <c:pivotFmt>
        <c:idx val="355"/>
      </c:pivotFmt>
      <c:pivotFmt>
        <c:idx val="356"/>
      </c:pivotFmt>
      <c:pivotFmt>
        <c:idx val="357"/>
      </c:pivotFmt>
      <c:pivotFmt>
        <c:idx val="358"/>
      </c:pivotFmt>
      <c:pivotFmt>
        <c:idx val="359"/>
      </c:pivotFmt>
      <c:pivotFmt>
        <c:idx val="360"/>
      </c:pivotFmt>
      <c:pivotFmt>
        <c:idx val="361"/>
      </c:pivotFmt>
      <c:pivotFmt>
        <c:idx val="362"/>
      </c:pivotFmt>
      <c:pivotFmt>
        <c:idx val="363"/>
      </c:pivotFmt>
      <c:pivotFmt>
        <c:idx val="364"/>
      </c:pivotFmt>
      <c:pivotFmt>
        <c:idx val="365"/>
      </c:pivotFmt>
      <c:pivotFmt>
        <c:idx val="366"/>
      </c:pivotFmt>
      <c:pivotFmt>
        <c:idx val="367"/>
      </c:pivotFmt>
      <c:pivotFmt>
        <c:idx val="368"/>
      </c:pivotFmt>
      <c:pivotFmt>
        <c:idx val="369"/>
      </c:pivotFmt>
      <c:pivotFmt>
        <c:idx val="370"/>
      </c:pivotFmt>
      <c:pivotFmt>
        <c:idx val="371"/>
      </c:pivotFmt>
      <c:pivotFmt>
        <c:idx val="372"/>
      </c:pivotFmt>
      <c:pivotFmt>
        <c:idx val="373"/>
      </c:pivotFmt>
      <c:pivotFmt>
        <c:idx val="374"/>
      </c:pivotFmt>
      <c:pivotFmt>
        <c:idx val="375"/>
      </c:pivotFmt>
      <c:pivotFmt>
        <c:idx val="376"/>
      </c:pivotFmt>
      <c:pivotFmt>
        <c:idx val="377"/>
      </c:pivotFmt>
      <c:pivotFmt>
        <c:idx val="378"/>
      </c:pivotFmt>
      <c:pivotFmt>
        <c:idx val="379"/>
      </c:pivotFmt>
      <c:pivotFmt>
        <c:idx val="380"/>
      </c:pivotFmt>
      <c:pivotFmt>
        <c:idx val="381"/>
      </c:pivotFmt>
      <c:pivotFmt>
        <c:idx val="382"/>
      </c:pivotFmt>
      <c:pivotFmt>
        <c:idx val="383"/>
      </c:pivotFmt>
      <c:pivotFmt>
        <c:idx val="384"/>
      </c:pivotFmt>
      <c:pivotFmt>
        <c:idx val="385"/>
      </c:pivotFmt>
      <c:pivotFmt>
        <c:idx val="386"/>
      </c:pivotFmt>
      <c:pivotFmt>
        <c:idx val="387"/>
      </c:pivotFmt>
      <c:pivotFmt>
        <c:idx val="388"/>
      </c:pivotFmt>
      <c:pivotFmt>
        <c:idx val="389"/>
      </c:pivotFmt>
      <c:pivotFmt>
        <c:idx val="390"/>
      </c:pivotFmt>
      <c:pivotFmt>
        <c:idx val="391"/>
      </c:pivotFmt>
      <c:pivotFmt>
        <c:idx val="392"/>
      </c:pivotFmt>
      <c:pivotFmt>
        <c:idx val="393"/>
      </c:pivotFmt>
      <c:pivotFmt>
        <c:idx val="394"/>
      </c:pivotFmt>
      <c:pivotFmt>
        <c:idx val="395"/>
      </c:pivotFmt>
      <c:pivotFmt>
        <c:idx val="396"/>
      </c:pivotFmt>
      <c:pivotFmt>
        <c:idx val="397"/>
      </c:pivotFmt>
      <c:pivotFmt>
        <c:idx val="398"/>
      </c:pivotFmt>
      <c:pivotFmt>
        <c:idx val="399"/>
      </c:pivotFmt>
      <c:pivotFmt>
        <c:idx val="400"/>
      </c:pivotFmt>
      <c:pivotFmt>
        <c:idx val="401"/>
      </c:pivotFmt>
      <c:pivotFmt>
        <c:idx val="402"/>
      </c:pivotFmt>
      <c:pivotFmt>
        <c:idx val="403"/>
      </c:pivotFmt>
      <c:pivotFmt>
        <c:idx val="404"/>
      </c:pivotFmt>
      <c:pivotFmt>
        <c:idx val="405"/>
      </c:pivotFmt>
      <c:pivotFmt>
        <c:idx val="406"/>
      </c:pivotFmt>
      <c:pivotFmt>
        <c:idx val="407"/>
      </c:pivotFmt>
      <c:pivotFmt>
        <c:idx val="408"/>
      </c:pivotFmt>
      <c:pivotFmt>
        <c:idx val="409"/>
      </c:pivotFmt>
      <c:pivotFmt>
        <c:idx val="410"/>
      </c:pivotFmt>
      <c:pivotFmt>
        <c:idx val="411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2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3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4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5"/>
        <c:spPr>
          <a:solidFill>
            <a:srgbClr val="FFFF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6"/>
        <c:spPr>
          <a:solidFill>
            <a:srgbClr val="FFFF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7"/>
        <c:spPr>
          <a:solidFill>
            <a:srgbClr val="FFFF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'Sheet1 (3)'!$B$3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'Sheet1 (3)'!$A$4:$A$22</c:f>
              <c:strCache>
                <c:ptCount val="18"/>
                <c:pt idx="0">
                  <c:v>DSC Arminia Bielefeld</c:v>
                </c:pt>
                <c:pt idx="1">
                  <c:v>VfB Stuttgart</c:v>
                </c:pt>
                <c:pt idx="2">
                  <c:v>1. FC Union Berlin</c:v>
                </c:pt>
                <c:pt idx="3">
                  <c:v>SC Freiburg</c:v>
                </c:pt>
                <c:pt idx="4">
                  <c:v>1. FSV Mainz 05</c:v>
                </c:pt>
                <c:pt idx="5">
                  <c:v>1. FC Köln</c:v>
                </c:pt>
                <c:pt idx="6">
                  <c:v>SV Werder Bremen</c:v>
                </c:pt>
                <c:pt idx="7">
                  <c:v>FC Augsburg</c:v>
                </c:pt>
                <c:pt idx="8">
                  <c:v>FC Schalke 04</c:v>
                </c:pt>
                <c:pt idx="9">
                  <c:v>Eintracht Frankfurt</c:v>
                </c:pt>
                <c:pt idx="10">
                  <c:v>TSG 1899 Hoffenheim</c:v>
                </c:pt>
                <c:pt idx="11">
                  <c:v>Hertha BSC</c:v>
                </c:pt>
                <c:pt idx="12">
                  <c:v>Borussia Mönchengladbach</c:v>
                </c:pt>
                <c:pt idx="13">
                  <c:v>VfL Wolfsburg</c:v>
                </c:pt>
                <c:pt idx="14">
                  <c:v>RB Leipzig</c:v>
                </c:pt>
                <c:pt idx="15">
                  <c:v>Bayer 04 Leverkusen</c:v>
                </c:pt>
                <c:pt idx="16">
                  <c:v>Borussia Dortmund</c:v>
                </c:pt>
                <c:pt idx="17">
                  <c:v>FC Bayern München</c:v>
                </c:pt>
              </c:strCache>
            </c:strRef>
          </c:cat>
          <c:val>
            <c:numRef>
              <c:f>'Sheet1 (3)'!$B$4:$B$22</c:f>
              <c:numCache>
                <c:formatCode>General</c:formatCode>
                <c:ptCount val="18"/>
                <c:pt idx="0">
                  <c:v>315000</c:v>
                </c:pt>
                <c:pt idx="1">
                  <c:v>361300</c:v>
                </c:pt>
                <c:pt idx="2">
                  <c:v>440600</c:v>
                </c:pt>
                <c:pt idx="3">
                  <c:v>448000</c:v>
                </c:pt>
                <c:pt idx="4">
                  <c:v>448000</c:v>
                </c:pt>
                <c:pt idx="5">
                  <c:v>456000</c:v>
                </c:pt>
                <c:pt idx="6">
                  <c:v>502000</c:v>
                </c:pt>
                <c:pt idx="7">
                  <c:v>504000</c:v>
                </c:pt>
                <c:pt idx="8">
                  <c:v>505000</c:v>
                </c:pt>
                <c:pt idx="9">
                  <c:v>585000</c:v>
                </c:pt>
                <c:pt idx="10">
                  <c:v>725000</c:v>
                </c:pt>
                <c:pt idx="11">
                  <c:v>769500</c:v>
                </c:pt>
                <c:pt idx="12">
                  <c:v>854600</c:v>
                </c:pt>
                <c:pt idx="13">
                  <c:v>888000</c:v>
                </c:pt>
                <c:pt idx="14">
                  <c:v>1044550</c:v>
                </c:pt>
                <c:pt idx="15">
                  <c:v>1230000</c:v>
                </c:pt>
                <c:pt idx="16">
                  <c:v>1314000</c:v>
                </c:pt>
                <c:pt idx="17">
                  <c:v>1802000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23-4C76-A06E-C13318FEDE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04111616"/>
        <c:axId val="704114896"/>
      </c:barChart>
      <c:catAx>
        <c:axId val="704111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club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4896"/>
        <c:crosses val="autoZero"/>
        <c:auto val="1"/>
        <c:lblAlgn val="ctr"/>
        <c:lblOffset val="100"/>
        <c:noMultiLvlLbl val="0"/>
      </c:catAx>
      <c:valAx>
        <c:axId val="70411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cap="all" baseline="0">
                    <a:solidFill>
                      <a:sysClr val="window" lastClr="FFFFFF">
                        <a:lumMod val="8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 b="1" i="0" cap="all" baseline="0">
                    <a:effectLst/>
                  </a:rPr>
                  <a:t>Total wage (</a:t>
                </a:r>
                <a:r>
                  <a:rPr lang="zh-CN" altLang="zh-CN" sz="900" b="0" i="0" cap="all" baseline="0">
                    <a:effectLst/>
                  </a:rPr>
                  <a:t>€</a:t>
                </a:r>
                <a:r>
                  <a:rPr lang="en-US" altLang="zh-CN" sz="900" b="1" i="0" cap="all" baseline="0">
                    <a:effectLst/>
                  </a:rPr>
                  <a:t>)</a:t>
                </a:r>
                <a:endParaRPr lang="zh-CN" altLang="zh-CN" sz="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cap="all" baseline="0">
                  <a:solidFill>
                    <a:sysClr val="window" lastClr="FFFFFF">
                      <a:lumMod val="8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1616"/>
        <c:crosses val="autoZero"/>
        <c:crossBetween val="between"/>
        <c:dispUnits>
          <c:builtInUnit val="million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[CLUB_RANK_BY_PLAYER_VALUE_IN_BIG_FIVE_LEAGUES.xlsx]Sheet1 (4)!数据透视表2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Total Wage of</a:t>
            </a:r>
            <a:r>
              <a:rPr lang="en-US" sz="1200" baseline="0"/>
              <a:t> Italian Serie A </a:t>
            </a:r>
            <a:r>
              <a:rPr lang="en-US" sz="1200"/>
              <a:t>in Season 20/21</a:t>
            </a:r>
            <a:endParaRPr lang="en-US" altLang="zh-C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</c:pivotFmt>
      <c:pivotFmt>
        <c:idx val="87"/>
      </c:pivotFmt>
      <c:pivotFmt>
        <c:idx val="88"/>
      </c:pivotFmt>
      <c:pivotFmt>
        <c:idx val="89"/>
      </c:pivotFmt>
      <c:pivotFmt>
        <c:idx val="90"/>
      </c:pivotFmt>
      <c:pivotFmt>
        <c:idx val="91"/>
      </c:pivotFmt>
      <c:pivotFmt>
        <c:idx val="92"/>
      </c:pivotFmt>
      <c:pivotFmt>
        <c:idx val="93"/>
      </c:pivotFmt>
      <c:pivotFmt>
        <c:idx val="94"/>
      </c:pivotFmt>
      <c:pivotFmt>
        <c:idx val="95"/>
      </c:pivotFmt>
      <c:pivotFmt>
        <c:idx val="96"/>
      </c:pivotFmt>
      <c:pivotFmt>
        <c:idx val="97"/>
      </c:pivotFmt>
      <c:pivotFmt>
        <c:idx val="98"/>
      </c:pivotFmt>
      <c:pivotFmt>
        <c:idx val="99"/>
      </c:pivotFmt>
      <c:pivotFmt>
        <c:idx val="100"/>
      </c:pivotFmt>
      <c:pivotFmt>
        <c:idx val="101"/>
      </c:pivotFmt>
      <c:pivotFmt>
        <c:idx val="102"/>
      </c:pivotFmt>
      <c:pivotFmt>
        <c:idx val="103"/>
      </c:pivotFmt>
      <c:pivotFmt>
        <c:idx val="104"/>
      </c:pivotFmt>
      <c:pivotFmt>
        <c:idx val="105"/>
      </c:pivotFmt>
      <c:pivotFmt>
        <c:idx val="106"/>
      </c:pivotFmt>
      <c:pivotFmt>
        <c:idx val="107"/>
      </c:pivotFmt>
      <c:pivotFmt>
        <c:idx val="108"/>
      </c:pivotFmt>
      <c:pivotFmt>
        <c:idx val="109"/>
      </c:pivotFmt>
      <c:pivotFmt>
        <c:idx val="110"/>
      </c:pivotFmt>
      <c:pivotFmt>
        <c:idx val="111"/>
      </c:pivotFmt>
      <c:pivotFmt>
        <c:idx val="112"/>
      </c:pivotFmt>
      <c:pivotFmt>
        <c:idx val="113"/>
      </c:pivotFmt>
      <c:pivotFmt>
        <c:idx val="114"/>
      </c:pivotFmt>
      <c:pivotFmt>
        <c:idx val="115"/>
      </c:pivotFmt>
      <c:pivotFmt>
        <c:idx val="116"/>
      </c:pivotFmt>
      <c:pivotFmt>
        <c:idx val="117"/>
      </c:pivotFmt>
      <c:pivotFmt>
        <c:idx val="118"/>
      </c:pivotFmt>
      <c:pivotFmt>
        <c:idx val="119"/>
      </c:pivotFmt>
      <c:pivotFmt>
        <c:idx val="120"/>
      </c:pivotFmt>
      <c:pivotFmt>
        <c:idx val="121"/>
      </c:pivotFmt>
      <c:pivotFmt>
        <c:idx val="122"/>
      </c:pivotFmt>
      <c:pivotFmt>
        <c:idx val="123"/>
      </c:pivotFmt>
      <c:pivotFmt>
        <c:idx val="124"/>
      </c:pivotFmt>
      <c:pivotFmt>
        <c:idx val="125"/>
      </c:pivotFmt>
      <c:pivotFmt>
        <c:idx val="126"/>
      </c:pivotFmt>
      <c:pivotFmt>
        <c:idx val="127"/>
      </c:pivotFmt>
      <c:pivotFmt>
        <c:idx val="128"/>
      </c:pivotFmt>
      <c:pivotFmt>
        <c:idx val="129"/>
      </c:pivotFmt>
      <c:pivotFmt>
        <c:idx val="130"/>
      </c:pivotFmt>
      <c:pivotFmt>
        <c:idx val="131"/>
      </c:pivotFmt>
      <c:pivotFmt>
        <c:idx val="132"/>
      </c:pivotFmt>
      <c:pivotFmt>
        <c:idx val="133"/>
      </c:pivotFmt>
      <c:pivotFmt>
        <c:idx val="134"/>
      </c:pivotFmt>
      <c:pivotFmt>
        <c:idx val="135"/>
      </c:pivotFmt>
      <c:pivotFmt>
        <c:idx val="136"/>
      </c:pivotFmt>
      <c:pivotFmt>
        <c:idx val="137"/>
      </c:pivotFmt>
      <c:pivotFmt>
        <c:idx val="138"/>
      </c:pivotFmt>
      <c:pivotFmt>
        <c:idx val="139"/>
      </c:pivotFmt>
      <c:pivotFmt>
        <c:idx val="140"/>
      </c:pivotFmt>
      <c:pivotFmt>
        <c:idx val="141"/>
      </c:pivotFmt>
      <c:pivotFmt>
        <c:idx val="142"/>
      </c:pivotFmt>
      <c:pivotFmt>
        <c:idx val="143"/>
      </c:pivotFmt>
      <c:pivotFmt>
        <c:idx val="144"/>
      </c:pivotFmt>
      <c:pivotFmt>
        <c:idx val="145"/>
      </c:pivotFmt>
      <c:pivotFmt>
        <c:idx val="146"/>
      </c:pivotFmt>
      <c:pivotFmt>
        <c:idx val="147"/>
      </c:pivotFmt>
      <c:pivotFmt>
        <c:idx val="148"/>
      </c:pivotFmt>
      <c:pivotFmt>
        <c:idx val="149"/>
      </c:pivotFmt>
      <c:pivotFmt>
        <c:idx val="150"/>
      </c:pivotFmt>
      <c:pivotFmt>
        <c:idx val="151"/>
      </c:pivotFmt>
      <c:pivotFmt>
        <c:idx val="152"/>
      </c:pivotFmt>
      <c:pivotFmt>
        <c:idx val="153"/>
      </c:pivotFmt>
      <c:pivotFmt>
        <c:idx val="154"/>
      </c:pivotFmt>
      <c:pivotFmt>
        <c:idx val="155"/>
      </c:pivotFmt>
      <c:pivotFmt>
        <c:idx val="156"/>
      </c:pivotFmt>
      <c:pivotFmt>
        <c:idx val="157"/>
      </c:pivotFmt>
      <c:pivotFmt>
        <c:idx val="158"/>
      </c:pivotFmt>
      <c:pivotFmt>
        <c:idx val="159"/>
      </c:pivotFmt>
      <c:pivotFmt>
        <c:idx val="160"/>
      </c:pivotFmt>
      <c:pivotFmt>
        <c:idx val="161"/>
      </c:pivotFmt>
      <c:pivotFmt>
        <c:idx val="162"/>
      </c:pivotFmt>
      <c:pivotFmt>
        <c:idx val="163"/>
      </c:pivotFmt>
      <c:pivotFmt>
        <c:idx val="164"/>
      </c:pivotFmt>
      <c:pivotFmt>
        <c:idx val="165"/>
      </c:pivotFmt>
      <c:pivotFmt>
        <c:idx val="166"/>
      </c:pivotFmt>
      <c:pivotFmt>
        <c:idx val="167"/>
      </c:pivotFmt>
      <c:pivotFmt>
        <c:idx val="168"/>
      </c:pivotFmt>
      <c:pivotFmt>
        <c:idx val="169"/>
      </c:pivotFmt>
      <c:pivotFmt>
        <c:idx val="170"/>
      </c:pivotFmt>
      <c:pivotFmt>
        <c:idx val="171"/>
      </c:pivotFmt>
      <c:pivotFmt>
        <c:idx val="172"/>
      </c:pivotFmt>
      <c:pivotFmt>
        <c:idx val="173"/>
      </c:pivotFmt>
      <c:pivotFmt>
        <c:idx val="174"/>
      </c:pivotFmt>
      <c:pivotFmt>
        <c:idx val="175"/>
      </c:pivotFmt>
      <c:pivotFmt>
        <c:idx val="176"/>
      </c:pivotFmt>
      <c:pivotFmt>
        <c:idx val="177"/>
      </c:pivotFmt>
      <c:pivotFmt>
        <c:idx val="178"/>
      </c:pivotFmt>
      <c:pivotFmt>
        <c:idx val="179"/>
      </c:pivotFmt>
      <c:pivotFmt>
        <c:idx val="180"/>
      </c:pivotFmt>
      <c:pivotFmt>
        <c:idx val="181"/>
      </c:pivotFmt>
      <c:pivotFmt>
        <c:idx val="182"/>
      </c:pivotFmt>
      <c:pivotFmt>
        <c:idx val="183"/>
      </c:pivotFmt>
      <c:pivotFmt>
        <c:idx val="184"/>
      </c:pivotFmt>
      <c:pivotFmt>
        <c:idx val="185"/>
      </c:pivotFmt>
      <c:pivotFmt>
        <c:idx val="186"/>
      </c:pivotFmt>
      <c:pivotFmt>
        <c:idx val="187"/>
      </c:pivotFmt>
      <c:pivotFmt>
        <c:idx val="188"/>
      </c:pivotFmt>
      <c:pivotFmt>
        <c:idx val="189"/>
      </c:pivotFmt>
      <c:pivotFmt>
        <c:idx val="190"/>
      </c:pivotFmt>
      <c:pivotFmt>
        <c:idx val="191"/>
      </c:pivotFmt>
      <c:pivotFmt>
        <c:idx val="192"/>
      </c:pivotFmt>
      <c:pivotFmt>
        <c:idx val="193"/>
      </c:pivotFmt>
      <c:pivotFmt>
        <c:idx val="194"/>
      </c:pivotFmt>
      <c:pivotFmt>
        <c:idx val="195"/>
      </c:pivotFmt>
      <c:pivotFmt>
        <c:idx val="196"/>
      </c:pivotFmt>
      <c:pivotFmt>
        <c:idx val="197"/>
      </c:pivotFmt>
      <c:pivotFmt>
        <c:idx val="198"/>
      </c:pivotFmt>
      <c:pivotFmt>
        <c:idx val="199"/>
      </c:pivotFmt>
      <c:pivotFmt>
        <c:idx val="200"/>
      </c:pivotFmt>
      <c:pivotFmt>
        <c:idx val="201"/>
      </c:pivotFmt>
      <c:pivotFmt>
        <c:idx val="202"/>
      </c:pivotFmt>
      <c:pivotFmt>
        <c:idx val="203"/>
      </c:pivotFmt>
      <c:pivotFmt>
        <c:idx val="204"/>
      </c:pivotFmt>
      <c:pivotFmt>
        <c:idx val="205"/>
      </c:pivotFmt>
      <c:pivotFmt>
        <c:idx val="206"/>
      </c:pivotFmt>
      <c:pivotFmt>
        <c:idx val="207"/>
      </c:pivotFmt>
      <c:pivotFmt>
        <c:idx val="208"/>
      </c:pivotFmt>
      <c:pivotFmt>
        <c:idx val="209"/>
      </c:pivotFmt>
      <c:pivotFmt>
        <c:idx val="210"/>
      </c:pivotFmt>
      <c:pivotFmt>
        <c:idx val="211"/>
      </c:pivotFmt>
      <c:pivotFmt>
        <c:idx val="212"/>
      </c:pivotFmt>
      <c:pivotFmt>
        <c:idx val="213"/>
      </c:pivotFmt>
      <c:pivotFmt>
        <c:idx val="214"/>
      </c:pivotFmt>
      <c:pivotFmt>
        <c:idx val="215"/>
      </c:pivotFmt>
      <c:pivotFmt>
        <c:idx val="216"/>
      </c:pivotFmt>
      <c:pivotFmt>
        <c:idx val="217"/>
      </c:pivotFmt>
      <c:pivotFmt>
        <c:idx val="218"/>
      </c:pivotFmt>
      <c:pivotFmt>
        <c:idx val="219"/>
      </c:pivotFmt>
      <c:pivotFmt>
        <c:idx val="220"/>
      </c:pivotFmt>
      <c:pivotFmt>
        <c:idx val="221"/>
      </c:pivotFmt>
      <c:pivotFmt>
        <c:idx val="222"/>
      </c:pivotFmt>
      <c:pivotFmt>
        <c:idx val="223"/>
      </c:pivotFmt>
      <c:pivotFmt>
        <c:idx val="224"/>
      </c:pivotFmt>
      <c:pivotFmt>
        <c:idx val="225"/>
      </c:pivotFmt>
      <c:pivotFmt>
        <c:idx val="226"/>
      </c:pivotFmt>
      <c:pivotFmt>
        <c:idx val="227"/>
      </c:pivotFmt>
      <c:pivotFmt>
        <c:idx val="228"/>
      </c:pivotFmt>
      <c:pivotFmt>
        <c:idx val="229"/>
      </c:pivotFmt>
      <c:pivotFmt>
        <c:idx val="230"/>
      </c:pivotFmt>
      <c:pivotFmt>
        <c:idx val="231"/>
      </c:pivotFmt>
      <c:pivotFmt>
        <c:idx val="232"/>
      </c:pivotFmt>
      <c:pivotFmt>
        <c:idx val="233"/>
      </c:pivotFmt>
      <c:pivotFmt>
        <c:idx val="234"/>
      </c:pivotFmt>
      <c:pivotFmt>
        <c:idx val="235"/>
      </c:pivotFmt>
      <c:pivotFmt>
        <c:idx val="236"/>
      </c:pivotFmt>
      <c:pivotFmt>
        <c:idx val="237"/>
      </c:pivotFmt>
      <c:pivotFmt>
        <c:idx val="238"/>
      </c:pivotFmt>
      <c:pivotFmt>
        <c:idx val="239"/>
      </c:pivotFmt>
      <c:pivotFmt>
        <c:idx val="240"/>
      </c:pivotFmt>
      <c:pivotFmt>
        <c:idx val="241"/>
      </c:pivotFmt>
      <c:pivotFmt>
        <c:idx val="242"/>
      </c:pivotFmt>
      <c:pivotFmt>
        <c:idx val="243"/>
      </c:pivotFmt>
      <c:pivotFmt>
        <c:idx val="244"/>
      </c:pivotFmt>
      <c:pivotFmt>
        <c:idx val="245"/>
      </c:pivotFmt>
      <c:pivotFmt>
        <c:idx val="246"/>
      </c:pivotFmt>
      <c:pivotFmt>
        <c:idx val="247"/>
      </c:pivotFmt>
      <c:pivotFmt>
        <c:idx val="248"/>
      </c:pivotFmt>
      <c:pivotFmt>
        <c:idx val="249"/>
      </c:pivotFmt>
      <c:pivotFmt>
        <c:idx val="250"/>
      </c:pivotFmt>
      <c:pivotFmt>
        <c:idx val="251"/>
      </c:pivotFmt>
      <c:pivotFmt>
        <c:idx val="252"/>
      </c:pivotFmt>
      <c:pivotFmt>
        <c:idx val="253"/>
      </c:pivotFmt>
      <c:pivotFmt>
        <c:idx val="254"/>
      </c:pivotFmt>
      <c:pivotFmt>
        <c:idx val="255"/>
      </c:pivotFmt>
      <c:pivotFmt>
        <c:idx val="256"/>
      </c:pivotFmt>
      <c:pivotFmt>
        <c:idx val="257"/>
      </c:pivotFmt>
      <c:pivotFmt>
        <c:idx val="258"/>
      </c:pivotFmt>
      <c:pivotFmt>
        <c:idx val="259"/>
      </c:pivotFmt>
      <c:pivotFmt>
        <c:idx val="260"/>
      </c:pivotFmt>
      <c:pivotFmt>
        <c:idx val="261"/>
      </c:pivotFmt>
      <c:pivotFmt>
        <c:idx val="262"/>
      </c:pivotFmt>
      <c:pivotFmt>
        <c:idx val="263"/>
      </c:pivotFmt>
      <c:pivotFmt>
        <c:idx val="264"/>
      </c:pivotFmt>
      <c:pivotFmt>
        <c:idx val="265"/>
      </c:pivotFmt>
      <c:pivotFmt>
        <c:idx val="266"/>
      </c:pivotFmt>
      <c:pivotFmt>
        <c:idx val="267"/>
      </c:pivotFmt>
      <c:pivotFmt>
        <c:idx val="268"/>
      </c:pivotFmt>
      <c:pivotFmt>
        <c:idx val="269"/>
      </c:pivotFmt>
      <c:pivotFmt>
        <c:idx val="270"/>
      </c:pivotFmt>
      <c:pivotFmt>
        <c:idx val="271"/>
      </c:pivotFmt>
      <c:pivotFmt>
        <c:idx val="272"/>
      </c:pivotFmt>
      <c:pivotFmt>
        <c:idx val="273"/>
      </c:pivotFmt>
      <c:pivotFmt>
        <c:idx val="274"/>
      </c:pivotFmt>
      <c:pivotFmt>
        <c:idx val="275"/>
      </c:pivotFmt>
      <c:pivotFmt>
        <c:idx val="276"/>
      </c:pivotFmt>
      <c:pivotFmt>
        <c:idx val="277"/>
      </c:pivotFmt>
      <c:pivotFmt>
        <c:idx val="278"/>
      </c:pivotFmt>
      <c:pivotFmt>
        <c:idx val="279"/>
      </c:pivotFmt>
      <c:pivotFmt>
        <c:idx val="280"/>
      </c:pivotFmt>
      <c:pivotFmt>
        <c:idx val="281"/>
      </c:pivotFmt>
      <c:pivotFmt>
        <c:idx val="282"/>
      </c:pivotFmt>
      <c:pivotFmt>
        <c:idx val="283"/>
      </c:pivotFmt>
      <c:pivotFmt>
        <c:idx val="284"/>
      </c:pivotFmt>
      <c:pivotFmt>
        <c:idx val="285"/>
      </c:pivotFmt>
      <c:pivotFmt>
        <c:idx val="286"/>
      </c:pivotFmt>
      <c:pivotFmt>
        <c:idx val="287"/>
      </c:pivotFmt>
      <c:pivotFmt>
        <c:idx val="288"/>
      </c:pivotFmt>
      <c:pivotFmt>
        <c:idx val="289"/>
      </c:pivotFmt>
      <c:pivotFmt>
        <c:idx val="290"/>
      </c:pivotFmt>
      <c:pivotFmt>
        <c:idx val="291"/>
      </c:pivotFmt>
      <c:pivotFmt>
        <c:idx val="292"/>
      </c:pivotFmt>
      <c:pivotFmt>
        <c:idx val="293"/>
      </c:pivotFmt>
      <c:pivotFmt>
        <c:idx val="294"/>
      </c:pivotFmt>
      <c:pivotFmt>
        <c:idx val="295"/>
      </c:pivotFmt>
      <c:pivotFmt>
        <c:idx val="296"/>
      </c:pivotFmt>
      <c:pivotFmt>
        <c:idx val="297"/>
      </c:pivotFmt>
      <c:pivotFmt>
        <c:idx val="298"/>
      </c:pivotFmt>
      <c:pivotFmt>
        <c:idx val="299"/>
      </c:pivotFmt>
      <c:pivotFmt>
        <c:idx val="300"/>
      </c:pivotFmt>
      <c:pivotFmt>
        <c:idx val="301"/>
      </c:pivotFmt>
      <c:pivotFmt>
        <c:idx val="302"/>
      </c:pivotFmt>
      <c:pivotFmt>
        <c:idx val="303"/>
      </c:pivotFmt>
      <c:pivotFmt>
        <c:idx val="304"/>
      </c:pivotFmt>
      <c:pivotFmt>
        <c:idx val="305"/>
      </c:pivotFmt>
      <c:pivotFmt>
        <c:idx val="306"/>
      </c:pivotFmt>
      <c:pivotFmt>
        <c:idx val="307"/>
      </c:pivotFmt>
      <c:pivotFmt>
        <c:idx val="308"/>
      </c:pivotFmt>
      <c:pivotFmt>
        <c:idx val="309"/>
      </c:pivotFmt>
      <c:pivotFmt>
        <c:idx val="310"/>
      </c:pivotFmt>
      <c:pivotFmt>
        <c:idx val="311"/>
      </c:pivotFmt>
      <c:pivotFmt>
        <c:idx val="312"/>
      </c:pivotFmt>
      <c:pivotFmt>
        <c:idx val="313"/>
      </c:pivotFmt>
      <c:pivotFmt>
        <c:idx val="314"/>
      </c:pivotFmt>
      <c:pivotFmt>
        <c:idx val="315"/>
      </c:pivotFmt>
      <c:pivotFmt>
        <c:idx val="316"/>
      </c:pivotFmt>
      <c:pivotFmt>
        <c:idx val="317"/>
      </c:pivotFmt>
      <c:pivotFmt>
        <c:idx val="318"/>
      </c:pivotFmt>
      <c:pivotFmt>
        <c:idx val="319"/>
      </c:pivotFmt>
      <c:pivotFmt>
        <c:idx val="320"/>
      </c:pivotFmt>
      <c:pivotFmt>
        <c:idx val="321"/>
      </c:pivotFmt>
      <c:pivotFmt>
        <c:idx val="322"/>
      </c:pivotFmt>
      <c:pivotFmt>
        <c:idx val="323"/>
      </c:pivotFmt>
      <c:pivotFmt>
        <c:idx val="324"/>
      </c:pivotFmt>
      <c:pivotFmt>
        <c:idx val="325"/>
      </c:pivotFmt>
      <c:pivotFmt>
        <c:idx val="326"/>
      </c:pivotFmt>
      <c:pivotFmt>
        <c:idx val="327"/>
      </c:pivotFmt>
      <c:pivotFmt>
        <c:idx val="328"/>
      </c:pivotFmt>
      <c:pivotFmt>
        <c:idx val="329"/>
      </c:pivotFmt>
      <c:pivotFmt>
        <c:idx val="330"/>
      </c:pivotFmt>
      <c:pivotFmt>
        <c:idx val="331"/>
      </c:pivotFmt>
      <c:pivotFmt>
        <c:idx val="332"/>
      </c:pivotFmt>
      <c:pivotFmt>
        <c:idx val="333"/>
      </c:pivotFmt>
      <c:pivotFmt>
        <c:idx val="334"/>
      </c:pivotFmt>
      <c:pivotFmt>
        <c:idx val="335"/>
      </c:pivotFmt>
      <c:pivotFmt>
        <c:idx val="336"/>
      </c:pivotFmt>
      <c:pivotFmt>
        <c:idx val="337"/>
      </c:pivotFmt>
      <c:pivotFmt>
        <c:idx val="338"/>
      </c:pivotFmt>
      <c:pivotFmt>
        <c:idx val="339"/>
      </c:pivotFmt>
      <c:pivotFmt>
        <c:idx val="340"/>
      </c:pivotFmt>
      <c:pivotFmt>
        <c:idx val="341"/>
      </c:pivotFmt>
      <c:pivotFmt>
        <c:idx val="342"/>
      </c:pivotFmt>
      <c:pivotFmt>
        <c:idx val="343"/>
      </c:pivotFmt>
      <c:pivotFmt>
        <c:idx val="344"/>
      </c:pivotFmt>
      <c:pivotFmt>
        <c:idx val="345"/>
      </c:pivotFmt>
      <c:pivotFmt>
        <c:idx val="346"/>
      </c:pivotFmt>
      <c:pivotFmt>
        <c:idx val="347"/>
      </c:pivotFmt>
      <c:pivotFmt>
        <c:idx val="348"/>
      </c:pivotFmt>
      <c:pivotFmt>
        <c:idx val="349"/>
      </c:pivotFmt>
      <c:pivotFmt>
        <c:idx val="350"/>
      </c:pivotFmt>
      <c:pivotFmt>
        <c:idx val="351"/>
      </c:pivotFmt>
      <c:pivotFmt>
        <c:idx val="352"/>
      </c:pivotFmt>
      <c:pivotFmt>
        <c:idx val="353"/>
      </c:pivotFmt>
      <c:pivotFmt>
        <c:idx val="354"/>
      </c:pivotFmt>
      <c:pivotFmt>
        <c:idx val="355"/>
      </c:pivotFmt>
      <c:pivotFmt>
        <c:idx val="356"/>
      </c:pivotFmt>
      <c:pivotFmt>
        <c:idx val="357"/>
      </c:pivotFmt>
      <c:pivotFmt>
        <c:idx val="358"/>
      </c:pivotFmt>
      <c:pivotFmt>
        <c:idx val="359"/>
      </c:pivotFmt>
      <c:pivotFmt>
        <c:idx val="360"/>
      </c:pivotFmt>
      <c:pivotFmt>
        <c:idx val="361"/>
      </c:pivotFmt>
      <c:pivotFmt>
        <c:idx val="362"/>
      </c:pivotFmt>
      <c:pivotFmt>
        <c:idx val="363"/>
      </c:pivotFmt>
      <c:pivotFmt>
        <c:idx val="364"/>
      </c:pivotFmt>
      <c:pivotFmt>
        <c:idx val="365"/>
      </c:pivotFmt>
      <c:pivotFmt>
        <c:idx val="366"/>
      </c:pivotFmt>
      <c:pivotFmt>
        <c:idx val="367"/>
      </c:pivotFmt>
      <c:pivotFmt>
        <c:idx val="368"/>
      </c:pivotFmt>
      <c:pivotFmt>
        <c:idx val="369"/>
      </c:pivotFmt>
      <c:pivotFmt>
        <c:idx val="370"/>
      </c:pivotFmt>
      <c:pivotFmt>
        <c:idx val="371"/>
      </c:pivotFmt>
      <c:pivotFmt>
        <c:idx val="372"/>
      </c:pivotFmt>
      <c:pivotFmt>
        <c:idx val="373"/>
      </c:pivotFmt>
      <c:pivotFmt>
        <c:idx val="374"/>
      </c:pivotFmt>
      <c:pivotFmt>
        <c:idx val="375"/>
      </c:pivotFmt>
      <c:pivotFmt>
        <c:idx val="376"/>
      </c:pivotFmt>
      <c:pivotFmt>
        <c:idx val="377"/>
      </c:pivotFmt>
      <c:pivotFmt>
        <c:idx val="378"/>
      </c:pivotFmt>
      <c:pivotFmt>
        <c:idx val="379"/>
      </c:pivotFmt>
      <c:pivotFmt>
        <c:idx val="380"/>
      </c:pivotFmt>
      <c:pivotFmt>
        <c:idx val="381"/>
      </c:pivotFmt>
      <c:pivotFmt>
        <c:idx val="382"/>
      </c:pivotFmt>
      <c:pivotFmt>
        <c:idx val="383"/>
      </c:pivotFmt>
      <c:pivotFmt>
        <c:idx val="384"/>
      </c:pivotFmt>
      <c:pivotFmt>
        <c:idx val="385"/>
      </c:pivotFmt>
      <c:pivotFmt>
        <c:idx val="386"/>
      </c:pivotFmt>
      <c:pivotFmt>
        <c:idx val="387"/>
      </c:pivotFmt>
      <c:pivotFmt>
        <c:idx val="388"/>
      </c:pivotFmt>
      <c:pivotFmt>
        <c:idx val="389"/>
      </c:pivotFmt>
      <c:pivotFmt>
        <c:idx val="390"/>
      </c:pivotFmt>
      <c:pivotFmt>
        <c:idx val="391"/>
      </c:pivotFmt>
      <c:pivotFmt>
        <c:idx val="392"/>
      </c:pivotFmt>
      <c:pivotFmt>
        <c:idx val="393"/>
      </c:pivotFmt>
      <c:pivotFmt>
        <c:idx val="394"/>
      </c:pivotFmt>
      <c:pivotFmt>
        <c:idx val="395"/>
      </c:pivotFmt>
      <c:pivotFmt>
        <c:idx val="396"/>
      </c:pivotFmt>
      <c:pivotFmt>
        <c:idx val="397"/>
      </c:pivotFmt>
      <c:pivotFmt>
        <c:idx val="398"/>
      </c:pivotFmt>
      <c:pivotFmt>
        <c:idx val="399"/>
      </c:pivotFmt>
      <c:pivotFmt>
        <c:idx val="400"/>
      </c:pivotFmt>
      <c:pivotFmt>
        <c:idx val="401"/>
      </c:pivotFmt>
      <c:pivotFmt>
        <c:idx val="402"/>
      </c:pivotFmt>
      <c:pivotFmt>
        <c:idx val="403"/>
      </c:pivotFmt>
      <c:pivotFmt>
        <c:idx val="404"/>
      </c:pivotFmt>
      <c:pivotFmt>
        <c:idx val="405"/>
      </c:pivotFmt>
      <c:pivotFmt>
        <c:idx val="406"/>
      </c:pivotFmt>
      <c:pivotFmt>
        <c:idx val="407"/>
      </c:pivotFmt>
      <c:pivotFmt>
        <c:idx val="408"/>
      </c:pivotFmt>
      <c:pivotFmt>
        <c:idx val="409"/>
      </c:pivotFmt>
      <c:pivotFmt>
        <c:idx val="410"/>
      </c:pivotFmt>
      <c:pivotFmt>
        <c:idx val="411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2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3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4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5"/>
        <c:spPr>
          <a:solidFill>
            <a:srgbClr val="FFFF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6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7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8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'Sheet1 (4)'!$B$3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'Sheet1 (4)'!$A$4:$A$24</c:f>
              <c:strCache>
                <c:ptCount val="20"/>
                <c:pt idx="0">
                  <c:v>Crotone</c:v>
                </c:pt>
                <c:pt idx="1">
                  <c:v>Benevento</c:v>
                </c:pt>
                <c:pt idx="2">
                  <c:v>Sampdoria</c:v>
                </c:pt>
                <c:pt idx="3">
                  <c:v>Genoa</c:v>
                </c:pt>
                <c:pt idx="4">
                  <c:v>Udinese</c:v>
                </c:pt>
                <c:pt idx="5">
                  <c:v>Spezia</c:v>
                </c:pt>
                <c:pt idx="6">
                  <c:v>Hellas Verona</c:v>
                </c:pt>
                <c:pt idx="7">
                  <c:v>Cagliari</c:v>
                </c:pt>
                <c:pt idx="8">
                  <c:v>Bologna</c:v>
                </c:pt>
                <c:pt idx="9">
                  <c:v>Parma</c:v>
                </c:pt>
                <c:pt idx="10">
                  <c:v>Sassuolo</c:v>
                </c:pt>
                <c:pt idx="11">
                  <c:v>Milan</c:v>
                </c:pt>
                <c:pt idx="12">
                  <c:v>Torino</c:v>
                </c:pt>
                <c:pt idx="13">
                  <c:v>Fiorentina</c:v>
                </c:pt>
                <c:pt idx="14">
                  <c:v>Roma</c:v>
                </c:pt>
                <c:pt idx="15">
                  <c:v>Atalanta</c:v>
                </c:pt>
                <c:pt idx="16">
                  <c:v>Lazio</c:v>
                </c:pt>
                <c:pt idx="17">
                  <c:v>Napoli</c:v>
                </c:pt>
                <c:pt idx="18">
                  <c:v>Juventus</c:v>
                </c:pt>
                <c:pt idx="19">
                  <c:v>Inter</c:v>
                </c:pt>
              </c:strCache>
            </c:strRef>
          </c:cat>
          <c:val>
            <c:numRef>
              <c:f>'Sheet1 (4)'!$B$4:$B$24</c:f>
              <c:numCache>
                <c:formatCode>General</c:formatCode>
                <c:ptCount val="20"/>
                <c:pt idx="0">
                  <c:v>150300</c:v>
                </c:pt>
                <c:pt idx="1">
                  <c:v>285900</c:v>
                </c:pt>
                <c:pt idx="2">
                  <c:v>310000</c:v>
                </c:pt>
                <c:pt idx="3">
                  <c:v>325700</c:v>
                </c:pt>
                <c:pt idx="4">
                  <c:v>345450</c:v>
                </c:pt>
                <c:pt idx="5">
                  <c:v>360000</c:v>
                </c:pt>
                <c:pt idx="6">
                  <c:v>466000</c:v>
                </c:pt>
                <c:pt idx="7">
                  <c:v>536000</c:v>
                </c:pt>
                <c:pt idx="8">
                  <c:v>548000</c:v>
                </c:pt>
                <c:pt idx="9">
                  <c:v>569000</c:v>
                </c:pt>
                <c:pt idx="10">
                  <c:v>589000</c:v>
                </c:pt>
                <c:pt idx="11">
                  <c:v>807000</c:v>
                </c:pt>
                <c:pt idx="12">
                  <c:v>862000</c:v>
                </c:pt>
                <c:pt idx="13">
                  <c:v>977550</c:v>
                </c:pt>
                <c:pt idx="14">
                  <c:v>1092000</c:v>
                </c:pt>
                <c:pt idx="15">
                  <c:v>1297000</c:v>
                </c:pt>
                <c:pt idx="16">
                  <c:v>1513000</c:v>
                </c:pt>
                <c:pt idx="17">
                  <c:v>1833000</c:v>
                </c:pt>
                <c:pt idx="18">
                  <c:v>2161000</c:v>
                </c:pt>
                <c:pt idx="19">
                  <c:v>2776000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25-479C-A488-F391425A05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04111616"/>
        <c:axId val="704114896"/>
      </c:barChart>
      <c:catAx>
        <c:axId val="704111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club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4896"/>
        <c:crosses val="autoZero"/>
        <c:auto val="1"/>
        <c:lblAlgn val="ctr"/>
        <c:lblOffset val="100"/>
        <c:noMultiLvlLbl val="0"/>
      </c:catAx>
      <c:valAx>
        <c:axId val="70411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cap="all" baseline="0">
                    <a:solidFill>
                      <a:sysClr val="window" lastClr="FFFFFF">
                        <a:lumMod val="8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 b="1" i="0" cap="all" baseline="0">
                    <a:effectLst/>
                  </a:rPr>
                  <a:t>Total wage (</a:t>
                </a:r>
                <a:r>
                  <a:rPr lang="zh-CN" altLang="zh-CN" sz="900" b="0" i="0" cap="all" baseline="0">
                    <a:effectLst/>
                  </a:rPr>
                  <a:t>€</a:t>
                </a:r>
                <a:r>
                  <a:rPr lang="en-US" altLang="zh-CN" sz="900" b="1" i="0" cap="all" baseline="0">
                    <a:effectLst/>
                  </a:rPr>
                  <a:t>)</a:t>
                </a:r>
                <a:endParaRPr lang="zh-CN" altLang="zh-CN" sz="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cap="all" baseline="0">
                  <a:solidFill>
                    <a:sysClr val="window" lastClr="FFFFFF">
                      <a:lumMod val="8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1616"/>
        <c:crosses val="autoZero"/>
        <c:crossBetween val="between"/>
        <c:dispUnits>
          <c:builtInUnit val="million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[CLUB_RANK_BY_PLAYER_VALUE_IN_BIG_FIVE_LEAGUES.xlsx]Sheet1 (5)!数据透视表2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Total Wage of</a:t>
            </a:r>
            <a:r>
              <a:rPr lang="en-US" sz="1200" baseline="0"/>
              <a:t> Spainish La Liga </a:t>
            </a:r>
            <a:r>
              <a:rPr lang="en-US" sz="1200"/>
              <a:t>in Season 20/21</a:t>
            </a:r>
            <a:endParaRPr lang="en-US" altLang="zh-CN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</c:pivotFmt>
      <c:pivotFmt>
        <c:idx val="87"/>
      </c:pivotFmt>
      <c:pivotFmt>
        <c:idx val="88"/>
      </c:pivotFmt>
      <c:pivotFmt>
        <c:idx val="89"/>
      </c:pivotFmt>
      <c:pivotFmt>
        <c:idx val="90"/>
      </c:pivotFmt>
      <c:pivotFmt>
        <c:idx val="91"/>
      </c:pivotFmt>
      <c:pivotFmt>
        <c:idx val="92"/>
      </c:pivotFmt>
      <c:pivotFmt>
        <c:idx val="93"/>
      </c:pivotFmt>
      <c:pivotFmt>
        <c:idx val="94"/>
      </c:pivotFmt>
      <c:pivotFmt>
        <c:idx val="95"/>
      </c:pivotFmt>
      <c:pivotFmt>
        <c:idx val="96"/>
      </c:pivotFmt>
      <c:pivotFmt>
        <c:idx val="97"/>
      </c:pivotFmt>
      <c:pivotFmt>
        <c:idx val="98"/>
      </c:pivotFmt>
      <c:pivotFmt>
        <c:idx val="99"/>
      </c:pivotFmt>
      <c:pivotFmt>
        <c:idx val="100"/>
      </c:pivotFmt>
      <c:pivotFmt>
        <c:idx val="101"/>
      </c:pivotFmt>
      <c:pivotFmt>
        <c:idx val="102"/>
      </c:pivotFmt>
      <c:pivotFmt>
        <c:idx val="103"/>
      </c:pivotFmt>
      <c:pivotFmt>
        <c:idx val="104"/>
      </c:pivotFmt>
      <c:pivotFmt>
        <c:idx val="105"/>
      </c:pivotFmt>
      <c:pivotFmt>
        <c:idx val="106"/>
      </c:pivotFmt>
      <c:pivotFmt>
        <c:idx val="107"/>
      </c:pivotFmt>
      <c:pivotFmt>
        <c:idx val="108"/>
      </c:pivotFmt>
      <c:pivotFmt>
        <c:idx val="109"/>
      </c:pivotFmt>
      <c:pivotFmt>
        <c:idx val="110"/>
      </c:pivotFmt>
      <c:pivotFmt>
        <c:idx val="111"/>
      </c:pivotFmt>
      <c:pivotFmt>
        <c:idx val="112"/>
      </c:pivotFmt>
      <c:pivotFmt>
        <c:idx val="113"/>
      </c:pivotFmt>
      <c:pivotFmt>
        <c:idx val="114"/>
      </c:pivotFmt>
      <c:pivotFmt>
        <c:idx val="115"/>
      </c:pivotFmt>
      <c:pivotFmt>
        <c:idx val="116"/>
      </c:pivotFmt>
      <c:pivotFmt>
        <c:idx val="117"/>
      </c:pivotFmt>
      <c:pivotFmt>
        <c:idx val="118"/>
      </c:pivotFmt>
      <c:pivotFmt>
        <c:idx val="119"/>
      </c:pivotFmt>
      <c:pivotFmt>
        <c:idx val="120"/>
      </c:pivotFmt>
      <c:pivotFmt>
        <c:idx val="121"/>
      </c:pivotFmt>
      <c:pivotFmt>
        <c:idx val="122"/>
      </c:pivotFmt>
      <c:pivotFmt>
        <c:idx val="123"/>
      </c:pivotFmt>
      <c:pivotFmt>
        <c:idx val="124"/>
      </c:pivotFmt>
      <c:pivotFmt>
        <c:idx val="125"/>
      </c:pivotFmt>
      <c:pivotFmt>
        <c:idx val="126"/>
      </c:pivotFmt>
      <c:pivotFmt>
        <c:idx val="127"/>
      </c:pivotFmt>
      <c:pivotFmt>
        <c:idx val="128"/>
      </c:pivotFmt>
      <c:pivotFmt>
        <c:idx val="129"/>
      </c:pivotFmt>
      <c:pivotFmt>
        <c:idx val="130"/>
      </c:pivotFmt>
      <c:pivotFmt>
        <c:idx val="131"/>
      </c:pivotFmt>
      <c:pivotFmt>
        <c:idx val="132"/>
      </c:pivotFmt>
      <c:pivotFmt>
        <c:idx val="133"/>
      </c:pivotFmt>
      <c:pivotFmt>
        <c:idx val="134"/>
      </c:pivotFmt>
      <c:pivotFmt>
        <c:idx val="135"/>
      </c:pivotFmt>
      <c:pivotFmt>
        <c:idx val="136"/>
      </c:pivotFmt>
      <c:pivotFmt>
        <c:idx val="137"/>
      </c:pivotFmt>
      <c:pivotFmt>
        <c:idx val="138"/>
      </c:pivotFmt>
      <c:pivotFmt>
        <c:idx val="139"/>
      </c:pivotFmt>
      <c:pivotFmt>
        <c:idx val="140"/>
      </c:pivotFmt>
      <c:pivotFmt>
        <c:idx val="141"/>
      </c:pivotFmt>
      <c:pivotFmt>
        <c:idx val="142"/>
      </c:pivotFmt>
      <c:pivotFmt>
        <c:idx val="143"/>
      </c:pivotFmt>
      <c:pivotFmt>
        <c:idx val="144"/>
      </c:pivotFmt>
      <c:pivotFmt>
        <c:idx val="145"/>
      </c:pivotFmt>
      <c:pivotFmt>
        <c:idx val="146"/>
      </c:pivotFmt>
      <c:pivotFmt>
        <c:idx val="147"/>
      </c:pivotFmt>
      <c:pivotFmt>
        <c:idx val="148"/>
      </c:pivotFmt>
      <c:pivotFmt>
        <c:idx val="149"/>
      </c:pivotFmt>
      <c:pivotFmt>
        <c:idx val="150"/>
      </c:pivotFmt>
      <c:pivotFmt>
        <c:idx val="151"/>
      </c:pivotFmt>
      <c:pivotFmt>
        <c:idx val="152"/>
      </c:pivotFmt>
      <c:pivotFmt>
        <c:idx val="153"/>
      </c:pivotFmt>
      <c:pivotFmt>
        <c:idx val="154"/>
      </c:pivotFmt>
      <c:pivotFmt>
        <c:idx val="155"/>
      </c:pivotFmt>
      <c:pivotFmt>
        <c:idx val="156"/>
      </c:pivotFmt>
      <c:pivotFmt>
        <c:idx val="157"/>
      </c:pivotFmt>
      <c:pivotFmt>
        <c:idx val="158"/>
      </c:pivotFmt>
      <c:pivotFmt>
        <c:idx val="159"/>
      </c:pivotFmt>
      <c:pivotFmt>
        <c:idx val="160"/>
      </c:pivotFmt>
      <c:pivotFmt>
        <c:idx val="161"/>
      </c:pivotFmt>
      <c:pivotFmt>
        <c:idx val="162"/>
      </c:pivotFmt>
      <c:pivotFmt>
        <c:idx val="163"/>
      </c:pivotFmt>
      <c:pivotFmt>
        <c:idx val="164"/>
      </c:pivotFmt>
      <c:pivotFmt>
        <c:idx val="165"/>
      </c:pivotFmt>
      <c:pivotFmt>
        <c:idx val="166"/>
      </c:pivotFmt>
      <c:pivotFmt>
        <c:idx val="167"/>
      </c:pivotFmt>
      <c:pivotFmt>
        <c:idx val="168"/>
      </c:pivotFmt>
      <c:pivotFmt>
        <c:idx val="169"/>
      </c:pivotFmt>
      <c:pivotFmt>
        <c:idx val="170"/>
      </c:pivotFmt>
      <c:pivotFmt>
        <c:idx val="171"/>
      </c:pivotFmt>
      <c:pivotFmt>
        <c:idx val="172"/>
      </c:pivotFmt>
      <c:pivotFmt>
        <c:idx val="173"/>
      </c:pivotFmt>
      <c:pivotFmt>
        <c:idx val="174"/>
      </c:pivotFmt>
      <c:pivotFmt>
        <c:idx val="175"/>
      </c:pivotFmt>
      <c:pivotFmt>
        <c:idx val="176"/>
      </c:pivotFmt>
      <c:pivotFmt>
        <c:idx val="177"/>
      </c:pivotFmt>
      <c:pivotFmt>
        <c:idx val="178"/>
      </c:pivotFmt>
      <c:pivotFmt>
        <c:idx val="179"/>
      </c:pivotFmt>
      <c:pivotFmt>
        <c:idx val="180"/>
      </c:pivotFmt>
      <c:pivotFmt>
        <c:idx val="181"/>
      </c:pivotFmt>
      <c:pivotFmt>
        <c:idx val="182"/>
      </c:pivotFmt>
      <c:pivotFmt>
        <c:idx val="183"/>
      </c:pivotFmt>
      <c:pivotFmt>
        <c:idx val="184"/>
      </c:pivotFmt>
      <c:pivotFmt>
        <c:idx val="185"/>
      </c:pivotFmt>
      <c:pivotFmt>
        <c:idx val="186"/>
      </c:pivotFmt>
      <c:pivotFmt>
        <c:idx val="187"/>
      </c:pivotFmt>
      <c:pivotFmt>
        <c:idx val="188"/>
      </c:pivotFmt>
      <c:pivotFmt>
        <c:idx val="189"/>
      </c:pivotFmt>
      <c:pivotFmt>
        <c:idx val="190"/>
      </c:pivotFmt>
      <c:pivotFmt>
        <c:idx val="191"/>
      </c:pivotFmt>
      <c:pivotFmt>
        <c:idx val="192"/>
      </c:pivotFmt>
      <c:pivotFmt>
        <c:idx val="193"/>
      </c:pivotFmt>
      <c:pivotFmt>
        <c:idx val="194"/>
      </c:pivotFmt>
      <c:pivotFmt>
        <c:idx val="195"/>
      </c:pivotFmt>
      <c:pivotFmt>
        <c:idx val="196"/>
      </c:pivotFmt>
      <c:pivotFmt>
        <c:idx val="197"/>
      </c:pivotFmt>
      <c:pivotFmt>
        <c:idx val="198"/>
      </c:pivotFmt>
      <c:pivotFmt>
        <c:idx val="199"/>
      </c:pivotFmt>
      <c:pivotFmt>
        <c:idx val="200"/>
      </c:pivotFmt>
      <c:pivotFmt>
        <c:idx val="201"/>
      </c:pivotFmt>
      <c:pivotFmt>
        <c:idx val="202"/>
      </c:pivotFmt>
      <c:pivotFmt>
        <c:idx val="203"/>
      </c:pivotFmt>
      <c:pivotFmt>
        <c:idx val="204"/>
      </c:pivotFmt>
      <c:pivotFmt>
        <c:idx val="205"/>
      </c:pivotFmt>
      <c:pivotFmt>
        <c:idx val="206"/>
      </c:pivotFmt>
      <c:pivotFmt>
        <c:idx val="207"/>
      </c:pivotFmt>
      <c:pivotFmt>
        <c:idx val="208"/>
      </c:pivotFmt>
      <c:pivotFmt>
        <c:idx val="209"/>
      </c:pivotFmt>
      <c:pivotFmt>
        <c:idx val="210"/>
      </c:pivotFmt>
      <c:pivotFmt>
        <c:idx val="211"/>
      </c:pivotFmt>
      <c:pivotFmt>
        <c:idx val="212"/>
      </c:pivotFmt>
      <c:pivotFmt>
        <c:idx val="213"/>
      </c:pivotFmt>
      <c:pivotFmt>
        <c:idx val="214"/>
      </c:pivotFmt>
      <c:pivotFmt>
        <c:idx val="215"/>
      </c:pivotFmt>
      <c:pivotFmt>
        <c:idx val="216"/>
      </c:pivotFmt>
      <c:pivotFmt>
        <c:idx val="217"/>
      </c:pivotFmt>
      <c:pivotFmt>
        <c:idx val="218"/>
      </c:pivotFmt>
      <c:pivotFmt>
        <c:idx val="219"/>
      </c:pivotFmt>
      <c:pivotFmt>
        <c:idx val="220"/>
      </c:pivotFmt>
      <c:pivotFmt>
        <c:idx val="221"/>
      </c:pivotFmt>
      <c:pivotFmt>
        <c:idx val="222"/>
      </c:pivotFmt>
      <c:pivotFmt>
        <c:idx val="223"/>
      </c:pivotFmt>
      <c:pivotFmt>
        <c:idx val="224"/>
      </c:pivotFmt>
      <c:pivotFmt>
        <c:idx val="225"/>
      </c:pivotFmt>
      <c:pivotFmt>
        <c:idx val="226"/>
      </c:pivotFmt>
      <c:pivotFmt>
        <c:idx val="227"/>
      </c:pivotFmt>
      <c:pivotFmt>
        <c:idx val="228"/>
      </c:pivotFmt>
      <c:pivotFmt>
        <c:idx val="229"/>
      </c:pivotFmt>
      <c:pivotFmt>
        <c:idx val="230"/>
      </c:pivotFmt>
      <c:pivotFmt>
        <c:idx val="231"/>
      </c:pivotFmt>
      <c:pivotFmt>
        <c:idx val="232"/>
      </c:pivotFmt>
      <c:pivotFmt>
        <c:idx val="233"/>
      </c:pivotFmt>
      <c:pivotFmt>
        <c:idx val="234"/>
      </c:pivotFmt>
      <c:pivotFmt>
        <c:idx val="235"/>
      </c:pivotFmt>
      <c:pivotFmt>
        <c:idx val="236"/>
      </c:pivotFmt>
      <c:pivotFmt>
        <c:idx val="237"/>
      </c:pivotFmt>
      <c:pivotFmt>
        <c:idx val="238"/>
      </c:pivotFmt>
      <c:pivotFmt>
        <c:idx val="239"/>
      </c:pivotFmt>
      <c:pivotFmt>
        <c:idx val="240"/>
      </c:pivotFmt>
      <c:pivotFmt>
        <c:idx val="241"/>
      </c:pivotFmt>
      <c:pivotFmt>
        <c:idx val="242"/>
      </c:pivotFmt>
      <c:pivotFmt>
        <c:idx val="243"/>
      </c:pivotFmt>
      <c:pivotFmt>
        <c:idx val="244"/>
      </c:pivotFmt>
      <c:pivotFmt>
        <c:idx val="245"/>
      </c:pivotFmt>
      <c:pivotFmt>
        <c:idx val="246"/>
      </c:pivotFmt>
      <c:pivotFmt>
        <c:idx val="247"/>
      </c:pivotFmt>
      <c:pivotFmt>
        <c:idx val="248"/>
      </c:pivotFmt>
      <c:pivotFmt>
        <c:idx val="249"/>
      </c:pivotFmt>
      <c:pivotFmt>
        <c:idx val="250"/>
      </c:pivotFmt>
      <c:pivotFmt>
        <c:idx val="251"/>
      </c:pivotFmt>
      <c:pivotFmt>
        <c:idx val="252"/>
      </c:pivotFmt>
      <c:pivotFmt>
        <c:idx val="253"/>
      </c:pivotFmt>
      <c:pivotFmt>
        <c:idx val="254"/>
      </c:pivotFmt>
      <c:pivotFmt>
        <c:idx val="255"/>
      </c:pivotFmt>
      <c:pivotFmt>
        <c:idx val="256"/>
      </c:pivotFmt>
      <c:pivotFmt>
        <c:idx val="257"/>
      </c:pivotFmt>
      <c:pivotFmt>
        <c:idx val="258"/>
      </c:pivotFmt>
      <c:pivotFmt>
        <c:idx val="259"/>
      </c:pivotFmt>
      <c:pivotFmt>
        <c:idx val="260"/>
      </c:pivotFmt>
      <c:pivotFmt>
        <c:idx val="261"/>
      </c:pivotFmt>
      <c:pivotFmt>
        <c:idx val="262"/>
      </c:pivotFmt>
      <c:pivotFmt>
        <c:idx val="263"/>
      </c:pivotFmt>
      <c:pivotFmt>
        <c:idx val="264"/>
      </c:pivotFmt>
      <c:pivotFmt>
        <c:idx val="265"/>
      </c:pivotFmt>
      <c:pivotFmt>
        <c:idx val="266"/>
      </c:pivotFmt>
      <c:pivotFmt>
        <c:idx val="267"/>
      </c:pivotFmt>
      <c:pivotFmt>
        <c:idx val="268"/>
      </c:pivotFmt>
      <c:pivotFmt>
        <c:idx val="269"/>
      </c:pivotFmt>
      <c:pivotFmt>
        <c:idx val="270"/>
      </c:pivotFmt>
      <c:pivotFmt>
        <c:idx val="271"/>
      </c:pivotFmt>
      <c:pivotFmt>
        <c:idx val="272"/>
      </c:pivotFmt>
      <c:pivotFmt>
        <c:idx val="273"/>
      </c:pivotFmt>
      <c:pivotFmt>
        <c:idx val="274"/>
      </c:pivotFmt>
      <c:pivotFmt>
        <c:idx val="275"/>
      </c:pivotFmt>
      <c:pivotFmt>
        <c:idx val="276"/>
      </c:pivotFmt>
      <c:pivotFmt>
        <c:idx val="277"/>
      </c:pivotFmt>
      <c:pivotFmt>
        <c:idx val="278"/>
      </c:pivotFmt>
      <c:pivotFmt>
        <c:idx val="279"/>
      </c:pivotFmt>
      <c:pivotFmt>
        <c:idx val="280"/>
      </c:pivotFmt>
      <c:pivotFmt>
        <c:idx val="281"/>
      </c:pivotFmt>
      <c:pivotFmt>
        <c:idx val="282"/>
      </c:pivotFmt>
      <c:pivotFmt>
        <c:idx val="283"/>
      </c:pivotFmt>
      <c:pivotFmt>
        <c:idx val="284"/>
      </c:pivotFmt>
      <c:pivotFmt>
        <c:idx val="285"/>
      </c:pivotFmt>
      <c:pivotFmt>
        <c:idx val="286"/>
      </c:pivotFmt>
      <c:pivotFmt>
        <c:idx val="287"/>
      </c:pivotFmt>
      <c:pivotFmt>
        <c:idx val="288"/>
      </c:pivotFmt>
      <c:pivotFmt>
        <c:idx val="289"/>
      </c:pivotFmt>
      <c:pivotFmt>
        <c:idx val="290"/>
      </c:pivotFmt>
      <c:pivotFmt>
        <c:idx val="291"/>
      </c:pivotFmt>
      <c:pivotFmt>
        <c:idx val="292"/>
      </c:pivotFmt>
      <c:pivotFmt>
        <c:idx val="293"/>
      </c:pivotFmt>
      <c:pivotFmt>
        <c:idx val="294"/>
      </c:pivotFmt>
      <c:pivotFmt>
        <c:idx val="295"/>
      </c:pivotFmt>
      <c:pivotFmt>
        <c:idx val="296"/>
      </c:pivotFmt>
      <c:pivotFmt>
        <c:idx val="297"/>
      </c:pivotFmt>
      <c:pivotFmt>
        <c:idx val="298"/>
      </c:pivotFmt>
      <c:pivotFmt>
        <c:idx val="299"/>
      </c:pivotFmt>
      <c:pivotFmt>
        <c:idx val="300"/>
      </c:pivotFmt>
      <c:pivotFmt>
        <c:idx val="301"/>
      </c:pivotFmt>
      <c:pivotFmt>
        <c:idx val="302"/>
      </c:pivotFmt>
      <c:pivotFmt>
        <c:idx val="303"/>
      </c:pivotFmt>
      <c:pivotFmt>
        <c:idx val="304"/>
      </c:pivotFmt>
      <c:pivotFmt>
        <c:idx val="305"/>
      </c:pivotFmt>
      <c:pivotFmt>
        <c:idx val="306"/>
      </c:pivotFmt>
      <c:pivotFmt>
        <c:idx val="307"/>
      </c:pivotFmt>
      <c:pivotFmt>
        <c:idx val="308"/>
      </c:pivotFmt>
      <c:pivotFmt>
        <c:idx val="309"/>
      </c:pivotFmt>
      <c:pivotFmt>
        <c:idx val="310"/>
      </c:pivotFmt>
      <c:pivotFmt>
        <c:idx val="311"/>
      </c:pivotFmt>
      <c:pivotFmt>
        <c:idx val="312"/>
      </c:pivotFmt>
      <c:pivotFmt>
        <c:idx val="313"/>
      </c:pivotFmt>
      <c:pivotFmt>
        <c:idx val="314"/>
      </c:pivotFmt>
      <c:pivotFmt>
        <c:idx val="315"/>
      </c:pivotFmt>
      <c:pivotFmt>
        <c:idx val="316"/>
      </c:pivotFmt>
      <c:pivotFmt>
        <c:idx val="317"/>
      </c:pivotFmt>
      <c:pivotFmt>
        <c:idx val="318"/>
      </c:pivotFmt>
      <c:pivotFmt>
        <c:idx val="319"/>
      </c:pivotFmt>
      <c:pivotFmt>
        <c:idx val="320"/>
      </c:pivotFmt>
      <c:pivotFmt>
        <c:idx val="321"/>
      </c:pivotFmt>
      <c:pivotFmt>
        <c:idx val="322"/>
      </c:pivotFmt>
      <c:pivotFmt>
        <c:idx val="323"/>
      </c:pivotFmt>
      <c:pivotFmt>
        <c:idx val="324"/>
      </c:pivotFmt>
      <c:pivotFmt>
        <c:idx val="325"/>
      </c:pivotFmt>
      <c:pivotFmt>
        <c:idx val="326"/>
      </c:pivotFmt>
      <c:pivotFmt>
        <c:idx val="327"/>
      </c:pivotFmt>
      <c:pivotFmt>
        <c:idx val="328"/>
      </c:pivotFmt>
      <c:pivotFmt>
        <c:idx val="329"/>
      </c:pivotFmt>
      <c:pivotFmt>
        <c:idx val="330"/>
      </c:pivotFmt>
      <c:pivotFmt>
        <c:idx val="331"/>
      </c:pivotFmt>
      <c:pivotFmt>
        <c:idx val="332"/>
      </c:pivotFmt>
      <c:pivotFmt>
        <c:idx val="333"/>
      </c:pivotFmt>
      <c:pivotFmt>
        <c:idx val="334"/>
      </c:pivotFmt>
      <c:pivotFmt>
        <c:idx val="335"/>
      </c:pivotFmt>
      <c:pivotFmt>
        <c:idx val="336"/>
      </c:pivotFmt>
      <c:pivotFmt>
        <c:idx val="337"/>
      </c:pivotFmt>
      <c:pivotFmt>
        <c:idx val="338"/>
      </c:pivotFmt>
      <c:pivotFmt>
        <c:idx val="339"/>
      </c:pivotFmt>
      <c:pivotFmt>
        <c:idx val="340"/>
      </c:pivotFmt>
      <c:pivotFmt>
        <c:idx val="341"/>
      </c:pivotFmt>
      <c:pivotFmt>
        <c:idx val="342"/>
      </c:pivotFmt>
      <c:pivotFmt>
        <c:idx val="343"/>
      </c:pivotFmt>
      <c:pivotFmt>
        <c:idx val="344"/>
      </c:pivotFmt>
      <c:pivotFmt>
        <c:idx val="345"/>
      </c:pivotFmt>
      <c:pivotFmt>
        <c:idx val="346"/>
      </c:pivotFmt>
      <c:pivotFmt>
        <c:idx val="347"/>
      </c:pivotFmt>
      <c:pivotFmt>
        <c:idx val="348"/>
      </c:pivotFmt>
      <c:pivotFmt>
        <c:idx val="349"/>
      </c:pivotFmt>
      <c:pivotFmt>
        <c:idx val="350"/>
      </c:pivotFmt>
      <c:pivotFmt>
        <c:idx val="351"/>
      </c:pivotFmt>
      <c:pivotFmt>
        <c:idx val="352"/>
      </c:pivotFmt>
      <c:pivotFmt>
        <c:idx val="353"/>
      </c:pivotFmt>
      <c:pivotFmt>
        <c:idx val="354"/>
      </c:pivotFmt>
      <c:pivotFmt>
        <c:idx val="355"/>
      </c:pivotFmt>
      <c:pivotFmt>
        <c:idx val="356"/>
      </c:pivotFmt>
      <c:pivotFmt>
        <c:idx val="357"/>
      </c:pivotFmt>
      <c:pivotFmt>
        <c:idx val="358"/>
      </c:pivotFmt>
      <c:pivotFmt>
        <c:idx val="359"/>
      </c:pivotFmt>
      <c:pivotFmt>
        <c:idx val="360"/>
      </c:pivotFmt>
      <c:pivotFmt>
        <c:idx val="361"/>
      </c:pivotFmt>
      <c:pivotFmt>
        <c:idx val="362"/>
      </c:pivotFmt>
      <c:pivotFmt>
        <c:idx val="363"/>
      </c:pivotFmt>
      <c:pivotFmt>
        <c:idx val="364"/>
      </c:pivotFmt>
      <c:pivotFmt>
        <c:idx val="365"/>
      </c:pivotFmt>
      <c:pivotFmt>
        <c:idx val="366"/>
      </c:pivotFmt>
      <c:pivotFmt>
        <c:idx val="367"/>
      </c:pivotFmt>
      <c:pivotFmt>
        <c:idx val="368"/>
      </c:pivotFmt>
      <c:pivotFmt>
        <c:idx val="369"/>
      </c:pivotFmt>
      <c:pivotFmt>
        <c:idx val="370"/>
      </c:pivotFmt>
      <c:pivotFmt>
        <c:idx val="371"/>
      </c:pivotFmt>
      <c:pivotFmt>
        <c:idx val="372"/>
      </c:pivotFmt>
      <c:pivotFmt>
        <c:idx val="373"/>
      </c:pivotFmt>
      <c:pivotFmt>
        <c:idx val="374"/>
      </c:pivotFmt>
      <c:pivotFmt>
        <c:idx val="375"/>
      </c:pivotFmt>
      <c:pivotFmt>
        <c:idx val="376"/>
      </c:pivotFmt>
      <c:pivotFmt>
        <c:idx val="377"/>
      </c:pivotFmt>
      <c:pivotFmt>
        <c:idx val="378"/>
      </c:pivotFmt>
      <c:pivotFmt>
        <c:idx val="379"/>
      </c:pivotFmt>
      <c:pivotFmt>
        <c:idx val="380"/>
      </c:pivotFmt>
      <c:pivotFmt>
        <c:idx val="381"/>
      </c:pivotFmt>
      <c:pivotFmt>
        <c:idx val="382"/>
      </c:pivotFmt>
      <c:pivotFmt>
        <c:idx val="383"/>
      </c:pivotFmt>
      <c:pivotFmt>
        <c:idx val="384"/>
      </c:pivotFmt>
      <c:pivotFmt>
        <c:idx val="385"/>
      </c:pivotFmt>
      <c:pivotFmt>
        <c:idx val="386"/>
      </c:pivotFmt>
      <c:pivotFmt>
        <c:idx val="387"/>
      </c:pivotFmt>
      <c:pivotFmt>
        <c:idx val="388"/>
      </c:pivotFmt>
      <c:pivotFmt>
        <c:idx val="389"/>
      </c:pivotFmt>
      <c:pivotFmt>
        <c:idx val="390"/>
      </c:pivotFmt>
      <c:pivotFmt>
        <c:idx val="391"/>
      </c:pivotFmt>
      <c:pivotFmt>
        <c:idx val="392"/>
      </c:pivotFmt>
      <c:pivotFmt>
        <c:idx val="393"/>
      </c:pivotFmt>
      <c:pivotFmt>
        <c:idx val="394"/>
      </c:pivotFmt>
      <c:pivotFmt>
        <c:idx val="395"/>
      </c:pivotFmt>
      <c:pivotFmt>
        <c:idx val="396"/>
      </c:pivotFmt>
      <c:pivotFmt>
        <c:idx val="397"/>
      </c:pivotFmt>
      <c:pivotFmt>
        <c:idx val="398"/>
      </c:pivotFmt>
      <c:pivotFmt>
        <c:idx val="399"/>
      </c:pivotFmt>
      <c:pivotFmt>
        <c:idx val="400"/>
      </c:pivotFmt>
      <c:pivotFmt>
        <c:idx val="401"/>
      </c:pivotFmt>
      <c:pivotFmt>
        <c:idx val="402"/>
      </c:pivotFmt>
      <c:pivotFmt>
        <c:idx val="403"/>
      </c:pivotFmt>
      <c:pivotFmt>
        <c:idx val="404"/>
      </c:pivotFmt>
      <c:pivotFmt>
        <c:idx val="405"/>
      </c:pivotFmt>
      <c:pivotFmt>
        <c:idx val="406"/>
      </c:pivotFmt>
      <c:pivotFmt>
        <c:idx val="407"/>
      </c:pivotFmt>
      <c:pivotFmt>
        <c:idx val="408"/>
      </c:pivotFmt>
      <c:pivotFmt>
        <c:idx val="409"/>
      </c:pivotFmt>
      <c:pivotFmt>
        <c:idx val="410"/>
      </c:pivotFmt>
      <c:pivotFmt>
        <c:idx val="411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2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3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4"/>
        <c:spPr>
          <a:solidFill>
            <a:schemeClr val="accent1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5"/>
        <c:spPr>
          <a:solidFill>
            <a:srgbClr val="FFFF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6"/>
        <c:spPr>
          <a:solidFill>
            <a:schemeClr val="accent6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7"/>
        <c:spPr>
          <a:solidFill>
            <a:srgbClr val="EE2A3D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8"/>
        <c:spPr>
          <a:solidFill>
            <a:srgbClr val="EE2A3D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9"/>
        <c:spPr>
          <a:solidFill>
            <a:srgbClr val="EE2A3D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'Sheet1 (5)'!$B$3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rgbClr val="EE2A3D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'Sheet1 (5)'!$A$4:$A$24</c:f>
              <c:strCache>
                <c:ptCount val="20"/>
                <c:pt idx="0">
                  <c:v>Elche CF</c:v>
                </c:pt>
                <c:pt idx="1">
                  <c:v>SD Huesca</c:v>
                </c:pt>
                <c:pt idx="2">
                  <c:v>Real Valladolid CF</c:v>
                </c:pt>
                <c:pt idx="3">
                  <c:v>RC Celta</c:v>
                </c:pt>
                <c:pt idx="4">
                  <c:v>Cádiz CF</c:v>
                </c:pt>
                <c:pt idx="5">
                  <c:v>Deportivo Alavés</c:v>
                </c:pt>
                <c:pt idx="6">
                  <c:v>Granada CF</c:v>
                </c:pt>
                <c:pt idx="7">
                  <c:v>Levante UD</c:v>
                </c:pt>
                <c:pt idx="8">
                  <c:v>Athletic Club de Bilbao</c:v>
                </c:pt>
                <c:pt idx="9">
                  <c:v>SD Eibar</c:v>
                </c:pt>
                <c:pt idx="10">
                  <c:v>Getafe CF</c:v>
                </c:pt>
                <c:pt idx="11">
                  <c:v>Real Betis</c:v>
                </c:pt>
                <c:pt idx="12">
                  <c:v>CA Osasuna</c:v>
                </c:pt>
                <c:pt idx="13">
                  <c:v>Real Sociedad</c:v>
                </c:pt>
                <c:pt idx="14">
                  <c:v>Valencia CF</c:v>
                </c:pt>
                <c:pt idx="15">
                  <c:v>Villarreal CF</c:v>
                </c:pt>
                <c:pt idx="16">
                  <c:v>Sevilla FC</c:v>
                </c:pt>
                <c:pt idx="17">
                  <c:v>Atlético Madrid</c:v>
                </c:pt>
                <c:pt idx="18">
                  <c:v>FC Barcelona</c:v>
                </c:pt>
                <c:pt idx="19">
                  <c:v>Real Madrid</c:v>
                </c:pt>
              </c:strCache>
            </c:strRef>
          </c:cat>
          <c:val>
            <c:numRef>
              <c:f>'Sheet1 (5)'!$B$4:$B$24</c:f>
              <c:numCache>
                <c:formatCode>General</c:formatCode>
                <c:ptCount val="20"/>
                <c:pt idx="0">
                  <c:v>208950</c:v>
                </c:pt>
                <c:pt idx="1">
                  <c:v>345000</c:v>
                </c:pt>
                <c:pt idx="2">
                  <c:v>435000</c:v>
                </c:pt>
                <c:pt idx="3">
                  <c:v>447300</c:v>
                </c:pt>
                <c:pt idx="4">
                  <c:v>492000</c:v>
                </c:pt>
                <c:pt idx="5">
                  <c:v>495000</c:v>
                </c:pt>
                <c:pt idx="6">
                  <c:v>539000</c:v>
                </c:pt>
                <c:pt idx="7">
                  <c:v>563000</c:v>
                </c:pt>
                <c:pt idx="8">
                  <c:v>563000</c:v>
                </c:pt>
                <c:pt idx="9">
                  <c:v>563000</c:v>
                </c:pt>
                <c:pt idx="10">
                  <c:v>565500</c:v>
                </c:pt>
                <c:pt idx="11">
                  <c:v>585000</c:v>
                </c:pt>
                <c:pt idx="12">
                  <c:v>612500</c:v>
                </c:pt>
                <c:pt idx="13">
                  <c:v>691000</c:v>
                </c:pt>
                <c:pt idx="14">
                  <c:v>714900</c:v>
                </c:pt>
                <c:pt idx="15">
                  <c:v>813500</c:v>
                </c:pt>
                <c:pt idx="16">
                  <c:v>814000</c:v>
                </c:pt>
                <c:pt idx="17">
                  <c:v>1597000</c:v>
                </c:pt>
                <c:pt idx="18">
                  <c:v>4738000</c:v>
                </c:pt>
                <c:pt idx="19">
                  <c:v>4848000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81-460B-AA88-568C758729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04111616"/>
        <c:axId val="704114896"/>
      </c:barChart>
      <c:catAx>
        <c:axId val="704111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club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4896"/>
        <c:crosses val="autoZero"/>
        <c:auto val="1"/>
        <c:lblAlgn val="ctr"/>
        <c:lblOffset val="100"/>
        <c:noMultiLvlLbl val="0"/>
      </c:catAx>
      <c:valAx>
        <c:axId val="70411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900" b="1" i="0" u="none" strike="noStrike" kern="1200" cap="all" baseline="0">
                    <a:solidFill>
                      <a:sysClr val="window" lastClr="FFFFFF">
                        <a:lumMod val="8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 b="1" i="0" cap="all" baseline="0">
                    <a:effectLst/>
                  </a:rPr>
                  <a:t>Total wage (</a:t>
                </a:r>
                <a:r>
                  <a:rPr lang="zh-CN" altLang="zh-CN" sz="900" b="0" i="0" cap="all" baseline="0">
                    <a:effectLst/>
                  </a:rPr>
                  <a:t>€</a:t>
                </a:r>
                <a:r>
                  <a:rPr lang="en-US" altLang="zh-CN" sz="900" b="1" i="0" cap="all" baseline="0">
                    <a:effectLst/>
                  </a:rPr>
                  <a:t>)</a:t>
                </a:r>
                <a:endParaRPr lang="zh-CN" altLang="zh-CN" sz="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900" b="1" i="0" u="none" strike="noStrike" kern="1200" cap="all" baseline="0">
                  <a:solidFill>
                    <a:sysClr val="window" lastClr="FFFFFF">
                      <a:lumMod val="8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4111616"/>
        <c:crosses val="autoZero"/>
        <c:crossBetween val="between"/>
        <c:dispUnits>
          <c:builtInUnit val="million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[CLUB_RANK_BY_PLAYER_VALUE_IN_BIG_FIVE_LEAGUES_AVG.xlsx]Sheet1!数据透视表2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200" b="1" i="0" baseline="0"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Average of Total Wage In Season 20/21</a:t>
            </a:r>
            <a:endParaRPr lang="zh-CN" altLang="zh-CN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6">
              <a:lumMod val="75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>
              <a:lumMod val="75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>
              <a:lumMod val="75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汇总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Sheet1!$A$2:$A$7</c:f>
              <c:strCache>
                <c:ptCount val="5"/>
                <c:pt idx="0">
                  <c:v>French Ligue 1</c:v>
                </c:pt>
                <c:pt idx="1">
                  <c:v>German 1. Bundesliga</c:v>
                </c:pt>
                <c:pt idx="2">
                  <c:v>Italian Serie A</c:v>
                </c:pt>
                <c:pt idx="3">
                  <c:v>Spain Primera Division</c:v>
                </c:pt>
                <c:pt idx="4">
                  <c:v>English Premier League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5"/>
                <c:pt idx="0">
                  <c:v>583367.5</c:v>
                </c:pt>
                <c:pt idx="1">
                  <c:v>732919.44440000004</c:v>
                </c:pt>
                <c:pt idx="2">
                  <c:v>890195</c:v>
                </c:pt>
                <c:pt idx="3">
                  <c:v>1031532.5</c:v>
                </c:pt>
                <c:pt idx="4">
                  <c:v>1705275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FE-42EF-B8A0-84BD6392EC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41901656"/>
        <c:axId val="641898376"/>
      </c:barChart>
      <c:catAx>
        <c:axId val="641901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league name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1898376"/>
        <c:crosses val="autoZero"/>
        <c:auto val="1"/>
        <c:lblAlgn val="ctr"/>
        <c:lblOffset val="100"/>
        <c:noMultiLvlLbl val="0"/>
      </c:catAx>
      <c:valAx>
        <c:axId val="641898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average Total wage (€)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1901656"/>
        <c:crosses val="autoZero"/>
        <c:crossBetween val="between"/>
        <c:dispUnits>
          <c:builtInUnit val="millions"/>
          <c:dispUnitsLbl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MILLION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[CLUB_RANK_BY_PLAYER_VALUE_IN_BIG_FIVE_LEAGUES_STD_DEVIATION.xlsx]Sheet1!数据透视表1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200"/>
              <a:t>Standard Deviation of Total Wage In Season</a:t>
            </a:r>
            <a:r>
              <a:rPr lang="en-US" altLang="zh-CN" sz="1200" baseline="0"/>
              <a:t> 20/21</a:t>
            </a:r>
            <a:endParaRPr lang="zh-CN" alt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汇总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Sheet1!$A$2:$A$7</c:f>
              <c:strCache>
                <c:ptCount val="5"/>
                <c:pt idx="0">
                  <c:v>German 1. Bundesliga</c:v>
                </c:pt>
                <c:pt idx="1">
                  <c:v>French Ligue 1</c:v>
                </c:pt>
                <c:pt idx="2">
                  <c:v>Italian Serie A</c:v>
                </c:pt>
                <c:pt idx="3">
                  <c:v>English Premier League</c:v>
                </c:pt>
                <c:pt idx="4">
                  <c:v>Spain Primera Division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5"/>
                <c:pt idx="0">
                  <c:v>385994.65638892201</c:v>
                </c:pt>
                <c:pt idx="1">
                  <c:v>422336.44741929299</c:v>
                </c:pt>
                <c:pt idx="2">
                  <c:v>686719.20515229495</c:v>
                </c:pt>
                <c:pt idx="3">
                  <c:v>865735.83550353197</c:v>
                </c:pt>
                <c:pt idx="4">
                  <c:v>1281631.5418515301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21-49EC-A053-736FB2D7EE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93109912"/>
        <c:axId val="593104992"/>
      </c:barChart>
      <c:catAx>
        <c:axId val="593109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LEAGUE NAME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3104992"/>
        <c:crosses val="autoZero"/>
        <c:auto val="1"/>
        <c:lblAlgn val="ctr"/>
        <c:lblOffset val="100"/>
        <c:noMultiLvlLbl val="0"/>
      </c:catAx>
      <c:valAx>
        <c:axId val="59310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STANDARD</a:t>
                </a:r>
                <a:r>
                  <a:rPr lang="en-US" altLang="zh-CN" baseline="0"/>
                  <a:t> DEVIATION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3109912"/>
        <c:crosses val="autoZero"/>
        <c:crossBetween val="between"/>
        <c:dispUnits>
          <c:builtInUnit val="thousands"/>
          <c:dispUnitsLbl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900" b="1" i="0" u="none" strike="noStrike" kern="1200" cap="all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altLang="zh-CN"/>
                    <a:t>thousand</a:t>
                  </a:r>
                  <a:endParaRPr lang="zh-CN" alt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[LA_LIGA_BIG3_CLUB_RATING_ROLLUP.xlsx]Sheet2!数据透视表4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altLang="zh-CN" sz="1200">
                <a:effectLst/>
              </a:rPr>
              <a:t>A Comparison of the Big 3 Clubs of La Liga in Terms of Overall Ratings of Different Positions from Season 18/19 to 20/21</a:t>
            </a:r>
            <a:endParaRPr lang="zh-CN" altLang="zh-CN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rgbClr val="99FF99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square"/>
          <c:size val="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CC33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triangle"/>
          <c:size val="5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rgbClr val="99FF99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rgbClr val="CC33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rgbClr val="99FF99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rgbClr val="CC33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1"/>
          <c:order val="0"/>
          <c:tx>
            <c:strRef>
              <c:f>Sheet2!$B$1:$B$2</c:f>
              <c:strCache>
                <c:ptCount val="1"/>
                <c:pt idx="0">
                  <c:v>Atlético Madrid</c:v>
                </c:pt>
              </c:strCache>
            </c:strRef>
          </c:tx>
          <c:spPr>
            <a:solidFill>
              <a:srgbClr val="99FF99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multiLvlStrRef>
              <c:f>Sheet2!$A$3:$A$18</c:f>
              <c:multiLvlStrCache>
                <c:ptCount val="12"/>
                <c:lvl>
                  <c:pt idx="0">
                    <c:v>forward</c:v>
                  </c:pt>
                  <c:pt idx="1">
                    <c:v>midfielder</c:v>
                  </c:pt>
                  <c:pt idx="2">
                    <c:v>defender</c:v>
                  </c:pt>
                  <c:pt idx="3">
                    <c:v>overall</c:v>
                  </c:pt>
                  <c:pt idx="4">
                    <c:v>forward</c:v>
                  </c:pt>
                  <c:pt idx="5">
                    <c:v>midfielder</c:v>
                  </c:pt>
                  <c:pt idx="6">
                    <c:v>defender</c:v>
                  </c:pt>
                  <c:pt idx="7">
                    <c:v>overall</c:v>
                  </c:pt>
                  <c:pt idx="8">
                    <c:v>forward</c:v>
                  </c:pt>
                  <c:pt idx="9">
                    <c:v>midfielder</c:v>
                  </c:pt>
                  <c:pt idx="10">
                    <c:v>defender</c:v>
                  </c:pt>
                  <c:pt idx="11">
                    <c:v>overall</c:v>
                  </c:pt>
                </c:lvl>
                <c:lvl>
                  <c:pt idx="0">
                    <c:v>18/19</c:v>
                  </c:pt>
                  <c:pt idx="4">
                    <c:v>19/20</c:v>
                  </c:pt>
                  <c:pt idx="8">
                    <c:v>20/21</c:v>
                  </c:pt>
                </c:lvl>
              </c:multiLvlStrCache>
            </c:multiLvlStrRef>
          </c:cat>
          <c:val>
            <c:numRef>
              <c:f>Sheet2!$B$3:$B$18</c:f>
              <c:numCache>
                <c:formatCode>General</c:formatCode>
                <c:ptCount val="12"/>
                <c:pt idx="0">
                  <c:v>74.454499999999996</c:v>
                </c:pt>
                <c:pt idx="1">
                  <c:v>75.714299999999994</c:v>
                </c:pt>
                <c:pt idx="2">
                  <c:v>75.142899999999997</c:v>
                </c:pt>
                <c:pt idx="3">
                  <c:v>75.031300000000002</c:v>
                </c:pt>
                <c:pt idx="4">
                  <c:v>73.153800000000004</c:v>
                </c:pt>
                <c:pt idx="5">
                  <c:v>77.3</c:v>
                </c:pt>
                <c:pt idx="6">
                  <c:v>76.357100000000003</c:v>
                </c:pt>
                <c:pt idx="7">
                  <c:v>75.486500000000007</c:v>
                </c:pt>
                <c:pt idx="8">
                  <c:v>74.142899999999997</c:v>
                </c:pt>
                <c:pt idx="9">
                  <c:v>77.583299999999994</c:v>
                </c:pt>
                <c:pt idx="10">
                  <c:v>77.142899999999997</c:v>
                </c:pt>
                <c:pt idx="11">
                  <c:v>76.224999999999994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0B-43A5-8539-825A4B0B6DB4}"/>
            </c:ext>
          </c:extLst>
        </c:ser>
        <c:ser>
          <c:idx val="2"/>
          <c:order val="1"/>
          <c:tx>
            <c:strRef>
              <c:f>Sheet2!$C$1:$C$2</c:f>
              <c:strCache>
                <c:ptCount val="1"/>
                <c:pt idx="0">
                  <c:v>FC Barcelona</c:v>
                </c:pt>
              </c:strCache>
            </c:strRef>
          </c:tx>
          <c:spPr>
            <a:solidFill>
              <a:srgbClr val="CC33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multiLvlStrRef>
              <c:f>Sheet2!$A$3:$A$18</c:f>
              <c:multiLvlStrCache>
                <c:ptCount val="12"/>
                <c:lvl>
                  <c:pt idx="0">
                    <c:v>forward</c:v>
                  </c:pt>
                  <c:pt idx="1">
                    <c:v>midfielder</c:v>
                  </c:pt>
                  <c:pt idx="2">
                    <c:v>defender</c:v>
                  </c:pt>
                  <c:pt idx="3">
                    <c:v>overall</c:v>
                  </c:pt>
                  <c:pt idx="4">
                    <c:v>forward</c:v>
                  </c:pt>
                  <c:pt idx="5">
                    <c:v>midfielder</c:v>
                  </c:pt>
                  <c:pt idx="6">
                    <c:v>defender</c:v>
                  </c:pt>
                  <c:pt idx="7">
                    <c:v>overall</c:v>
                  </c:pt>
                  <c:pt idx="8">
                    <c:v>forward</c:v>
                  </c:pt>
                  <c:pt idx="9">
                    <c:v>midfielder</c:v>
                  </c:pt>
                  <c:pt idx="10">
                    <c:v>defender</c:v>
                  </c:pt>
                  <c:pt idx="11">
                    <c:v>overall</c:v>
                  </c:pt>
                </c:lvl>
                <c:lvl>
                  <c:pt idx="0">
                    <c:v>18/19</c:v>
                  </c:pt>
                  <c:pt idx="4">
                    <c:v>19/20</c:v>
                  </c:pt>
                  <c:pt idx="8">
                    <c:v>20/21</c:v>
                  </c:pt>
                </c:lvl>
              </c:multiLvlStrCache>
            </c:multiLvlStrRef>
          </c:cat>
          <c:val>
            <c:numRef>
              <c:f>Sheet2!$C$3:$C$18</c:f>
              <c:numCache>
                <c:formatCode>General</c:formatCode>
                <c:ptCount val="12"/>
                <c:pt idx="0">
                  <c:v>79.75</c:v>
                </c:pt>
                <c:pt idx="1">
                  <c:v>80.666700000000006</c:v>
                </c:pt>
                <c:pt idx="2">
                  <c:v>77.785700000000006</c:v>
                </c:pt>
                <c:pt idx="3">
                  <c:v>79.264700000000005</c:v>
                </c:pt>
                <c:pt idx="4">
                  <c:v>77</c:v>
                </c:pt>
                <c:pt idx="5">
                  <c:v>78.833299999999994</c:v>
                </c:pt>
                <c:pt idx="6">
                  <c:v>76.764700000000005</c:v>
                </c:pt>
                <c:pt idx="7">
                  <c:v>77.514300000000006</c:v>
                </c:pt>
                <c:pt idx="8">
                  <c:v>77.7273</c:v>
                </c:pt>
                <c:pt idx="9">
                  <c:v>79.071399999999997</c:v>
                </c:pt>
                <c:pt idx="10">
                  <c:v>78.692300000000003</c:v>
                </c:pt>
                <c:pt idx="11">
                  <c:v>78.552599999999998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0B-43A5-8539-825A4B0B6DB4}"/>
            </c:ext>
          </c:extLst>
        </c:ser>
        <c:ser>
          <c:idx val="0"/>
          <c:order val="2"/>
          <c:tx>
            <c:strRef>
              <c:f>Sheet2!$D$1:$D$2</c:f>
              <c:strCache>
                <c:ptCount val="1"/>
                <c:pt idx="0">
                  <c:v>Real Madrid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multiLvlStrRef>
              <c:f>Sheet2!$A$3:$A$18</c:f>
              <c:multiLvlStrCache>
                <c:ptCount val="12"/>
                <c:lvl>
                  <c:pt idx="0">
                    <c:v>forward</c:v>
                  </c:pt>
                  <c:pt idx="1">
                    <c:v>midfielder</c:v>
                  </c:pt>
                  <c:pt idx="2">
                    <c:v>defender</c:v>
                  </c:pt>
                  <c:pt idx="3">
                    <c:v>overall</c:v>
                  </c:pt>
                  <c:pt idx="4">
                    <c:v>forward</c:v>
                  </c:pt>
                  <c:pt idx="5">
                    <c:v>midfielder</c:v>
                  </c:pt>
                  <c:pt idx="6">
                    <c:v>defender</c:v>
                  </c:pt>
                  <c:pt idx="7">
                    <c:v>overall</c:v>
                  </c:pt>
                  <c:pt idx="8">
                    <c:v>forward</c:v>
                  </c:pt>
                  <c:pt idx="9">
                    <c:v>midfielder</c:v>
                  </c:pt>
                  <c:pt idx="10">
                    <c:v>defender</c:v>
                  </c:pt>
                  <c:pt idx="11">
                    <c:v>overall</c:v>
                  </c:pt>
                </c:lvl>
                <c:lvl>
                  <c:pt idx="0">
                    <c:v>18/19</c:v>
                  </c:pt>
                  <c:pt idx="4">
                    <c:v>19/20</c:v>
                  </c:pt>
                  <c:pt idx="8">
                    <c:v>20/21</c:v>
                  </c:pt>
                </c:lvl>
              </c:multiLvlStrCache>
            </c:multiLvlStrRef>
          </c:cat>
          <c:val>
            <c:numRef>
              <c:f>Sheet2!$D$3:$D$18</c:f>
              <c:numCache>
                <c:formatCode>General</c:formatCode>
                <c:ptCount val="12"/>
                <c:pt idx="0">
                  <c:v>76.777799999999999</c:v>
                </c:pt>
                <c:pt idx="1">
                  <c:v>80.181799999999996</c:v>
                </c:pt>
                <c:pt idx="2">
                  <c:v>78.058800000000005</c:v>
                </c:pt>
                <c:pt idx="3">
                  <c:v>78.378399999999999</c:v>
                </c:pt>
                <c:pt idx="4">
                  <c:v>78.090900000000005</c:v>
                </c:pt>
                <c:pt idx="5">
                  <c:v>79.5</c:v>
                </c:pt>
                <c:pt idx="6">
                  <c:v>78</c:v>
                </c:pt>
                <c:pt idx="7">
                  <c:v>78.564099999999996</c:v>
                </c:pt>
                <c:pt idx="8">
                  <c:v>77.666700000000006</c:v>
                </c:pt>
                <c:pt idx="9">
                  <c:v>80.333299999999994</c:v>
                </c:pt>
                <c:pt idx="10">
                  <c:v>78.384600000000006</c:v>
                </c:pt>
                <c:pt idx="11">
                  <c:v>78.783799999999999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90B-43A5-8539-825A4B0B6D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730380472"/>
        <c:axId val="730381784"/>
      </c:barChart>
      <c:catAx>
        <c:axId val="73038047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SEASON</a:t>
                </a:r>
              </a:p>
              <a:p>
                <a:pPr>
                  <a:defRPr/>
                </a:pPr>
                <a:r>
                  <a:rPr lang="en-US" altLang="zh-CN"/>
                  <a:t>POSITION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381784"/>
        <c:crosses val="autoZero"/>
        <c:auto val="1"/>
        <c:lblAlgn val="ctr"/>
        <c:lblOffset val="100"/>
        <c:noMultiLvlLbl val="0"/>
      </c:catAx>
      <c:valAx>
        <c:axId val="730381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aseline="0"/>
                  <a:t>rating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380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20</Pages>
  <Words>2000</Words>
  <Characters>11405</Characters>
  <Application>Microsoft Office Word</Application>
  <DocSecurity>0</DocSecurity>
  <Lines>95</Lines>
  <Paragraphs>26</Paragraphs>
  <ScaleCrop>false</ScaleCrop>
  <Company/>
  <LinksUpToDate>false</LinksUpToDate>
  <CharactersWithSpaces>13379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畏</dc:creator>
  <cp:keywords/>
  <dc:description/>
  <cp:lastModifiedBy>吴 畏</cp:lastModifiedBy>
  <cp:revision>27</cp:revision>
  <dcterms:created xsi:type="dcterms:W3CDTF">2021-04-22T10:52:00Z</dcterms:created>
  <dcterms:modified xsi:type="dcterms:W3CDTF">2021-04-24T10:20:00Z</dcterms:modified>
</cp:coreProperties>
</file>