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Times New Roman" w:hAnsi="Times New Roman"/>
          <w:b/>
          <w:sz w:val="50"/>
        </w:rPr>
        <w:t>CITY HOTEL</w:t>
      </w:r>
    </w:p>
    <w:p>
      <w:pPr>
        <w:jc w:val="center"/>
      </w:pPr>
      <w:r>
        <w:rPr>
          <w:rFonts w:ascii="Times New Roman" w:hAnsi="Times New Roman"/>
          <w:b/>
          <w:sz w:val="34"/>
        </w:rPr>
        <w:t>CANCELLATION, OVERBOOKING &amp; DEPOSIT POLICY</w:t>
      </w:r>
    </w:p>
    <w:p>
      <w:pPr>
        <w:jc w:val="center"/>
      </w:pPr>
      <w:r>
        <w:rPr>
          <w:rFonts w:ascii="Times New Roman" w:hAnsi="Times New Roman"/>
          <w:i/>
          <w:sz w:val="21"/>
        </w:rPr>
        <w:t>Decision Analytics Report · Final corrected version</w:t>
      </w:r>
    </w:p>
    <w:p>
      <w:pPr>
        <w:spacing w:after="60" w:line="240" w:lineRule="auto"/>
        <w:jc w:val="both"/>
      </w:pPr>
      <w:r>
        <w:rPr>
          <w:rFonts w:ascii="Times New Roman" w:hAnsi="Times New Roman"/>
          <w:sz w:val="18"/>
        </w:rPr>
        <w:t>Scope: City Hotel (H2 = the Lisbon city-hotel subset) of the Hotel Booking Demand dataset. The final pipeline uses a time-consistent booking-time information set; required_car_parking_spaces and total_of_special_requests are excluded from the booking-time model and retained only for near-arrival diagnostics.</w:t>
      </w:r>
    </w:p>
    <w:p>
      <w:pPr>
        <w:pStyle w:val="Heading1"/>
        <w:spacing w:before="60" w:after="60"/>
      </w:pPr>
      <w:r>
        <w:t>Executive summary</w:t>
      </w:r>
    </w:p>
    <w:p>
      <w:pPr>
        <w:spacing w:after="60" w:line="240" w:lineRule="auto"/>
        <w:jc w:val="both"/>
      </w:pPr>
      <w:r>
        <w:rPr>
          <w:rFonts w:ascii="Times New Roman" w:hAnsi="Times New Roman"/>
          <w:sz w:val="18"/>
        </w:rPr>
        <w:t>After exact-duplicate removal and invalid-row screening, the analysis contains 53,273 City Hotel bookings (30.1% cancelled). The source City Hotel subset is 79,330 rows; the cleaning step is therefore a material governance choice, not a cosmetic preprocessing step.</w:t>
      </w:r>
    </w:p>
    <w:p>
      <w:pPr>
        <w:spacing w:after="60" w:line="240" w:lineRule="auto"/>
        <w:jc w:val="both"/>
      </w:pPr>
      <w:r>
        <w:rPr>
          <w:rFonts w:ascii="Times New Roman" w:hAnsi="Times New Roman"/>
          <w:sz w:val="18"/>
        </w:rPr>
        <w:t>The temporal split is train through 2016-12-12, calibration through 2017-02-24, and final test from 2017-02-25. The corrected booking-time GBM scores AUC 0.769 / AP 0.524 with Brier 0.165 and ECE 0.011 on the untouched future test set. The near-arrival GBM reaches AUC 0.801 and is a late-stage diagnostic rather than the booking-time control.</w:t>
      </w:r>
    </w:p>
    <w:p>
      <w:pPr>
        <w:spacing w:after="60" w:line="240" w:lineRule="auto"/>
        <w:jc w:val="both"/>
      </w:pPr>
      <w:r>
        <w:rPr>
          <w:rFonts w:ascii="Times New Roman" w:hAnsi="Times New Roman"/>
          <w:sz w:val="18"/>
        </w:rPr>
        <w:t>Overbooking uses explicit assumptions because room inventory is absent from the historical file: 60 rooms, median positive-rate room value of €98.80, and walk costs of €125/€200/€300. The mathematical expected-profit peak is k=18 at base cost, but the curve is deliberately treated as flat enough to recommend the smallest level within 1% of the maximum: k=8.</w:t>
      </w:r>
    </w:p>
    <w:p>
      <w:pPr>
        <w:spacing w:after="60" w:line="240" w:lineRule="auto"/>
        <w:jc w:val="both"/>
      </w:pPr>
      <w:r>
        <w:rPr>
          <w:rFonts w:ascii="Times New Roman" w:hAnsi="Times New Roman"/>
          <w:sz w:val="18"/>
        </w:rPr>
        <w:t>The deposit policy is not presented as a causal estimate. Under conservative/base/optimistic response assumptions, modeled net incremental room revenue is €-79,024 / €54,738 / €245,794. The base case is positive only because the assumed response is strong enough; the break-even recovery fraction is 30.0%.</w:t>
      </w:r>
    </w:p>
    <w:p>
      <w:pPr>
        <w:spacing w:after="60" w:line="240" w:lineRule="auto"/>
        <w:jc w:val="both"/>
      </w:pPr>
      <w:r>
        <w:rPr>
          <w:rFonts w:ascii="Times New Roman" w:hAnsi="Times New Roman"/>
          <w:sz w:val="18"/>
        </w:rPr>
        <w:t>Recommendation: use the model as a governed revenue-manager co-pilot after current-data recalibration, capacity validation, fairness review and a controlled deposit experiment. Do not deploy the scenario uplift or overbooking level as an autonomous rule.</w:t>
      </w:r>
    </w:p>
    <w:p>
      <w:r>
        <w:br w:type="page"/>
      </w:r>
    </w:p>
    <w:p>
      <w:pPr>
        <w:pStyle w:val="Heading1"/>
        <w:spacing w:before="60" w:after="60"/>
      </w:pPr>
      <w:r>
        <w:t>1. Business problem and eight-part problem identification</w:t>
      </w:r>
    </w:p>
    <w:p>
      <w:pPr>
        <w:spacing w:after="60" w:line="240" w:lineRule="auto"/>
        <w:jc w:val="both"/>
      </w:pPr>
      <w:r>
        <w:rPr>
          <w:rFonts w:ascii="Times New Roman" w:hAnsi="Times New Roman"/>
          <w:sz w:val="18"/>
        </w:rPr>
        <w:t>The business problem is a linked sequence. First, cancellation risk must be estimated at a clearly defined information timestamp. Second, those probabilities must feed a room-capacity decision under explicit capacity and walk-cost assumptions. Third, any deposit intervention must be judged against both cancellations prevented and bookings lost. The project therefore separates prediction, optimization and policy-response uncertainty.</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Times New Roman" w:hAnsi="Times New Roman"/>
                <w:b/>
                <w:sz w:val="14"/>
              </w:rPr>
              <w:t>#</w:t>
            </w:r>
          </w:p>
        </w:tc>
        <w:tc>
          <w:tcPr>
            <w:tcW w:type="dxa" w:w="3504"/>
            <w:vAlign w:val="center"/>
          </w:tcPr>
          <w:p>
            <w:r>
              <w:rPr>
                <w:rFonts w:ascii="Times New Roman" w:hAnsi="Times New Roman"/>
                <w:b/>
                <w:sz w:val="14"/>
              </w:rPr>
              <w:t>Problem identification</w:t>
            </w:r>
          </w:p>
        </w:tc>
        <w:tc>
          <w:tcPr>
            <w:tcW w:type="dxa" w:w="3504"/>
            <w:vAlign w:val="center"/>
          </w:tcPr>
          <w:p>
            <w:r>
              <w:rPr>
                <w:rFonts w:ascii="Times New Roman" w:hAnsi="Times New Roman"/>
                <w:b/>
                <w:sz w:val="14"/>
              </w:rPr>
              <w:t>Operational implication</w:t>
            </w:r>
          </w:p>
        </w:tc>
      </w:tr>
      <w:tr>
        <w:tc>
          <w:tcPr>
            <w:tcW w:type="dxa" w:w="3504"/>
            <w:vAlign w:val="center"/>
          </w:tcPr>
          <w:p>
            <w:pPr>
              <w:spacing w:after="0"/>
            </w:pPr>
            <w:r>
              <w:rPr>
                <w:rFonts w:ascii="Times New Roman" w:hAnsi="Times New Roman"/>
                <w:sz w:val="14"/>
              </w:rPr>
              <w:t>1</w:t>
            </w:r>
          </w:p>
        </w:tc>
        <w:tc>
          <w:tcPr>
            <w:tcW w:type="dxa" w:w="3504"/>
            <w:vAlign w:val="center"/>
          </w:tcPr>
          <w:p>
            <w:pPr>
              <w:spacing w:after="0"/>
            </w:pPr>
            <w:r>
              <w:rPr>
                <w:rFonts w:ascii="Times New Roman" w:hAnsi="Times New Roman"/>
                <w:sz w:val="14"/>
              </w:rPr>
              <w:t>Cancellation makes demand uncertain.</w:t>
            </w:r>
          </w:p>
        </w:tc>
        <w:tc>
          <w:tcPr>
            <w:tcW w:type="dxa" w:w="3504"/>
            <w:vAlign w:val="center"/>
          </w:tcPr>
          <w:p>
            <w:pPr>
              <w:spacing w:after="0"/>
            </w:pPr>
            <w:r>
              <w:rPr>
                <w:rFonts w:ascii="Times New Roman" w:hAnsi="Times New Roman"/>
                <w:sz w:val="14"/>
              </w:rPr>
              <w:t>Use a calibrated early risk score, not a binary heuristic.</w:t>
            </w:r>
          </w:p>
        </w:tc>
      </w:tr>
      <w:tr>
        <w:tc>
          <w:tcPr>
            <w:tcW w:type="dxa" w:w="3504"/>
            <w:vAlign w:val="center"/>
          </w:tcPr>
          <w:p>
            <w:pPr>
              <w:spacing w:after="0"/>
            </w:pPr>
            <w:r>
              <w:rPr>
                <w:rFonts w:ascii="Times New Roman" w:hAnsi="Times New Roman"/>
                <w:sz w:val="14"/>
              </w:rPr>
              <w:t>2</w:t>
            </w:r>
          </w:p>
        </w:tc>
        <w:tc>
          <w:tcPr>
            <w:tcW w:type="dxa" w:w="3504"/>
            <w:vAlign w:val="center"/>
          </w:tcPr>
          <w:p>
            <w:pPr>
              <w:spacing w:after="0"/>
            </w:pPr>
            <w:r>
              <w:rPr>
                <w:rFonts w:ascii="Times New Roman" w:hAnsi="Times New Roman"/>
                <w:sz w:val="14"/>
              </w:rPr>
              <w:t>Risk changes between booking and arrival.</w:t>
            </w:r>
          </w:p>
        </w:tc>
        <w:tc>
          <w:tcPr>
            <w:tcW w:type="dxa" w:w="3504"/>
            <w:vAlign w:val="center"/>
          </w:tcPr>
          <w:p>
            <w:pPr>
              <w:spacing w:after="0"/>
            </w:pPr>
            <w:r>
              <w:rPr>
                <w:rFonts w:ascii="Times New Roman" w:hAnsi="Times New Roman"/>
                <w:sz w:val="14"/>
              </w:rPr>
              <w:t>Maintain separate booking-time and near-arrival information sets.</w:t>
            </w:r>
          </w:p>
        </w:tc>
      </w:tr>
      <w:tr>
        <w:tc>
          <w:tcPr>
            <w:tcW w:type="dxa" w:w="3504"/>
            <w:vAlign w:val="center"/>
          </w:tcPr>
          <w:p>
            <w:pPr>
              <w:spacing w:after="0"/>
            </w:pPr>
            <w:r>
              <w:rPr>
                <w:rFonts w:ascii="Times New Roman" w:hAnsi="Times New Roman"/>
                <w:sz w:val="14"/>
              </w:rPr>
              <w:t>3</w:t>
            </w:r>
          </w:p>
        </w:tc>
        <w:tc>
          <w:tcPr>
            <w:tcW w:type="dxa" w:w="3504"/>
            <w:vAlign w:val="center"/>
          </w:tcPr>
          <w:p>
            <w:pPr>
              <w:spacing w:after="0"/>
            </w:pPr>
            <w:r>
              <w:rPr>
                <w:rFonts w:ascii="Times New Roman" w:hAnsi="Times New Roman"/>
                <w:sz w:val="14"/>
              </w:rPr>
              <w:t>Room inventory and walk cost are unobserved in the source file.</w:t>
            </w:r>
          </w:p>
        </w:tc>
        <w:tc>
          <w:tcPr>
            <w:tcW w:type="dxa" w:w="3504"/>
            <w:vAlign w:val="center"/>
          </w:tcPr>
          <w:p>
            <w:pPr>
              <w:spacing w:after="0"/>
            </w:pPr>
            <w:r>
              <w:rPr>
                <w:rFonts w:ascii="Times New Roman" w:hAnsi="Times New Roman"/>
                <w:sz w:val="14"/>
              </w:rPr>
              <w:t>Show sensitivity rather than a single hidden optimum.</w:t>
            </w:r>
          </w:p>
        </w:tc>
      </w:tr>
      <w:tr>
        <w:tc>
          <w:tcPr>
            <w:tcW w:type="dxa" w:w="3504"/>
            <w:vAlign w:val="center"/>
          </w:tcPr>
          <w:p>
            <w:pPr>
              <w:spacing w:after="0"/>
            </w:pPr>
            <w:r>
              <w:rPr>
                <w:rFonts w:ascii="Times New Roman" w:hAnsi="Times New Roman"/>
                <w:sz w:val="14"/>
              </w:rPr>
              <w:t>4</w:t>
            </w:r>
          </w:p>
        </w:tc>
        <w:tc>
          <w:tcPr>
            <w:tcW w:type="dxa" w:w="3504"/>
            <w:vAlign w:val="center"/>
          </w:tcPr>
          <w:p>
            <w:pPr>
              <w:spacing w:after="0"/>
            </w:pPr>
            <w:r>
              <w:rPr>
                <w:rFonts w:ascii="Times New Roman" w:hAnsi="Times New Roman"/>
                <w:sz w:val="14"/>
              </w:rPr>
              <w:t>Deposits can deter cancellation and reduce conversion.</w:t>
            </w:r>
          </w:p>
        </w:tc>
        <w:tc>
          <w:tcPr>
            <w:tcW w:type="dxa" w:w="3504"/>
            <w:vAlign w:val="center"/>
          </w:tcPr>
          <w:p>
            <w:pPr>
              <w:spacing w:after="0"/>
            </w:pPr>
            <w:r>
              <w:rPr>
                <w:rFonts w:ascii="Times New Roman" w:hAnsi="Times New Roman"/>
                <w:sz w:val="14"/>
              </w:rPr>
              <w:t>Model response as scenarios; test before rollout.</w:t>
            </w:r>
          </w:p>
        </w:tc>
      </w:tr>
      <w:tr>
        <w:tc>
          <w:tcPr>
            <w:tcW w:type="dxa" w:w="3504"/>
            <w:vAlign w:val="center"/>
          </w:tcPr>
          <w:p>
            <w:pPr>
              <w:spacing w:after="0"/>
            </w:pPr>
            <w:r>
              <w:rPr>
                <w:rFonts w:ascii="Times New Roman" w:hAnsi="Times New Roman"/>
                <w:sz w:val="14"/>
              </w:rPr>
              <w:t>5</w:t>
            </w:r>
          </w:p>
        </w:tc>
        <w:tc>
          <w:tcPr>
            <w:tcW w:type="dxa" w:w="3504"/>
            <w:vAlign w:val="center"/>
          </w:tcPr>
          <w:p>
            <w:pPr>
              <w:spacing w:after="0"/>
            </w:pPr>
            <w:r>
              <w:rPr>
                <w:rFonts w:ascii="Times New Roman" w:hAnsi="Times New Roman"/>
                <w:sz w:val="14"/>
              </w:rPr>
              <w:t>Channel/allotment mechanics can look like guest behaviour.</w:t>
            </w:r>
          </w:p>
        </w:tc>
        <w:tc>
          <w:tcPr>
            <w:tcW w:type="dxa" w:w="3504"/>
            <w:vAlign w:val="center"/>
          </w:tcPr>
          <w:p>
            <w:pPr>
              <w:spacing w:after="0"/>
            </w:pPr>
            <w:r>
              <w:rPr>
                <w:rFonts w:ascii="Times New Roman" w:hAnsi="Times New Roman"/>
                <w:sz w:val="14"/>
              </w:rPr>
              <w:t>Keep process-heavy segments outside the consumer deposit lever.</w:t>
            </w:r>
          </w:p>
        </w:tc>
      </w:tr>
      <w:tr>
        <w:tc>
          <w:tcPr>
            <w:tcW w:type="dxa" w:w="3504"/>
            <w:vAlign w:val="center"/>
          </w:tcPr>
          <w:p>
            <w:pPr>
              <w:spacing w:after="0"/>
            </w:pPr>
            <w:r>
              <w:rPr>
                <w:rFonts w:ascii="Times New Roman" w:hAnsi="Times New Roman"/>
                <w:sz w:val="14"/>
              </w:rPr>
              <w:t>6</w:t>
            </w:r>
          </w:p>
        </w:tc>
        <w:tc>
          <w:tcPr>
            <w:tcW w:type="dxa" w:w="3504"/>
            <w:vAlign w:val="center"/>
          </w:tcPr>
          <w:p>
            <w:pPr>
              <w:spacing w:after="0"/>
            </w:pPr>
            <w:r>
              <w:rPr>
                <w:rFonts w:ascii="Times New Roman" w:hAnsi="Times New Roman"/>
                <w:sz w:val="14"/>
              </w:rPr>
              <w:t>Country can shift predictions.</w:t>
            </w:r>
          </w:p>
        </w:tc>
        <w:tc>
          <w:tcPr>
            <w:tcW w:type="dxa" w:w="3504"/>
            <w:vAlign w:val="center"/>
          </w:tcPr>
          <w:p>
            <w:pPr>
              <w:spacing w:after="0"/>
            </w:pPr>
            <w:r>
              <w:rPr>
                <w:rFonts w:ascii="Times New Roman" w:hAnsi="Times New Roman"/>
                <w:sz w:val="14"/>
              </w:rPr>
              <w:t>Use it for fairness monitoring, not direct deposit pricing.</w:t>
            </w:r>
          </w:p>
        </w:tc>
      </w:tr>
      <w:tr>
        <w:tc>
          <w:tcPr>
            <w:tcW w:type="dxa" w:w="3504"/>
            <w:vAlign w:val="center"/>
          </w:tcPr>
          <w:p>
            <w:pPr>
              <w:spacing w:after="0"/>
            </w:pPr>
            <w:r>
              <w:rPr>
                <w:rFonts w:ascii="Times New Roman" w:hAnsi="Times New Roman"/>
                <w:sz w:val="14"/>
              </w:rPr>
              <w:t>7</w:t>
            </w:r>
          </w:p>
        </w:tc>
        <w:tc>
          <w:tcPr>
            <w:tcW w:type="dxa" w:w="3504"/>
            <w:vAlign w:val="center"/>
          </w:tcPr>
          <w:p>
            <w:pPr>
              <w:spacing w:after="0"/>
            </w:pPr>
            <w:r>
              <w:rPr>
                <w:rFonts w:ascii="Times New Roman" w:hAnsi="Times New Roman"/>
                <w:sz w:val="14"/>
              </w:rPr>
              <w:t>Weather and search data are absent.</w:t>
            </w:r>
          </w:p>
        </w:tc>
        <w:tc>
          <w:tcPr>
            <w:tcW w:type="dxa" w:w="3504"/>
            <w:vAlign w:val="center"/>
          </w:tcPr>
          <w:p>
            <w:pPr>
              <w:spacing w:after="0"/>
            </w:pPr>
            <w:r>
              <w:rPr>
                <w:rFonts w:ascii="Times New Roman" w:hAnsi="Times New Roman"/>
                <w:sz w:val="14"/>
              </w:rPr>
              <w:t>Keep those features out of final scores; retain loaders for reproducibility.</w:t>
            </w:r>
          </w:p>
        </w:tc>
      </w:tr>
      <w:tr>
        <w:tc>
          <w:tcPr>
            <w:tcW w:type="dxa" w:w="3504"/>
            <w:vAlign w:val="center"/>
          </w:tcPr>
          <w:p>
            <w:pPr>
              <w:spacing w:after="0"/>
            </w:pPr>
            <w:r>
              <w:rPr>
                <w:rFonts w:ascii="Times New Roman" w:hAnsi="Times New Roman"/>
                <w:sz w:val="14"/>
              </w:rPr>
              <w:t>8</w:t>
            </w:r>
          </w:p>
        </w:tc>
        <w:tc>
          <w:tcPr>
            <w:tcW w:type="dxa" w:w="3504"/>
            <w:vAlign w:val="center"/>
          </w:tcPr>
          <w:p>
            <w:pPr>
              <w:spacing w:after="0"/>
            </w:pPr>
            <w:r>
              <w:rPr>
                <w:rFonts w:ascii="Times New Roman" w:hAnsi="Times New Roman"/>
                <w:sz w:val="14"/>
              </w:rPr>
              <w:t>The source period is 2015–2017.</w:t>
            </w:r>
          </w:p>
        </w:tc>
        <w:tc>
          <w:tcPr>
            <w:tcW w:type="dxa" w:w="3504"/>
            <w:vAlign w:val="center"/>
          </w:tcPr>
          <w:p>
            <w:pPr>
              <w:spacing w:after="0"/>
            </w:pPr>
            <w:r>
              <w:rPr>
                <w:rFonts w:ascii="Times New Roman" w:hAnsi="Times New Roman"/>
                <w:sz w:val="14"/>
              </w:rPr>
              <w:t>Treat results as backtest evidence; recalibrate on current data.</w:t>
            </w:r>
          </w:p>
        </w:tc>
      </w:tr>
    </w:tbl>
    <w:p>
      <w:pPr>
        <w:pStyle w:val="Heading1"/>
        <w:spacing w:before="60" w:after="60"/>
      </w:pPr>
      <w:r>
        <w:t>2. Literature review — evidence boundary</w:t>
      </w:r>
    </w:p>
    <w:p>
      <w:pPr>
        <w:spacing w:after="60" w:line="240" w:lineRule="auto"/>
        <w:jc w:val="both"/>
      </w:pPr>
      <w:r>
        <w:rPr>
          <w:rFonts w:ascii="Times New Roman" w:hAnsi="Times New Roman"/>
          <w:sz w:val="18"/>
        </w:rPr>
        <w:t>The ten-source review below is intentionally selective. It supports cancellation prediction, explainable ML, search-based demand forecasting and stochastic overbooking. It does not provide an empirical basis for the project-specific 20%/35% deterrence or 4%/8% booking-loss parameters. Those remain assumptions.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Times New Roman" w:hAnsi="Times New Roman"/>
                <w:b/>
                <w:sz w:val="13"/>
              </w:rPr>
              <w:t>Source</w:t>
            </w:r>
          </w:p>
        </w:tc>
        <w:tc>
          <w:tcPr>
            <w:tcW w:type="dxa" w:w="3504"/>
            <w:vAlign w:val="center"/>
          </w:tcPr>
          <w:p>
            <w:r>
              <w:rPr>
                <w:rFonts w:ascii="Times New Roman" w:hAnsi="Times New Roman"/>
                <w:b/>
                <w:sz w:val="13"/>
              </w:rPr>
              <w:t>What it contributes</w:t>
            </w:r>
          </w:p>
        </w:tc>
        <w:tc>
          <w:tcPr>
            <w:tcW w:type="dxa" w:w="3504"/>
            <w:vAlign w:val="center"/>
          </w:tcPr>
          <w:p>
            <w:r>
              <w:rPr>
                <w:rFonts w:ascii="Times New Roman" w:hAnsi="Times New Roman"/>
                <w:b/>
                <w:sz w:val="13"/>
              </w:rPr>
              <w:t>What it does not establish</w:t>
            </w:r>
          </w:p>
        </w:tc>
      </w:tr>
      <w:tr>
        <w:tc>
          <w:tcPr>
            <w:tcW w:type="dxa" w:w="3504"/>
            <w:vAlign w:val="center"/>
          </w:tcPr>
          <w:p>
            <w:pPr>
              <w:spacing w:after="0"/>
            </w:pPr>
            <w:r>
              <w:rPr>
                <w:rFonts w:ascii="Times New Roman" w:hAnsi="Times New Roman"/>
                <w:sz w:val="13"/>
              </w:rPr>
              <w:t>Antonio et al. 2017</w:t>
            </w:r>
          </w:p>
        </w:tc>
        <w:tc>
          <w:tcPr>
            <w:tcW w:type="dxa" w:w="3504"/>
            <w:vAlign w:val="center"/>
          </w:tcPr>
          <w:p>
            <w:pPr>
              <w:spacing w:after="0"/>
            </w:pPr>
            <w:r>
              <w:rPr>
                <w:rFonts w:ascii="Times New Roman" w:hAnsi="Times New Roman"/>
                <w:sz w:val="13"/>
              </w:rPr>
              <w:t>Hotel-cancellation prediction using machine learning.</w:t>
            </w:r>
          </w:p>
        </w:tc>
        <w:tc>
          <w:tcPr>
            <w:tcW w:type="dxa" w:w="3504"/>
            <w:vAlign w:val="center"/>
          </w:tcPr>
          <w:p>
            <w:pPr>
              <w:spacing w:after="0"/>
            </w:pPr>
            <w:r>
              <w:rPr>
                <w:rFonts w:ascii="Times New Roman" w:hAnsi="Times New Roman"/>
                <w:sz w:val="13"/>
              </w:rPr>
              <w:t>No causal deposit-response estimate.</w:t>
            </w:r>
          </w:p>
        </w:tc>
      </w:tr>
      <w:tr>
        <w:tc>
          <w:tcPr>
            <w:tcW w:type="dxa" w:w="3504"/>
            <w:vAlign w:val="center"/>
          </w:tcPr>
          <w:p>
            <w:pPr>
              <w:spacing w:after="0"/>
            </w:pPr>
            <w:r>
              <w:rPr>
                <w:rFonts w:ascii="Times New Roman" w:hAnsi="Times New Roman"/>
                <w:sz w:val="13"/>
              </w:rPr>
              <w:t>Antonio 2019</w:t>
            </w:r>
          </w:p>
        </w:tc>
        <w:tc>
          <w:tcPr>
            <w:tcW w:type="dxa" w:w="3504"/>
            <w:vAlign w:val="center"/>
          </w:tcPr>
          <w:p>
            <w:pPr>
              <w:spacing w:after="0"/>
            </w:pPr>
            <w:r>
              <w:rPr>
                <w:rFonts w:ascii="Times New Roman" w:hAnsi="Times New Roman"/>
                <w:sz w:val="13"/>
              </w:rPr>
              <w:t>Hospitality analytics / booking-demand framing.</w:t>
            </w:r>
          </w:p>
        </w:tc>
        <w:tc>
          <w:tcPr>
            <w:tcW w:type="dxa" w:w="3504"/>
            <w:vAlign w:val="center"/>
          </w:tcPr>
          <w:p>
            <w:pPr>
              <w:spacing w:after="0"/>
            </w:pPr>
            <w:r>
              <w:rPr>
                <w:rFonts w:ascii="Times New Roman" w:hAnsi="Times New Roman"/>
                <w:sz w:val="13"/>
              </w:rPr>
              <w:t>Does not establish this hotel’s optimal capacity.</w:t>
            </w:r>
          </w:p>
        </w:tc>
      </w:tr>
      <w:tr>
        <w:tc>
          <w:tcPr>
            <w:tcW w:type="dxa" w:w="3504"/>
            <w:vAlign w:val="center"/>
          </w:tcPr>
          <w:p>
            <w:pPr>
              <w:spacing w:after="0"/>
            </w:pPr>
            <w:r>
              <w:rPr>
                <w:rFonts w:ascii="Times New Roman" w:hAnsi="Times New Roman"/>
                <w:sz w:val="13"/>
              </w:rPr>
              <w:t>Antonio et al. 2019, Data in Brief</w:t>
            </w:r>
          </w:p>
        </w:tc>
        <w:tc>
          <w:tcPr>
            <w:tcW w:type="dxa" w:w="3504"/>
            <w:vAlign w:val="center"/>
          </w:tcPr>
          <w:p>
            <w:pPr>
              <w:spacing w:after="0"/>
            </w:pPr>
            <w:r>
              <w:rPr>
                <w:rFonts w:ascii="Times New Roman" w:hAnsi="Times New Roman"/>
                <w:sz w:val="13"/>
              </w:rPr>
              <w:t>Dataset provenance and field definitions.</w:t>
            </w:r>
          </w:p>
        </w:tc>
        <w:tc>
          <w:tcPr>
            <w:tcW w:type="dxa" w:w="3504"/>
            <w:vAlign w:val="center"/>
          </w:tcPr>
          <w:p>
            <w:pPr>
              <w:spacing w:after="0"/>
            </w:pPr>
            <w:r>
              <w:rPr>
                <w:rFonts w:ascii="Times New Roman" w:hAnsi="Times New Roman"/>
                <w:sz w:val="13"/>
              </w:rPr>
              <w:t>Historical source; no current-data validation.</w:t>
            </w:r>
          </w:p>
        </w:tc>
      </w:tr>
      <w:tr>
        <w:tc>
          <w:tcPr>
            <w:tcW w:type="dxa" w:w="3504"/>
            <w:vAlign w:val="center"/>
          </w:tcPr>
          <w:p>
            <w:pPr>
              <w:spacing w:after="0"/>
            </w:pPr>
            <w:r>
              <w:rPr>
                <w:rFonts w:ascii="Times New Roman" w:hAnsi="Times New Roman"/>
                <w:sz w:val="13"/>
              </w:rPr>
              <w:t>Antonio et al. 2019, Data Science Journal</w:t>
            </w:r>
          </w:p>
        </w:tc>
        <w:tc>
          <w:tcPr>
            <w:tcW w:type="dxa" w:w="3504"/>
            <w:vAlign w:val="center"/>
          </w:tcPr>
          <w:p>
            <w:pPr>
              <w:spacing w:after="0"/>
            </w:pPr>
            <w:r>
              <w:rPr>
                <w:rFonts w:ascii="Times New Roman" w:hAnsi="Times New Roman"/>
                <w:sz w:val="13"/>
              </w:rPr>
              <w:t>Automated cancellation decision support.</w:t>
            </w:r>
          </w:p>
        </w:tc>
        <w:tc>
          <w:tcPr>
            <w:tcW w:type="dxa" w:w="3504"/>
            <w:vAlign w:val="center"/>
          </w:tcPr>
          <w:p>
            <w:pPr>
              <w:spacing w:after="0"/>
            </w:pPr>
            <w:r>
              <w:rPr>
                <w:rFonts w:ascii="Times New Roman" w:hAnsi="Times New Roman"/>
                <w:sz w:val="13"/>
              </w:rPr>
              <w:t>No direct deposit experiment.</w:t>
            </w:r>
          </w:p>
        </w:tc>
      </w:tr>
      <w:tr>
        <w:tc>
          <w:tcPr>
            <w:tcW w:type="dxa" w:w="3504"/>
            <w:vAlign w:val="center"/>
          </w:tcPr>
          <w:p>
            <w:pPr>
              <w:spacing w:after="0"/>
            </w:pPr>
            <w:r>
              <w:rPr>
                <w:rFonts w:ascii="Times New Roman" w:hAnsi="Times New Roman"/>
                <w:sz w:val="13"/>
              </w:rPr>
              <w:t>Chen, Schwartz &amp; Vargas 2011</w:t>
            </w:r>
          </w:p>
        </w:tc>
        <w:tc>
          <w:tcPr>
            <w:tcW w:type="dxa" w:w="3504"/>
            <w:vAlign w:val="center"/>
          </w:tcPr>
          <w:p>
            <w:pPr>
              <w:spacing w:after="0"/>
            </w:pPr>
            <w:r>
              <w:rPr>
                <w:rFonts w:ascii="Times New Roman" w:hAnsi="Times New Roman"/>
                <w:sz w:val="13"/>
              </w:rPr>
              <w:t>Cancellation policies can affect search/booking decisions.</w:t>
            </w:r>
          </w:p>
        </w:tc>
        <w:tc>
          <w:tcPr>
            <w:tcW w:type="dxa" w:w="3504"/>
            <w:vAlign w:val="center"/>
          </w:tcPr>
          <w:p>
            <w:pPr>
              <w:spacing w:after="0"/>
            </w:pPr>
            <w:r>
              <w:rPr>
                <w:rFonts w:ascii="Times New Roman" w:hAnsi="Times New Roman"/>
                <w:sz w:val="13"/>
              </w:rPr>
              <w:t>Experimental setting; not this customer mix.</w:t>
            </w:r>
          </w:p>
        </w:tc>
      </w:tr>
      <w:tr>
        <w:tc>
          <w:tcPr>
            <w:tcW w:type="dxa" w:w="3504"/>
            <w:vAlign w:val="center"/>
          </w:tcPr>
          <w:p>
            <w:pPr>
              <w:spacing w:after="0"/>
            </w:pPr>
            <w:r>
              <w:rPr>
                <w:rFonts w:ascii="Times New Roman" w:hAnsi="Times New Roman"/>
                <w:sz w:val="13"/>
              </w:rPr>
              <w:t>Liberman &amp; Yechiali 1978</w:t>
            </w:r>
          </w:p>
        </w:tc>
        <w:tc>
          <w:tcPr>
            <w:tcW w:type="dxa" w:w="3504"/>
            <w:vAlign w:val="center"/>
          </w:tcPr>
          <w:p>
            <w:pPr>
              <w:spacing w:after="0"/>
            </w:pPr>
            <w:r>
              <w:rPr>
                <w:rFonts w:ascii="Times New Roman" w:hAnsi="Times New Roman"/>
                <w:sz w:val="13"/>
              </w:rPr>
              <w:t>Stochastic cancellation logic for hotel overbooking.</w:t>
            </w:r>
          </w:p>
        </w:tc>
        <w:tc>
          <w:tcPr>
            <w:tcW w:type="dxa" w:w="3504"/>
            <w:vAlign w:val="center"/>
          </w:tcPr>
          <w:p>
            <w:pPr>
              <w:spacing w:after="0"/>
            </w:pPr>
            <w:r>
              <w:rPr>
                <w:rFonts w:ascii="Times New Roman" w:hAnsi="Times New Roman"/>
                <w:sz w:val="13"/>
              </w:rPr>
              <w:t>Requires assumptions about capacity and cancellation process.</w:t>
            </w:r>
          </w:p>
        </w:tc>
      </w:tr>
      <w:tr>
        <w:tc>
          <w:tcPr>
            <w:tcW w:type="dxa" w:w="3504"/>
            <w:vAlign w:val="center"/>
          </w:tcPr>
          <w:p>
            <w:pPr>
              <w:spacing w:after="0"/>
            </w:pPr>
            <w:r>
              <w:rPr>
                <w:rFonts w:ascii="Times New Roman" w:hAnsi="Times New Roman"/>
                <w:sz w:val="13"/>
              </w:rPr>
              <w:t>Lundberg &amp; Lee 2017</w:t>
            </w:r>
          </w:p>
        </w:tc>
        <w:tc>
          <w:tcPr>
            <w:tcW w:type="dxa" w:w="3504"/>
            <w:vAlign w:val="center"/>
          </w:tcPr>
          <w:p>
            <w:pPr>
              <w:spacing w:after="0"/>
            </w:pPr>
            <w:r>
              <w:rPr>
                <w:rFonts w:ascii="Times New Roman" w:hAnsi="Times New Roman"/>
                <w:sz w:val="13"/>
              </w:rPr>
              <w:t>SHAP-style model interpretation.</w:t>
            </w:r>
          </w:p>
        </w:tc>
        <w:tc>
          <w:tcPr>
            <w:tcW w:type="dxa" w:w="3504"/>
            <w:vAlign w:val="center"/>
          </w:tcPr>
          <w:p>
            <w:pPr>
              <w:spacing w:after="0"/>
            </w:pPr>
            <w:r>
              <w:rPr>
                <w:rFonts w:ascii="Times New Roman" w:hAnsi="Times New Roman"/>
                <w:sz w:val="13"/>
              </w:rPr>
              <w:t>Explains contribution, not causality.</w:t>
            </w:r>
          </w:p>
        </w:tc>
      </w:tr>
      <w:tr>
        <w:tc>
          <w:tcPr>
            <w:tcW w:type="dxa" w:w="3504"/>
            <w:vAlign w:val="center"/>
          </w:tcPr>
          <w:p>
            <w:pPr>
              <w:spacing w:after="0"/>
            </w:pPr>
            <w:r>
              <w:rPr>
                <w:rFonts w:ascii="Times New Roman" w:hAnsi="Times New Roman"/>
                <w:sz w:val="13"/>
              </w:rPr>
              <w:t>Pan, Wu &amp; Song 2012</w:t>
            </w:r>
          </w:p>
        </w:tc>
        <w:tc>
          <w:tcPr>
            <w:tcW w:type="dxa" w:w="3504"/>
            <w:vAlign w:val="center"/>
          </w:tcPr>
          <w:p>
            <w:pPr>
              <w:spacing w:after="0"/>
            </w:pPr>
            <w:r>
              <w:rPr>
                <w:rFonts w:ascii="Times New Roman" w:hAnsi="Times New Roman"/>
                <w:sz w:val="13"/>
              </w:rPr>
              <w:t>Search-engine data can forecast hotel demand.</w:t>
            </w:r>
          </w:p>
        </w:tc>
        <w:tc>
          <w:tcPr>
            <w:tcW w:type="dxa" w:w="3504"/>
            <w:vAlign w:val="center"/>
          </w:tcPr>
          <w:p>
            <w:pPr>
              <w:spacing w:after="0"/>
            </w:pPr>
            <w:r>
              <w:rPr>
                <w:rFonts w:ascii="Times New Roman" w:hAnsi="Times New Roman"/>
                <w:sz w:val="13"/>
              </w:rPr>
              <w:t>Demand forecasting is not cancellation prediction.</w:t>
            </w:r>
          </w:p>
        </w:tc>
      </w:tr>
      <w:tr>
        <w:tc>
          <w:tcPr>
            <w:tcW w:type="dxa" w:w="3504"/>
            <w:vAlign w:val="center"/>
          </w:tcPr>
          <w:p>
            <w:pPr>
              <w:spacing w:after="0"/>
            </w:pPr>
            <w:r>
              <w:rPr>
                <w:rFonts w:ascii="Times New Roman" w:hAnsi="Times New Roman"/>
                <w:sz w:val="13"/>
              </w:rPr>
              <w:t>Phumchusri &amp; Maneesophon 2014</w:t>
            </w:r>
          </w:p>
        </w:tc>
        <w:tc>
          <w:tcPr>
            <w:tcW w:type="dxa" w:w="3504"/>
            <w:vAlign w:val="center"/>
          </w:tcPr>
          <w:p>
            <w:pPr>
              <w:spacing w:after="0"/>
            </w:pPr>
            <w:r>
              <w:rPr>
                <w:rFonts w:ascii="Times New Roman" w:hAnsi="Times New Roman"/>
                <w:sz w:val="13"/>
              </w:rPr>
              <w:t>Optimal overbooking as a revenue-management problem.</w:t>
            </w:r>
          </w:p>
        </w:tc>
        <w:tc>
          <w:tcPr>
            <w:tcW w:type="dxa" w:w="3504"/>
            <w:vAlign w:val="center"/>
          </w:tcPr>
          <w:p>
            <w:pPr>
              <w:spacing w:after="0"/>
            </w:pPr>
            <w:r>
              <w:rPr>
                <w:rFonts w:ascii="Times New Roman" w:hAnsi="Times New Roman"/>
                <w:sz w:val="13"/>
              </w:rPr>
              <w:t>Aggregate modelling; no deposit response.</w:t>
            </w:r>
          </w:p>
        </w:tc>
      </w:tr>
      <w:tr>
        <w:tc>
          <w:tcPr>
            <w:tcW w:type="dxa" w:w="3504"/>
            <w:vAlign w:val="center"/>
          </w:tcPr>
          <w:p>
            <w:pPr>
              <w:spacing w:after="0"/>
            </w:pPr>
            <w:r>
              <w:rPr>
                <w:rFonts w:ascii="Times New Roman" w:hAnsi="Times New Roman"/>
                <w:sz w:val="13"/>
              </w:rPr>
              <w:t>Ramos Mir et al. 2026</w:t>
            </w:r>
          </w:p>
        </w:tc>
        <w:tc>
          <w:tcPr>
            <w:tcW w:type="dxa" w:w="3504"/>
            <w:vAlign w:val="center"/>
          </w:tcPr>
          <w:p>
            <w:pPr>
              <w:spacing w:after="0"/>
            </w:pPr>
            <w:r>
              <w:rPr>
                <w:rFonts w:ascii="Times New Roman" w:hAnsi="Times New Roman"/>
                <w:sz w:val="13"/>
              </w:rPr>
              <w:t>Recent behavioural evidence on booking cancellations.</w:t>
            </w:r>
          </w:p>
        </w:tc>
        <w:tc>
          <w:tcPr>
            <w:tcW w:type="dxa" w:w="3504"/>
            <w:vAlign w:val="center"/>
          </w:tcPr>
          <w:p>
            <w:pPr>
              <w:spacing w:after="0"/>
            </w:pPr>
            <w:r>
              <w:rPr>
                <w:rFonts w:ascii="Times New Roman" w:hAnsi="Times New Roman"/>
                <w:sz w:val="13"/>
              </w:rPr>
              <w:t>Context is newer and different from the project dataset.</w:t>
            </w:r>
          </w:p>
        </w:tc>
      </w:tr>
    </w:tbl>
    <w:p>
      <w:pPr>
        <w:spacing w:after="60" w:line="240" w:lineRule="auto"/>
        <w:jc w:val="both"/>
      </w:pPr>
      <w:r>
        <w:rPr>
          <w:rFonts w:ascii="Times New Roman" w:hAnsi="Times New Roman"/>
          <w:sz w:val="18"/>
        </w:rPr>
        <w:t>The review therefore motivates the architecture of the project, but the decision rules remain empirically local: score risk, quantify capacity assumptions, and experimentally validate any customer-facing intervention.</w:t>
      </w:r>
    </w:p>
    <w:p>
      <w:r>
        <w:br w:type="page"/>
      </w:r>
    </w:p>
    <w:p>
      <w:pPr>
        <w:pStyle w:val="Heading1"/>
        <w:spacing w:before="60" w:after="60"/>
      </w:pPr>
      <w:r>
        <w:t>3. Data, cleaning and temporal design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Times New Roman" w:hAnsi="Times New Roman"/>
                <w:b/>
                <w:sz w:val="14"/>
              </w:rPr>
              <w:t>Item</w:t>
            </w:r>
          </w:p>
        </w:tc>
        <w:tc>
          <w:tcPr>
            <w:tcW w:type="dxa" w:w="3504"/>
            <w:vAlign w:val="center"/>
          </w:tcPr>
          <w:p>
            <w:r>
              <w:rPr>
                <w:rFonts w:ascii="Times New Roman" w:hAnsi="Times New Roman"/>
                <w:b/>
                <w:sz w:val="14"/>
              </w:rPr>
              <w:t>Final treatment</w:t>
            </w:r>
          </w:p>
        </w:tc>
        <w:tc>
          <w:tcPr>
            <w:tcW w:type="dxa" w:w="3504"/>
            <w:vAlign w:val="center"/>
          </w:tcPr>
          <w:p>
            <w:r>
              <w:rPr>
                <w:rFonts w:ascii="Times New Roman" w:hAnsi="Times New Roman"/>
                <w:b/>
                <w:sz w:val="14"/>
              </w:rPr>
              <w:t>Reason</w:t>
            </w:r>
          </w:p>
        </w:tc>
      </w:tr>
      <w:tr>
        <w:tc>
          <w:tcPr>
            <w:tcW w:type="dxa" w:w="3504"/>
            <w:vAlign w:val="center"/>
          </w:tcPr>
          <w:p>
            <w:pPr>
              <w:spacing w:after="0"/>
            </w:pPr>
            <w:r>
              <w:rPr>
                <w:rFonts w:ascii="Times New Roman" w:hAnsi="Times New Roman"/>
                <w:sz w:val="14"/>
              </w:rPr>
              <w:t>Scope</w:t>
            </w:r>
          </w:p>
        </w:tc>
        <w:tc>
          <w:tcPr>
            <w:tcW w:type="dxa" w:w="3504"/>
            <w:vAlign w:val="center"/>
          </w:tcPr>
          <w:p>
            <w:pPr>
              <w:spacing w:after="0"/>
            </w:pPr>
            <w:r>
              <w:rPr>
                <w:rFonts w:ascii="Times New Roman" w:hAnsi="Times New Roman"/>
                <w:sz w:val="14"/>
              </w:rPr>
              <w:t>City Hotel only: H2 / Lisbon.</w:t>
            </w:r>
          </w:p>
        </w:tc>
        <w:tc>
          <w:tcPr>
            <w:tcW w:type="dxa" w:w="3504"/>
            <w:vAlign w:val="center"/>
          </w:tcPr>
          <w:p>
            <w:pPr>
              <w:spacing w:after="0"/>
            </w:pPr>
            <w:r>
              <w:rPr>
                <w:rFonts w:ascii="Times New Roman" w:hAnsi="Times New Roman"/>
                <w:sz w:val="14"/>
              </w:rPr>
              <w:t>Matches project decision scope.</w:t>
            </w:r>
          </w:p>
        </w:tc>
      </w:tr>
      <w:tr>
        <w:tc>
          <w:tcPr>
            <w:tcW w:type="dxa" w:w="3504"/>
            <w:vAlign w:val="center"/>
          </w:tcPr>
          <w:p>
            <w:pPr>
              <w:spacing w:after="0"/>
            </w:pPr>
            <w:r>
              <w:rPr>
                <w:rFonts w:ascii="Times New Roman" w:hAnsi="Times New Roman"/>
                <w:sz w:val="14"/>
              </w:rPr>
              <w:t>Exact duplicates</w:t>
            </w:r>
          </w:p>
        </w:tc>
        <w:tc>
          <w:tcPr>
            <w:tcW w:type="dxa" w:w="3504"/>
            <w:vAlign w:val="center"/>
          </w:tcPr>
          <w:p>
            <w:pPr>
              <w:spacing w:after="0"/>
            </w:pPr>
            <w:r>
              <w:rPr>
                <w:rFonts w:ascii="Times New Roman" w:hAnsi="Times New Roman"/>
                <w:sz w:val="14"/>
              </w:rPr>
              <w:t>Removed for main analysis; retained in a robustness branch.</w:t>
            </w:r>
          </w:p>
        </w:tc>
        <w:tc>
          <w:tcPr>
            <w:tcW w:type="dxa" w:w="3504"/>
            <w:vAlign w:val="center"/>
          </w:tcPr>
          <w:p>
            <w:pPr>
              <w:spacing w:after="0"/>
            </w:pPr>
            <w:r>
              <w:rPr>
                <w:rFonts w:ascii="Times New Roman" w:hAnsi="Times New Roman"/>
                <w:sz w:val="14"/>
              </w:rPr>
              <w:t>Avoid multiple counting of identical records; effect is reported.</w:t>
            </w:r>
          </w:p>
        </w:tc>
      </w:tr>
      <w:tr>
        <w:tc>
          <w:tcPr>
            <w:tcW w:type="dxa" w:w="3504"/>
            <w:vAlign w:val="center"/>
          </w:tcPr>
          <w:p>
            <w:pPr>
              <w:spacing w:after="0"/>
            </w:pPr>
            <w:r>
              <w:rPr>
                <w:rFonts w:ascii="Times New Roman" w:hAnsi="Times New Roman"/>
                <w:sz w:val="14"/>
              </w:rPr>
              <w:t>Zero guests</w:t>
            </w:r>
          </w:p>
        </w:tc>
        <w:tc>
          <w:tcPr>
            <w:tcW w:type="dxa" w:w="3504"/>
            <w:vAlign w:val="center"/>
          </w:tcPr>
          <w:p>
            <w:pPr>
              <w:spacing w:after="0"/>
            </w:pPr>
            <w:r>
              <w:rPr>
                <w:rFonts w:ascii="Times New Roman" w:hAnsi="Times New Roman"/>
                <w:sz w:val="14"/>
              </w:rPr>
              <w:t>Dropped.</w:t>
            </w:r>
          </w:p>
        </w:tc>
        <w:tc>
          <w:tcPr>
            <w:tcW w:type="dxa" w:w="3504"/>
            <w:vAlign w:val="center"/>
          </w:tcPr>
          <w:p>
            <w:pPr>
              <w:spacing w:after="0"/>
            </w:pPr>
            <w:r>
              <w:rPr>
                <w:rFonts w:ascii="Times New Roman" w:hAnsi="Times New Roman"/>
                <w:sz w:val="14"/>
              </w:rPr>
              <w:t>Invalid stay observation.</w:t>
            </w:r>
          </w:p>
        </w:tc>
      </w:tr>
      <w:tr>
        <w:tc>
          <w:tcPr>
            <w:tcW w:type="dxa" w:w="3504"/>
            <w:vAlign w:val="center"/>
          </w:tcPr>
          <w:p>
            <w:pPr>
              <w:spacing w:after="0"/>
            </w:pPr>
            <w:r>
              <w:rPr>
                <w:rFonts w:ascii="Times New Roman" w:hAnsi="Times New Roman"/>
                <w:sz w:val="14"/>
              </w:rPr>
              <w:t>ADR &gt; €1,000</w:t>
            </w:r>
          </w:p>
        </w:tc>
        <w:tc>
          <w:tcPr>
            <w:tcW w:type="dxa" w:w="3504"/>
            <w:vAlign w:val="center"/>
          </w:tcPr>
          <w:p>
            <w:pPr>
              <w:spacing w:after="0"/>
            </w:pPr>
            <w:r>
              <w:rPr>
                <w:rFonts w:ascii="Times New Roman" w:hAnsi="Times New Roman"/>
                <w:sz w:val="14"/>
              </w:rPr>
              <w:t>Single row removed.</w:t>
            </w:r>
          </w:p>
        </w:tc>
        <w:tc>
          <w:tcPr>
            <w:tcW w:type="dxa" w:w="3504"/>
            <w:vAlign w:val="center"/>
          </w:tcPr>
          <w:p>
            <w:pPr>
              <w:spacing w:after="0"/>
            </w:pPr>
            <w:r>
              <w:rPr>
                <w:rFonts w:ascii="Times New Roman" w:hAnsi="Times New Roman"/>
                <w:sz w:val="14"/>
              </w:rPr>
              <w:t>Extreme isolated value inconsistent with distribution.</w:t>
            </w:r>
          </w:p>
        </w:tc>
      </w:tr>
      <w:tr>
        <w:tc>
          <w:tcPr>
            <w:tcW w:type="dxa" w:w="3504"/>
            <w:vAlign w:val="center"/>
          </w:tcPr>
          <w:p>
            <w:pPr>
              <w:spacing w:after="0"/>
            </w:pPr>
            <w:r>
              <w:rPr>
                <w:rFonts w:ascii="Times New Roman" w:hAnsi="Times New Roman"/>
                <w:sz w:val="14"/>
              </w:rPr>
              <w:t>ADR = 0</w:t>
            </w:r>
          </w:p>
        </w:tc>
        <w:tc>
          <w:tcPr>
            <w:tcW w:type="dxa" w:w="3504"/>
            <w:vAlign w:val="center"/>
          </w:tcPr>
          <w:p>
            <w:pPr>
              <w:spacing w:after="0"/>
            </w:pPr>
            <w:r>
              <w:rPr>
                <w:rFonts w:ascii="Times New Roman" w:hAnsi="Times New Roman"/>
                <w:sz w:val="14"/>
              </w:rPr>
              <w:t>Kept and flagged.</w:t>
            </w:r>
          </w:p>
        </w:tc>
        <w:tc>
          <w:tcPr>
            <w:tcW w:type="dxa" w:w="3504"/>
            <w:vAlign w:val="center"/>
          </w:tcPr>
          <w:p>
            <w:pPr>
              <w:spacing w:after="0"/>
            </w:pPr>
            <w:r>
              <w:rPr>
                <w:rFonts w:ascii="Times New Roman" w:hAnsi="Times New Roman"/>
                <w:sz w:val="14"/>
              </w:rPr>
              <w:t>Can represent complimentary stays.</w:t>
            </w:r>
          </w:p>
        </w:tc>
      </w:tr>
      <w:tr>
        <w:tc>
          <w:tcPr>
            <w:tcW w:type="dxa" w:w="3504"/>
            <w:vAlign w:val="center"/>
          </w:tcPr>
          <w:p>
            <w:pPr>
              <w:spacing w:after="0"/>
            </w:pPr>
            <w:r>
              <w:rPr>
                <w:rFonts w:ascii="Times New Roman" w:hAnsi="Times New Roman"/>
                <w:sz w:val="14"/>
              </w:rPr>
              <w:t>Outcome leakage</w:t>
            </w:r>
          </w:p>
        </w:tc>
        <w:tc>
          <w:tcPr>
            <w:tcW w:type="dxa" w:w="3504"/>
            <w:vAlign w:val="center"/>
          </w:tcPr>
          <w:p>
            <w:pPr>
              <w:spacing w:after="0"/>
            </w:pPr>
            <w:r>
              <w:rPr>
                <w:rFonts w:ascii="Times New Roman" w:hAnsi="Times New Roman"/>
                <w:sz w:val="14"/>
              </w:rPr>
              <w:t>reservation_status and reservation_status_date dropped.</w:t>
            </w:r>
          </w:p>
        </w:tc>
        <w:tc>
          <w:tcPr>
            <w:tcW w:type="dxa" w:w="3504"/>
            <w:vAlign w:val="center"/>
          </w:tcPr>
          <w:p>
            <w:pPr>
              <w:spacing w:after="0"/>
            </w:pPr>
            <w:r>
              <w:rPr>
                <w:rFonts w:ascii="Times New Roman" w:hAnsi="Times New Roman"/>
                <w:sz w:val="14"/>
              </w:rPr>
              <w:t>They encode the outcome / its recording date.</w:t>
            </w:r>
          </w:p>
        </w:tc>
      </w:tr>
      <w:tr>
        <w:tc>
          <w:tcPr>
            <w:tcW w:type="dxa" w:w="3504"/>
            <w:vAlign w:val="center"/>
          </w:tcPr>
          <w:p>
            <w:pPr>
              <w:spacing w:after="0"/>
            </w:pPr>
            <w:r>
              <w:rPr>
                <w:rFonts w:ascii="Times New Roman" w:hAnsi="Times New Roman"/>
                <w:sz w:val="14"/>
              </w:rPr>
              <w:t>Near-arrival fields</w:t>
            </w:r>
          </w:p>
        </w:tc>
        <w:tc>
          <w:tcPr>
            <w:tcW w:type="dxa" w:w="3504"/>
            <w:vAlign w:val="center"/>
          </w:tcPr>
          <w:p>
            <w:pPr>
              <w:spacing w:after="0"/>
            </w:pPr>
            <w:r>
              <w:rPr>
                <w:rFonts w:ascii="Times New Roman" w:hAnsi="Times New Roman"/>
                <w:sz w:val="14"/>
              </w:rPr>
              <w:t>assigned_room_type, booking_changes, room_type_changed, parking, special requests.</w:t>
            </w:r>
          </w:p>
        </w:tc>
        <w:tc>
          <w:tcPr>
            <w:tcW w:type="dxa" w:w="3504"/>
            <w:vAlign w:val="center"/>
          </w:tcPr>
          <w:p>
            <w:pPr>
              <w:spacing w:after="0"/>
            </w:pPr>
            <w:r>
              <w:rPr>
                <w:rFonts w:ascii="Times New Roman" w:hAnsi="Times New Roman"/>
                <w:sz w:val="14"/>
              </w:rPr>
              <w:t>Not defensibly fixed at booking creation.</w:t>
            </w:r>
          </w:p>
        </w:tc>
      </w:tr>
      <w:tr>
        <w:tc>
          <w:tcPr>
            <w:tcW w:type="dxa" w:w="3504"/>
            <w:vAlign w:val="center"/>
          </w:tcPr>
          <w:p>
            <w:pPr>
              <w:spacing w:after="0"/>
            </w:pPr>
            <w:r>
              <w:rPr>
                <w:rFonts w:ascii="Times New Roman" w:hAnsi="Times New Roman"/>
                <w:sz w:val="14"/>
              </w:rPr>
              <w:t>External weather/Trends</w:t>
            </w:r>
          </w:p>
        </w:tc>
        <w:tc>
          <w:tcPr>
            <w:tcW w:type="dxa" w:w="3504"/>
            <w:vAlign w:val="center"/>
          </w:tcPr>
          <w:p>
            <w:pPr>
              <w:spacing w:after="0"/>
            </w:pPr>
            <w:r>
              <w:rPr>
                <w:rFonts w:ascii="Times New Roman" w:hAnsi="Times New Roman"/>
                <w:sz w:val="14"/>
              </w:rPr>
              <w:t>Not included because source files were not supplied.</w:t>
            </w:r>
          </w:p>
        </w:tc>
        <w:tc>
          <w:tcPr>
            <w:tcW w:type="dxa" w:w="3504"/>
            <w:vAlign w:val="center"/>
          </w:tcPr>
          <w:p>
            <w:pPr>
              <w:spacing w:after="0"/>
            </w:pPr>
            <w:r>
              <w:rPr>
                <w:rFonts w:ascii="Times New Roman" w:hAnsi="Times New Roman"/>
                <w:sz w:val="14"/>
              </w:rPr>
              <w:t>No fabricated values; loaders remain in code.</w:t>
            </w:r>
          </w:p>
        </w:tc>
      </w:tr>
    </w:tbl>
    <w:p>
      <w:pPr>
        <w:pStyle w:val="Heading1"/>
        <w:spacing w:before="60" w:after="60"/>
      </w:pPr>
      <w:r>
        <w:t>4. What changed in the correction pass</w:t>
      </w:r>
    </w:p>
    <w:p>
      <w:pPr>
        <w:spacing w:after="60" w:line="240" w:lineRule="auto"/>
        <w:jc w:val="both"/>
      </w:pPr>
      <w:r>
        <w:rPr>
          <w:rFonts w:ascii="Times New Roman" w:hAnsi="Times New Roman"/>
          <w:sz w:val="18"/>
        </w:rPr>
        <w:t>The primary correction is conceptual rather than cosmetic: required_car_parking_spaces and total_of_special_requests are no longer allowed into the booking-time model. In the cleaned data, every booking with at least one parking space was a completed stay, and cancellation falls as special requests accumulate. These are strong outcome-linked signals. Keeping them in the early model would therefore inflate performance and distort downstream policy decisions.</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Pr>
                <w:rFonts w:ascii="Times New Roman" w:hAnsi="Times New Roman"/>
                <w:b/>
                <w:sz w:val="14"/>
              </w:rPr>
              <w:t>Statistic</w:t>
            </w:r>
          </w:p>
        </w:tc>
        <w:tc>
          <w:tcPr>
            <w:tcW w:type="dxa" w:w="5256"/>
            <w:vAlign w:val="center"/>
          </w:tcPr>
          <w:p>
            <w:r>
              <w:rPr>
                <w:rFonts w:ascii="Times New Roman" w:hAnsi="Times New Roman"/>
                <w:b/>
                <w:sz w:val="14"/>
              </w:rPr>
              <w:t>Result</w:t>
            </w:r>
          </w:p>
        </w:tc>
      </w:tr>
      <w:tr>
        <w:tc>
          <w:tcPr>
            <w:tcW w:type="dxa" w:w="5256"/>
            <w:vAlign w:val="center"/>
          </w:tcPr>
          <w:p>
            <w:pPr>
              <w:spacing w:after="0"/>
            </w:pPr>
            <w:r>
              <w:rPr>
                <w:rFonts w:ascii="Times New Roman" w:hAnsi="Times New Roman"/>
                <w:sz w:val="14"/>
              </w:rPr>
              <w:t>Raw City Hotel rows</w:t>
            </w:r>
          </w:p>
        </w:tc>
        <w:tc>
          <w:tcPr>
            <w:tcW w:type="dxa" w:w="5256"/>
            <w:vAlign w:val="center"/>
          </w:tcPr>
          <w:p>
            <w:pPr>
              <w:spacing w:after="0"/>
            </w:pPr>
            <w:r>
              <w:rPr>
                <w:rFonts w:ascii="Times New Roman" w:hAnsi="Times New Roman"/>
                <w:sz w:val="14"/>
              </w:rPr>
              <w:t>79,330</w:t>
            </w:r>
          </w:p>
        </w:tc>
      </w:tr>
      <w:tr>
        <w:tc>
          <w:tcPr>
            <w:tcW w:type="dxa" w:w="5256"/>
            <w:vAlign w:val="center"/>
          </w:tcPr>
          <w:p>
            <w:pPr>
              <w:spacing w:after="0"/>
            </w:pPr>
            <w:r>
              <w:rPr>
                <w:rFonts w:ascii="Times New Roman" w:hAnsi="Times New Roman"/>
                <w:sz w:val="14"/>
              </w:rPr>
              <w:t>Clean main rows</w:t>
            </w:r>
          </w:p>
        </w:tc>
        <w:tc>
          <w:tcPr>
            <w:tcW w:type="dxa" w:w="5256"/>
            <w:vAlign w:val="center"/>
          </w:tcPr>
          <w:p>
            <w:pPr>
              <w:spacing w:after="0"/>
            </w:pPr>
            <w:r>
              <w:rPr>
                <w:rFonts w:ascii="Times New Roman" w:hAnsi="Times New Roman"/>
                <w:sz w:val="14"/>
              </w:rPr>
              <w:t>53,273</w:t>
            </w:r>
          </w:p>
        </w:tc>
      </w:tr>
      <w:tr>
        <w:tc>
          <w:tcPr>
            <w:tcW w:type="dxa" w:w="5256"/>
            <w:vAlign w:val="center"/>
          </w:tcPr>
          <w:p>
            <w:pPr>
              <w:spacing w:after="0"/>
            </w:pPr>
            <w:r>
              <w:rPr>
                <w:rFonts w:ascii="Times New Roman" w:hAnsi="Times New Roman"/>
                <w:sz w:val="14"/>
              </w:rPr>
              <w:t>Raw/uncleaned cancellation rate</w:t>
            </w:r>
          </w:p>
        </w:tc>
        <w:tc>
          <w:tcPr>
            <w:tcW w:type="dxa" w:w="5256"/>
            <w:vAlign w:val="center"/>
          </w:tcPr>
          <w:p>
            <w:pPr>
              <w:spacing w:after="0"/>
            </w:pPr>
            <w:r>
              <w:rPr>
                <w:rFonts w:ascii="Times New Roman" w:hAnsi="Times New Roman"/>
                <w:sz w:val="14"/>
              </w:rPr>
              <w:t>41.8%</w:t>
            </w:r>
          </w:p>
        </w:tc>
      </w:tr>
      <w:tr>
        <w:tc>
          <w:tcPr>
            <w:tcW w:type="dxa" w:w="5256"/>
            <w:vAlign w:val="center"/>
          </w:tcPr>
          <w:p>
            <w:pPr>
              <w:spacing w:after="0"/>
            </w:pPr>
            <w:r>
              <w:rPr>
                <w:rFonts w:ascii="Times New Roman" w:hAnsi="Times New Roman"/>
                <w:sz w:val="14"/>
              </w:rPr>
              <w:t>Main cleaned cancellation rate</w:t>
            </w:r>
          </w:p>
        </w:tc>
        <w:tc>
          <w:tcPr>
            <w:tcW w:type="dxa" w:w="5256"/>
            <w:vAlign w:val="center"/>
          </w:tcPr>
          <w:p>
            <w:pPr>
              <w:spacing w:after="0"/>
            </w:pPr>
            <w:r>
              <w:rPr>
                <w:rFonts w:ascii="Times New Roman" w:hAnsi="Times New Roman"/>
                <w:sz w:val="14"/>
              </w:rPr>
              <w:t>30.1%</w:t>
            </w:r>
          </w:p>
        </w:tc>
      </w:tr>
      <w:tr>
        <w:tc>
          <w:tcPr>
            <w:tcW w:type="dxa" w:w="5256"/>
            <w:vAlign w:val="center"/>
          </w:tcPr>
          <w:p>
            <w:pPr>
              <w:spacing w:after="0"/>
            </w:pPr>
            <w:r>
              <w:rPr>
                <w:rFonts w:ascii="Times New Roman" w:hAnsi="Times New Roman"/>
                <w:sz w:val="14"/>
              </w:rPr>
              <w:t>Final test cancellation rate</w:t>
            </w:r>
          </w:p>
        </w:tc>
        <w:tc>
          <w:tcPr>
            <w:tcW w:type="dxa" w:w="5256"/>
            <w:vAlign w:val="center"/>
          </w:tcPr>
          <w:p>
            <w:pPr>
              <w:spacing w:after="0"/>
            </w:pPr>
            <w:r>
              <w:rPr>
                <w:rFonts w:ascii="Times New Roman" w:hAnsi="Times New Roman"/>
                <w:sz w:val="14"/>
              </w:rPr>
              <w:t>28.2%</w:t>
            </w:r>
          </w:p>
        </w:tc>
      </w:tr>
      <w:tr>
        <w:tc>
          <w:tcPr>
            <w:tcW w:type="dxa" w:w="5256"/>
            <w:vAlign w:val="center"/>
          </w:tcPr>
          <w:p>
            <w:pPr>
              <w:spacing w:after="0"/>
            </w:pPr>
            <w:r>
              <w:rPr>
                <w:rFonts w:ascii="Times New Roman" w:hAnsi="Times New Roman"/>
                <w:sz w:val="14"/>
              </w:rPr>
              <w:t>Non-Refund rows</w:t>
            </w:r>
          </w:p>
        </w:tc>
        <w:tc>
          <w:tcPr>
            <w:tcW w:type="dxa" w:w="5256"/>
            <w:vAlign w:val="center"/>
          </w:tcPr>
          <w:p>
            <w:pPr>
              <w:spacing w:after="0"/>
            </w:pPr>
            <w:r>
              <w:rPr>
                <w:rFonts w:ascii="Times New Roman" w:hAnsi="Times New Roman"/>
                <w:sz w:val="14"/>
              </w:rPr>
              <w:t>844</w:t>
            </w:r>
          </w:p>
        </w:tc>
      </w:tr>
      <w:tr>
        <w:tc>
          <w:tcPr>
            <w:tcW w:type="dxa" w:w="5256"/>
            <w:vAlign w:val="center"/>
          </w:tcPr>
          <w:p>
            <w:pPr>
              <w:spacing w:after="0"/>
            </w:pPr>
            <w:r>
              <w:rPr>
                <w:rFonts w:ascii="Times New Roman" w:hAnsi="Times New Roman"/>
                <w:sz w:val="14"/>
              </w:rPr>
              <w:t>Non-Refund cancellation rate</w:t>
            </w:r>
          </w:p>
        </w:tc>
        <w:tc>
          <w:tcPr>
            <w:tcW w:type="dxa" w:w="5256"/>
            <w:vAlign w:val="center"/>
          </w:tcPr>
          <w:p>
            <w:pPr>
              <w:spacing w:after="0"/>
            </w:pPr>
            <w:r>
              <w:rPr>
                <w:rFonts w:ascii="Times New Roman" w:hAnsi="Times New Roman"/>
                <w:sz w:val="14"/>
              </w:rPr>
              <w:t>97.2%</w:t>
            </w:r>
          </w:p>
        </w:tc>
      </w:tr>
    </w:tbl>
    <w:p>
      <w:pPr>
        <w:spacing w:after="60" w:line="240" w:lineRule="auto"/>
        <w:jc w:val="both"/>
      </w:pPr>
      <w:r>
        <w:rPr>
          <w:rFonts w:ascii="Times New Roman" w:hAnsi="Times New Roman"/>
          <w:sz w:val="18"/>
        </w:rPr>
        <w:t>The 41.8% → 30.1% change is discussed explicitly because it affects every rate, model split and downstream policy statistic. The Non-Refund result is also hedged: 844 rows is a small process-specific slice relative to the full 53,273-row cleaned population, and the project treats it as evidence of process mechanics, not a universal guest-behaviour law.</w:t>
      </w:r>
    </w:p>
    <w:p>
      <w:pPr>
        <w:pStyle w:val="Heading1"/>
        <w:spacing w:before="60" w:after="60"/>
      </w:pPr>
      <w:r>
        <w:t>5. Reproducibility status</w:t>
      </w:r>
    </w:p>
    <w:p>
      <w:pPr>
        <w:spacing w:after="60" w:line="240" w:lineRule="auto"/>
        <w:jc w:val="both"/>
      </w:pPr>
      <w:r>
        <w:rPr>
          <w:rFonts w:ascii="Times New Roman" w:hAnsi="Times New Roman"/>
          <w:sz w:val="18"/>
        </w:rPr>
        <w:t>A self-contained Portugal-holiday calendar is included for the supplied period. The weather loader accepts a daily Open-Meteo-style export and the Trends loader accepts standard weekly Google Trends exports, joining only the last fully completed Sunday-started week before the booking date. Because those two files were not supplied, no weather or search-index values appear in the final model.</w:t>
      </w:r>
    </w:p>
    <w:p>
      <w:pPr>
        <w:spacing w:after="20"/>
        <w:jc w:val="center"/>
      </w:pPr>
      <w:r>
        <w:drawing>
          <wp:inline xmlns:a="http://schemas.openxmlformats.org/drawingml/2006/main" xmlns:pic="http://schemas.openxmlformats.org/drawingml/2006/picture">
            <wp:extent cx="5303520" cy="1237488"/>
            <wp:docPr id="1" name="Picture 1"/>
            <wp:cNvGraphicFramePr>
              <a:graphicFrameLocks noChangeAspect="1"/>
            </wp:cNvGraphicFramePr>
            <a:graphic>
              <a:graphicData uri="http://schemas.openxmlformats.org/drawingml/2006/picture">
                <pic:pic>
                  <pic:nvPicPr>
                    <pic:cNvPr id="0" name="01_audit_clean_features_flow.png"/>
                    <pic:cNvPicPr/>
                  </pic:nvPicPr>
                  <pic:blipFill>
                    <a:blip r:embed="rId10"/>
                    <a:stretch>
                      <a:fillRect/>
                    </a:stretch>
                  </pic:blipFill>
                  <pic:spPr>
                    <a:xfrm>
                      <a:off x="0" y="0"/>
                      <a:ext cx="5303520" cy="1237488"/>
                    </a:xfrm>
                    <a:prstGeom prst="rect"/>
                  </pic:spPr>
                </pic:pic>
              </a:graphicData>
            </a:graphic>
          </wp:inline>
        </w:drawing>
      </w:r>
    </w:p>
    <w:p>
      <w:pPr>
        <w:spacing w:after="60" w:line="240" w:lineRule="auto"/>
        <w:jc w:val="center"/>
      </w:pPr>
      <w:r>
        <w:rPr>
          <w:rFonts w:ascii="Times New Roman" w:hAnsi="Times New Roman"/>
          <w:sz w:val="14"/>
        </w:rPr>
        <w:t>Figure 1. Reproducible pipeline: raw booking data → audit/cleaning → EDA → time-split model → policy simulation → QA.</w:t>
      </w:r>
    </w:p>
    <w:p>
      <w:r>
        <w:br w:type="page"/>
      </w:r>
    </w:p>
    <w:p>
      <w:pPr>
        <w:pStyle w:val="Heading1"/>
        <w:spacing w:before="60" w:after="60"/>
      </w:pPr>
      <w:r>
        <w:t>6. Exploratory evidence</w:t>
      </w:r>
    </w:p>
    <w:p>
      <w:pPr>
        <w:spacing w:after="20"/>
        <w:jc w:val="center"/>
      </w:pPr>
      <w:r>
        <w:drawing>
          <wp:inline xmlns:a="http://schemas.openxmlformats.org/drawingml/2006/main" xmlns:pic="http://schemas.openxmlformats.org/drawingml/2006/picture">
            <wp:extent cx="5715000" cy="3429000"/>
            <wp:docPr id="2" name="Picture 2"/>
            <wp:cNvGraphicFramePr>
              <a:graphicFrameLocks noChangeAspect="1"/>
            </wp:cNvGraphicFramePr>
            <a:graphic>
              <a:graphicData uri="http://schemas.openxmlformats.org/drawingml/2006/picture">
                <pic:pic>
                  <pic:nvPicPr>
                    <pic:cNvPr id="0" name="01_cancel_by_lead_time.png"/>
                    <pic:cNvPicPr/>
                  </pic:nvPicPr>
                  <pic:blipFill>
                    <a:blip r:embed="rId11"/>
                    <a:stretch>
                      <a:fillRect/>
                    </a:stretch>
                  </pic:blipFill>
                  <pic:spPr>
                    <a:xfrm>
                      <a:off x="0" y="0"/>
                      <a:ext cx="5715000" cy="3429000"/>
                    </a:xfrm>
                    <a:prstGeom prst="rect"/>
                  </pic:spPr>
                </pic:pic>
              </a:graphicData>
            </a:graphic>
          </wp:inline>
        </w:drawing>
      </w:r>
    </w:p>
    <w:p>
      <w:pPr>
        <w:spacing w:after="60" w:line="240" w:lineRule="auto"/>
        <w:jc w:val="center"/>
      </w:pPr>
      <w:r>
        <w:rPr>
          <w:rFonts w:ascii="Times New Roman" w:hAnsi="Times New Roman"/>
          <w:sz w:val="14"/>
        </w:rPr>
        <w:t>Figure 2. Cancellation increases materially with longer lead time; bins are descriptive, not causal.</w:t>
      </w:r>
    </w:p>
    <w:p>
      <w:pPr>
        <w:spacing w:after="20"/>
        <w:jc w:val="center"/>
      </w:pPr>
      <w:r>
        <w:drawing>
          <wp:inline xmlns:a="http://schemas.openxmlformats.org/drawingml/2006/main" xmlns:pic="http://schemas.openxmlformats.org/drawingml/2006/picture">
            <wp:extent cx="5394960" cy="4046220"/>
            <wp:docPr id="3" name="Picture 3"/>
            <wp:cNvGraphicFramePr>
              <a:graphicFrameLocks noChangeAspect="1"/>
            </wp:cNvGraphicFramePr>
            <a:graphic>
              <a:graphicData uri="http://schemas.openxmlformats.org/drawingml/2006/picture">
                <pic:pic>
                  <pic:nvPicPr>
                    <pic:cNvPr id="0" name="02_cancel_by_deposit_type.png"/>
                    <pic:cNvPicPr/>
                  </pic:nvPicPr>
                  <pic:blipFill>
                    <a:blip r:embed="rId12"/>
                    <a:stretch>
                      <a:fillRect/>
                    </a:stretch>
                  </pic:blipFill>
                  <pic:spPr>
                    <a:xfrm>
                      <a:off x="0" y="0"/>
                      <a:ext cx="5394960" cy="4046220"/>
                    </a:xfrm>
                    <a:prstGeom prst="rect"/>
                  </pic:spPr>
                </pic:pic>
              </a:graphicData>
            </a:graphic>
          </wp:inline>
        </w:drawing>
      </w:r>
    </w:p>
    <w:p>
      <w:pPr>
        <w:spacing w:after="60" w:line="240" w:lineRule="auto"/>
        <w:jc w:val="center"/>
      </w:pPr>
      <w:r>
        <w:rPr>
          <w:rFonts w:ascii="Times New Roman" w:hAnsi="Times New Roman"/>
          <w:sz w:val="14"/>
        </w:rPr>
        <w:t>Figure 3. Deposit type is strongly associated with cancellation, but Non-Refund is treated as a process/channel effect.</w:t>
      </w:r>
    </w:p>
    <w:p>
      <w:pPr>
        <w:spacing w:after="20"/>
        <w:jc w:val="center"/>
      </w:pPr>
      <w:r>
        <w:drawing>
          <wp:inline xmlns:a="http://schemas.openxmlformats.org/drawingml/2006/main" xmlns:pic="http://schemas.openxmlformats.org/drawingml/2006/picture">
            <wp:extent cx="5394960" cy="3236976"/>
            <wp:docPr id="4" name="Picture 4"/>
            <wp:cNvGraphicFramePr>
              <a:graphicFrameLocks noChangeAspect="1"/>
            </wp:cNvGraphicFramePr>
            <a:graphic>
              <a:graphicData uri="http://schemas.openxmlformats.org/drawingml/2006/picture">
                <pic:pic>
                  <pic:nvPicPr>
                    <pic:cNvPr id="0" name="03_cancel_by_segment.png"/>
                    <pic:cNvPicPr/>
                  </pic:nvPicPr>
                  <pic:blipFill>
                    <a:blip r:embed="rId13"/>
                    <a:stretch>
                      <a:fillRect/>
                    </a:stretch>
                  </pic:blipFill>
                  <pic:spPr>
                    <a:xfrm>
                      <a:off x="0" y="0"/>
                      <a:ext cx="5394960" cy="3236976"/>
                    </a:xfrm>
                    <a:prstGeom prst="rect"/>
                  </pic:spPr>
                </pic:pic>
              </a:graphicData>
            </a:graphic>
          </wp:inline>
        </w:drawing>
      </w:r>
    </w:p>
    <w:p>
      <w:pPr>
        <w:spacing w:after="60" w:line="240" w:lineRule="auto"/>
        <w:jc w:val="center"/>
      </w:pPr>
      <w:r>
        <w:rPr>
          <w:rFonts w:ascii="Times New Roman" w:hAnsi="Times New Roman"/>
          <w:sz w:val="14"/>
        </w:rPr>
        <w:t>Figure 4. Market segment differences motivate explicit policy exclusions and monitoring.</w:t>
      </w:r>
    </w:p>
    <w:p>
      <w:pPr>
        <w:spacing w:after="60" w:line="240" w:lineRule="auto"/>
        <w:jc w:val="both"/>
      </w:pPr>
      <w:r>
        <w:rPr>
          <w:rFonts w:ascii="Times New Roman" w:hAnsi="Times New Roman"/>
          <w:sz w:val="18"/>
        </w:rPr>
        <w:t>Seasonality is descriptive rather than a claim of monotonic change: the source period contains only Jul–Dec 2015 and Jan–Aug 2017, so month-by-month year comparisons are incomplete. Holiday proximity is used as a calendar feature, not as a causal explanation. The absence of external weather and search data means those potential drivers are documented limitations rather than silently imputed signals.</w:t>
      </w:r>
    </w:p>
    <w:p>
      <w:r>
        <w:br w:type="page"/>
      </w:r>
    </w:p>
    <w:p>
      <w:pPr>
        <w:pStyle w:val="Heading1"/>
        <w:spacing w:before="60" w:after="60"/>
      </w:pPr>
      <w:r>
        <w:t>7. Model performance and calibration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tcPr>
          <w:p>
            <w:r>
              <w:rPr>
                <w:rFonts w:ascii="Times New Roman" w:hAnsi="Times New Roman"/>
                <w:b/>
                <w:sz w:val="14"/>
              </w:rPr>
              <w:t>Model</w:t>
            </w:r>
          </w:p>
        </w:tc>
        <w:tc>
          <w:tcPr>
            <w:tcW w:type="dxa" w:w="1752"/>
            <w:vAlign w:val="center"/>
          </w:tcPr>
          <w:p>
            <w:r>
              <w:rPr>
                <w:rFonts w:ascii="Times New Roman" w:hAnsi="Times New Roman"/>
                <w:b/>
                <w:sz w:val="14"/>
              </w:rPr>
              <w:t>Info set</w:t>
            </w:r>
          </w:p>
        </w:tc>
        <w:tc>
          <w:tcPr>
            <w:tcW w:type="dxa" w:w="1752"/>
            <w:vAlign w:val="center"/>
          </w:tcPr>
          <w:p>
            <w:r>
              <w:rPr>
                <w:rFonts w:ascii="Times New Roman" w:hAnsi="Times New Roman"/>
                <w:b/>
                <w:sz w:val="14"/>
              </w:rPr>
              <w:t>AUC</w:t>
            </w:r>
          </w:p>
        </w:tc>
        <w:tc>
          <w:tcPr>
            <w:tcW w:type="dxa" w:w="1752"/>
            <w:vAlign w:val="center"/>
          </w:tcPr>
          <w:p>
            <w:r>
              <w:rPr>
                <w:rFonts w:ascii="Times New Roman" w:hAnsi="Times New Roman"/>
                <w:b/>
                <w:sz w:val="14"/>
              </w:rPr>
              <w:t>AP</w:t>
            </w:r>
          </w:p>
        </w:tc>
        <w:tc>
          <w:tcPr>
            <w:tcW w:type="dxa" w:w="1752"/>
            <w:vAlign w:val="center"/>
          </w:tcPr>
          <w:p>
            <w:r>
              <w:rPr>
                <w:rFonts w:ascii="Times New Roman" w:hAnsi="Times New Roman"/>
                <w:b/>
                <w:sz w:val="14"/>
              </w:rPr>
              <w:t>Brier</w:t>
            </w:r>
          </w:p>
        </w:tc>
        <w:tc>
          <w:tcPr>
            <w:tcW w:type="dxa" w:w="1752"/>
            <w:vAlign w:val="center"/>
          </w:tcPr>
          <w:p>
            <w:r>
              <w:rPr>
                <w:rFonts w:ascii="Times New Roman" w:hAnsi="Times New Roman"/>
                <w:b/>
                <w:sz w:val="14"/>
              </w:rPr>
              <w:t>ECE10</w:t>
            </w:r>
          </w:p>
        </w:tc>
      </w:tr>
      <w:tr>
        <w:tc>
          <w:tcPr>
            <w:tcW w:type="dxa" w:w="1752"/>
            <w:vAlign w:val="center"/>
          </w:tcPr>
          <w:p>
            <w:pPr>
              <w:spacing w:after="0"/>
            </w:pPr>
            <w:r>
              <w:rPr>
                <w:rFonts w:ascii="Times New Roman" w:hAnsi="Times New Roman"/>
                <w:sz w:val="14"/>
              </w:rPr>
              <w:t>Logistic regression</w:t>
            </w:r>
          </w:p>
        </w:tc>
        <w:tc>
          <w:tcPr>
            <w:tcW w:type="dxa" w:w="1752"/>
            <w:vAlign w:val="center"/>
          </w:tcPr>
          <w:p>
            <w:pPr>
              <w:spacing w:after="0"/>
            </w:pPr>
            <w:r>
              <w:rPr>
                <w:rFonts w:ascii="Times New Roman" w:hAnsi="Times New Roman"/>
                <w:sz w:val="14"/>
              </w:rPr>
              <w:t>Booking time</w:t>
            </w:r>
          </w:p>
        </w:tc>
        <w:tc>
          <w:tcPr>
            <w:tcW w:type="dxa" w:w="1752"/>
            <w:vAlign w:val="center"/>
          </w:tcPr>
          <w:p>
            <w:pPr>
              <w:spacing w:after="0"/>
            </w:pPr>
            <w:r>
              <w:rPr>
                <w:rFonts w:ascii="Times New Roman" w:hAnsi="Times New Roman"/>
                <w:sz w:val="14"/>
              </w:rPr>
              <w:t>0.723</w:t>
            </w:r>
          </w:p>
        </w:tc>
        <w:tc>
          <w:tcPr>
            <w:tcW w:type="dxa" w:w="1752"/>
            <w:vAlign w:val="center"/>
          </w:tcPr>
          <w:p>
            <w:pPr>
              <w:spacing w:after="0"/>
            </w:pPr>
            <w:r>
              <w:rPr>
                <w:rFonts w:ascii="Times New Roman" w:hAnsi="Times New Roman"/>
                <w:sz w:val="14"/>
              </w:rPr>
              <w:t>0.509</w:t>
            </w:r>
          </w:p>
        </w:tc>
        <w:tc>
          <w:tcPr>
            <w:tcW w:type="dxa" w:w="1752"/>
            <w:vAlign w:val="center"/>
          </w:tcPr>
          <w:p>
            <w:pPr>
              <w:spacing w:after="0"/>
            </w:pPr>
            <w:r>
              <w:rPr>
                <w:rFonts w:ascii="Times New Roman" w:hAnsi="Times New Roman"/>
                <w:sz w:val="14"/>
              </w:rPr>
              <w:t>0.177</w:t>
            </w:r>
          </w:p>
        </w:tc>
        <w:tc>
          <w:tcPr>
            <w:tcW w:type="dxa" w:w="1752"/>
            <w:vAlign w:val="center"/>
          </w:tcPr>
          <w:p>
            <w:pPr>
              <w:spacing w:after="0"/>
            </w:pPr>
            <w:r>
              <w:rPr>
                <w:rFonts w:ascii="Times New Roman" w:hAnsi="Times New Roman"/>
                <w:sz w:val="14"/>
              </w:rPr>
              <w:t>0.022</w:t>
            </w:r>
          </w:p>
        </w:tc>
      </w:tr>
      <w:tr>
        <w:tc>
          <w:tcPr>
            <w:tcW w:type="dxa" w:w="1752"/>
            <w:vAlign w:val="center"/>
          </w:tcPr>
          <w:p>
            <w:pPr>
              <w:spacing w:after="0"/>
            </w:pPr>
            <w:r>
              <w:rPr>
                <w:rFonts w:ascii="Times New Roman" w:hAnsi="Times New Roman"/>
                <w:sz w:val="14"/>
              </w:rPr>
              <w:t>Gradient boosting</w:t>
            </w:r>
          </w:p>
        </w:tc>
        <w:tc>
          <w:tcPr>
            <w:tcW w:type="dxa" w:w="1752"/>
            <w:vAlign w:val="center"/>
          </w:tcPr>
          <w:p>
            <w:pPr>
              <w:spacing w:after="0"/>
            </w:pPr>
            <w:r>
              <w:rPr>
                <w:rFonts w:ascii="Times New Roman" w:hAnsi="Times New Roman"/>
                <w:sz w:val="14"/>
              </w:rPr>
              <w:t>Booking time</w:t>
            </w:r>
          </w:p>
        </w:tc>
        <w:tc>
          <w:tcPr>
            <w:tcW w:type="dxa" w:w="1752"/>
            <w:vAlign w:val="center"/>
          </w:tcPr>
          <w:p>
            <w:pPr>
              <w:spacing w:after="0"/>
            </w:pPr>
            <w:r>
              <w:rPr>
                <w:rFonts w:ascii="Times New Roman" w:hAnsi="Times New Roman"/>
                <w:sz w:val="14"/>
              </w:rPr>
              <w:t>0.769</w:t>
            </w:r>
          </w:p>
        </w:tc>
        <w:tc>
          <w:tcPr>
            <w:tcW w:type="dxa" w:w="1752"/>
            <w:vAlign w:val="center"/>
          </w:tcPr>
          <w:p>
            <w:pPr>
              <w:spacing w:after="0"/>
            </w:pPr>
            <w:r>
              <w:rPr>
                <w:rFonts w:ascii="Times New Roman" w:hAnsi="Times New Roman"/>
                <w:sz w:val="14"/>
              </w:rPr>
              <w:t>0.524</w:t>
            </w:r>
          </w:p>
        </w:tc>
        <w:tc>
          <w:tcPr>
            <w:tcW w:type="dxa" w:w="1752"/>
            <w:vAlign w:val="center"/>
          </w:tcPr>
          <w:p>
            <w:pPr>
              <w:spacing w:after="0"/>
            </w:pPr>
            <w:r>
              <w:rPr>
                <w:rFonts w:ascii="Times New Roman" w:hAnsi="Times New Roman"/>
                <w:sz w:val="14"/>
              </w:rPr>
              <w:t>0.165</w:t>
            </w:r>
          </w:p>
        </w:tc>
        <w:tc>
          <w:tcPr>
            <w:tcW w:type="dxa" w:w="1752"/>
            <w:vAlign w:val="center"/>
          </w:tcPr>
          <w:p>
            <w:pPr>
              <w:spacing w:after="0"/>
            </w:pPr>
            <w:r>
              <w:rPr>
                <w:rFonts w:ascii="Times New Roman" w:hAnsi="Times New Roman"/>
                <w:sz w:val="14"/>
              </w:rPr>
              <w:t>0.011</w:t>
            </w:r>
          </w:p>
        </w:tc>
      </w:tr>
      <w:tr>
        <w:tc>
          <w:tcPr>
            <w:tcW w:type="dxa" w:w="1752"/>
            <w:vAlign w:val="center"/>
          </w:tcPr>
          <w:p>
            <w:pPr>
              <w:spacing w:after="0"/>
            </w:pPr>
            <w:r>
              <w:rPr>
                <w:rFonts w:ascii="Times New Roman" w:hAnsi="Times New Roman"/>
                <w:sz w:val="14"/>
              </w:rPr>
              <w:t>Logistic regression</w:t>
            </w:r>
          </w:p>
        </w:tc>
        <w:tc>
          <w:tcPr>
            <w:tcW w:type="dxa" w:w="1752"/>
            <w:vAlign w:val="center"/>
          </w:tcPr>
          <w:p>
            <w:pPr>
              <w:spacing w:after="0"/>
            </w:pPr>
            <w:r>
              <w:rPr>
                <w:rFonts w:ascii="Times New Roman" w:hAnsi="Times New Roman"/>
                <w:sz w:val="14"/>
              </w:rPr>
              <w:t>Near arrival</w:t>
            </w:r>
          </w:p>
        </w:tc>
        <w:tc>
          <w:tcPr>
            <w:tcW w:type="dxa" w:w="1752"/>
            <w:vAlign w:val="center"/>
          </w:tcPr>
          <w:p>
            <w:pPr>
              <w:spacing w:after="0"/>
            </w:pPr>
            <w:r>
              <w:rPr>
                <w:rFonts w:ascii="Times New Roman" w:hAnsi="Times New Roman"/>
                <w:sz w:val="14"/>
              </w:rPr>
              <w:t>0.767</w:t>
            </w:r>
          </w:p>
        </w:tc>
        <w:tc>
          <w:tcPr>
            <w:tcW w:type="dxa" w:w="1752"/>
            <w:vAlign w:val="center"/>
          </w:tcPr>
          <w:p>
            <w:pPr>
              <w:spacing w:after="0"/>
            </w:pPr>
            <w:r>
              <w:rPr>
                <w:rFonts w:ascii="Times New Roman" w:hAnsi="Times New Roman"/>
                <w:sz w:val="14"/>
              </w:rPr>
              <w:t>0.573</w:t>
            </w:r>
          </w:p>
        </w:tc>
        <w:tc>
          <w:tcPr>
            <w:tcW w:type="dxa" w:w="1752"/>
            <w:vAlign w:val="center"/>
          </w:tcPr>
          <w:p>
            <w:pPr>
              <w:spacing w:after="0"/>
            </w:pPr>
            <w:r>
              <w:rPr>
                <w:rFonts w:ascii="Times New Roman" w:hAnsi="Times New Roman"/>
                <w:sz w:val="14"/>
              </w:rPr>
              <w:t>0.165</w:t>
            </w:r>
          </w:p>
        </w:tc>
        <w:tc>
          <w:tcPr>
            <w:tcW w:type="dxa" w:w="1752"/>
            <w:vAlign w:val="center"/>
          </w:tcPr>
          <w:p>
            <w:pPr>
              <w:spacing w:after="0"/>
            </w:pPr>
            <w:r>
              <w:rPr>
                <w:rFonts w:ascii="Times New Roman" w:hAnsi="Times New Roman"/>
                <w:sz w:val="14"/>
              </w:rPr>
              <w:t>0.015</w:t>
            </w:r>
          </w:p>
        </w:tc>
      </w:tr>
      <w:tr>
        <w:tc>
          <w:tcPr>
            <w:tcW w:type="dxa" w:w="1752"/>
            <w:vAlign w:val="center"/>
          </w:tcPr>
          <w:p>
            <w:pPr>
              <w:spacing w:after="0"/>
            </w:pPr>
            <w:r>
              <w:rPr>
                <w:rFonts w:ascii="Times New Roman" w:hAnsi="Times New Roman"/>
                <w:sz w:val="14"/>
              </w:rPr>
              <w:t>Gradient boosting</w:t>
            </w:r>
          </w:p>
        </w:tc>
        <w:tc>
          <w:tcPr>
            <w:tcW w:type="dxa" w:w="1752"/>
            <w:vAlign w:val="center"/>
          </w:tcPr>
          <w:p>
            <w:pPr>
              <w:spacing w:after="0"/>
            </w:pPr>
            <w:r>
              <w:rPr>
                <w:rFonts w:ascii="Times New Roman" w:hAnsi="Times New Roman"/>
                <w:sz w:val="14"/>
              </w:rPr>
              <w:t>Near arrival</w:t>
            </w:r>
          </w:p>
        </w:tc>
        <w:tc>
          <w:tcPr>
            <w:tcW w:type="dxa" w:w="1752"/>
            <w:vAlign w:val="center"/>
          </w:tcPr>
          <w:p>
            <w:pPr>
              <w:spacing w:after="0"/>
            </w:pPr>
            <w:r>
              <w:rPr>
                <w:rFonts w:ascii="Times New Roman" w:hAnsi="Times New Roman"/>
                <w:sz w:val="14"/>
              </w:rPr>
              <w:t>0.801</w:t>
            </w:r>
          </w:p>
        </w:tc>
        <w:tc>
          <w:tcPr>
            <w:tcW w:type="dxa" w:w="1752"/>
            <w:vAlign w:val="center"/>
          </w:tcPr>
          <w:p>
            <w:pPr>
              <w:spacing w:after="0"/>
            </w:pPr>
            <w:r>
              <w:rPr>
                <w:rFonts w:ascii="Times New Roman" w:hAnsi="Times New Roman"/>
                <w:sz w:val="14"/>
              </w:rPr>
              <w:t>0.577</w:t>
            </w:r>
          </w:p>
        </w:tc>
        <w:tc>
          <w:tcPr>
            <w:tcW w:type="dxa" w:w="1752"/>
            <w:vAlign w:val="center"/>
          </w:tcPr>
          <w:p>
            <w:pPr>
              <w:spacing w:after="0"/>
            </w:pPr>
            <w:r>
              <w:rPr>
                <w:rFonts w:ascii="Times New Roman" w:hAnsi="Times New Roman"/>
                <w:sz w:val="14"/>
              </w:rPr>
              <w:t>0.161</w:t>
            </w:r>
          </w:p>
        </w:tc>
        <w:tc>
          <w:tcPr>
            <w:tcW w:type="dxa" w:w="1752"/>
            <w:vAlign w:val="center"/>
          </w:tcPr>
          <w:p>
            <w:pPr>
              <w:spacing w:after="0"/>
            </w:pPr>
            <w:r>
              <w:rPr>
                <w:rFonts w:ascii="Times New Roman" w:hAnsi="Times New Roman"/>
                <w:sz w:val="14"/>
              </w:rPr>
              <w:t>0.056</w:t>
            </w:r>
          </w:p>
        </w:tc>
      </w:tr>
    </w:tbl>
    <w:p>
      <w:pPr>
        <w:spacing w:after="60" w:line="240" w:lineRule="auto"/>
        <w:jc w:val="both"/>
      </w:pPr>
      <w:r>
        <w:rPr>
          <w:rFonts w:ascii="Times New Roman" w:hAnsi="Times New Roman"/>
          <w:sz w:val="18"/>
        </w:rPr>
        <w:t>The booking-time GBM is the operational model: AUC 0.769 on a future test set, with isotonic calibration chosen on the calibration period. The near-arrival GBM reaches AUC 0.801 but should not be confused with booking-time deployability; it contains fields whose values accumulate after booking creation.</w:t>
      </w:r>
    </w:p>
    <w:p>
      <w:pPr>
        <w:spacing w:after="20"/>
        <w:jc w:val="center"/>
      </w:pPr>
      <w:r>
        <w:drawing>
          <wp:inline xmlns:a="http://schemas.openxmlformats.org/drawingml/2006/main" xmlns:pic="http://schemas.openxmlformats.org/drawingml/2006/picture">
            <wp:extent cx="5349240" cy="3343275"/>
            <wp:docPr id="5" name="Picture 5"/>
            <wp:cNvGraphicFramePr>
              <a:graphicFrameLocks noChangeAspect="1"/>
            </wp:cNvGraphicFramePr>
            <a:graphic>
              <a:graphicData uri="http://schemas.openxmlformats.org/drawingml/2006/picture">
                <pic:pic>
                  <pic:nvPicPr>
                    <pic:cNvPr id="0" name="pr_curve_booking_time.png"/>
                    <pic:cNvPicPr/>
                  </pic:nvPicPr>
                  <pic:blipFill>
                    <a:blip r:embed="rId14"/>
                    <a:stretch>
                      <a:fillRect/>
                    </a:stretch>
                  </pic:blipFill>
                  <pic:spPr>
                    <a:xfrm>
                      <a:off x="0" y="0"/>
                      <a:ext cx="5349240" cy="3343275"/>
                    </a:xfrm>
                    <a:prstGeom prst="rect"/>
                  </pic:spPr>
                </pic:pic>
              </a:graphicData>
            </a:graphic>
          </wp:inline>
        </w:drawing>
      </w:r>
    </w:p>
    <w:p>
      <w:pPr>
        <w:spacing w:after="60" w:line="240" w:lineRule="auto"/>
        <w:jc w:val="center"/>
      </w:pPr>
      <w:r>
        <w:rPr>
          <w:rFonts w:ascii="Times New Roman" w:hAnsi="Times New Roman"/>
          <w:sz w:val="14"/>
        </w:rPr>
        <w:t>Figure 5. Precision–recall curves for the booking-time models.</w:t>
      </w:r>
    </w:p>
    <w:p>
      <w:pPr>
        <w:spacing w:after="20"/>
        <w:jc w:val="center"/>
      </w:pPr>
      <w:r>
        <w:drawing>
          <wp:inline xmlns:a="http://schemas.openxmlformats.org/drawingml/2006/main" xmlns:pic="http://schemas.openxmlformats.org/drawingml/2006/picture">
            <wp:extent cx="5349240" cy="3343275"/>
            <wp:docPr id="6" name="Picture 6"/>
            <wp:cNvGraphicFramePr>
              <a:graphicFrameLocks noChangeAspect="1"/>
            </wp:cNvGraphicFramePr>
            <a:graphic>
              <a:graphicData uri="http://schemas.openxmlformats.org/drawingml/2006/picture">
                <pic:pic>
                  <pic:nvPicPr>
                    <pic:cNvPr id="0" name="calibration_booking_time.png"/>
                    <pic:cNvPicPr/>
                  </pic:nvPicPr>
                  <pic:blipFill>
                    <a:blip r:embed="rId15"/>
                    <a:stretch>
                      <a:fillRect/>
                    </a:stretch>
                  </pic:blipFill>
                  <pic:spPr>
                    <a:xfrm>
                      <a:off x="0" y="0"/>
                      <a:ext cx="5349240" cy="3343275"/>
                    </a:xfrm>
                    <a:prstGeom prst="rect"/>
                  </pic:spPr>
                </pic:pic>
              </a:graphicData>
            </a:graphic>
          </wp:inline>
        </w:drawing>
      </w:r>
    </w:p>
    <w:p>
      <w:pPr>
        <w:spacing w:after="60" w:line="240" w:lineRule="auto"/>
        <w:jc w:val="center"/>
      </w:pPr>
      <w:r>
        <w:rPr>
          <w:rFonts w:ascii="Times New Roman" w:hAnsi="Times New Roman"/>
          <w:sz w:val="14"/>
        </w:rPr>
        <w:t>Figure 6. Out-of-time calibration for the booking-time models.</w:t>
      </w:r>
    </w:p>
    <w:p>
      <w:pPr>
        <w:spacing w:after="60" w:line="240" w:lineRule="auto"/>
        <w:jc w:val="both"/>
      </w:pPr>
      <w:r>
        <w:rPr>
          <w:rFonts w:ascii="Times New Roman" w:hAnsi="Times New Roman"/>
          <w:sz w:val="18"/>
        </w:rPr>
        <w:t>The correction is visible in performance: the booking-time AUC is lower than the pre-correction 0.775 headline because two outcome-linked features were removed. That drop is a feature, not a failure: it is the cost of honest information timing.</w:t>
      </w:r>
    </w:p>
    <w:p>
      <w:r>
        <w:br w:type="page"/>
      </w:r>
    </w:p>
    <w:p>
      <w:pPr>
        <w:pStyle w:val="Heading1"/>
        <w:spacing w:before="60" w:after="60"/>
      </w:pPr>
      <w:r>
        <w:t>8. SHAP, fairness and governance</w:t>
      </w:r>
    </w:p>
    <w:p>
      <w:pPr>
        <w:spacing w:after="60" w:line="240" w:lineRule="auto"/>
        <w:jc w:val="both"/>
      </w:pPr>
      <w:r>
        <w:rPr>
          <w:rFonts w:ascii="Times New Roman" w:hAnsi="Times New Roman"/>
          <w:sz w:val="18"/>
        </w:rPr>
        <w:t>SHAP is used as a model-explanation tool: it identifies features that move the prediction, but it does not prove that changing a feature will change cancellation.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Pr>
                <w:rFonts w:ascii="Times New Roman" w:hAnsi="Times New Roman"/>
                <w:b/>
                <w:sz w:val="14"/>
              </w:rPr>
              <w:t>Booking-time feature</w:t>
            </w:r>
          </w:p>
        </w:tc>
        <w:tc>
          <w:tcPr>
            <w:tcW w:type="dxa" w:w="5256"/>
            <w:vAlign w:val="center"/>
          </w:tcPr>
          <w:p>
            <w:r>
              <w:rPr>
                <w:rFonts w:ascii="Times New Roman" w:hAnsi="Times New Roman"/>
                <w:b/>
                <w:sz w:val="14"/>
              </w:rPr>
              <w:t>Mean |SHAP| (grouped)</w:t>
            </w:r>
          </w:p>
        </w:tc>
      </w:tr>
      <w:tr>
        <w:tc>
          <w:tcPr>
            <w:tcW w:type="dxa" w:w="5256"/>
            <w:vAlign w:val="center"/>
          </w:tcPr>
          <w:p>
            <w:pPr>
              <w:spacing w:after="0"/>
            </w:pPr>
            <w:r>
              <w:rPr>
                <w:rFonts w:ascii="Times New Roman" w:hAnsi="Times New Roman"/>
                <w:sz w:val="14"/>
              </w:rPr>
              <w:t>country</w:t>
            </w:r>
          </w:p>
        </w:tc>
        <w:tc>
          <w:tcPr>
            <w:tcW w:type="dxa" w:w="5256"/>
            <w:vAlign w:val="center"/>
          </w:tcPr>
          <w:p>
            <w:pPr>
              <w:spacing w:after="0"/>
            </w:pPr>
            <w:r>
              <w:rPr>
                <w:rFonts w:ascii="Times New Roman" w:hAnsi="Times New Roman"/>
                <w:sz w:val="14"/>
              </w:rPr>
              <w:t>0.752</w:t>
            </w:r>
          </w:p>
        </w:tc>
      </w:tr>
      <w:tr>
        <w:tc>
          <w:tcPr>
            <w:tcW w:type="dxa" w:w="5256"/>
            <w:vAlign w:val="center"/>
          </w:tcPr>
          <w:p>
            <w:pPr>
              <w:spacing w:after="0"/>
            </w:pPr>
            <w:r>
              <w:rPr>
                <w:rFonts w:ascii="Times New Roman" w:hAnsi="Times New Roman"/>
                <w:sz w:val="14"/>
              </w:rPr>
              <w:t>market_segment</w:t>
            </w:r>
          </w:p>
        </w:tc>
        <w:tc>
          <w:tcPr>
            <w:tcW w:type="dxa" w:w="5256"/>
            <w:vAlign w:val="center"/>
          </w:tcPr>
          <w:p>
            <w:pPr>
              <w:spacing w:after="0"/>
            </w:pPr>
            <w:r>
              <w:rPr>
                <w:rFonts w:ascii="Times New Roman" w:hAnsi="Times New Roman"/>
                <w:sz w:val="14"/>
              </w:rPr>
              <w:t>0.638</w:t>
            </w:r>
          </w:p>
        </w:tc>
      </w:tr>
      <w:tr>
        <w:tc>
          <w:tcPr>
            <w:tcW w:type="dxa" w:w="5256"/>
            <w:vAlign w:val="center"/>
          </w:tcPr>
          <w:p>
            <w:pPr>
              <w:spacing w:after="0"/>
            </w:pPr>
            <w:r>
              <w:rPr>
                <w:rFonts w:ascii="Times New Roman" w:hAnsi="Times New Roman"/>
                <w:sz w:val="14"/>
              </w:rPr>
              <w:t>lead_time</w:t>
            </w:r>
          </w:p>
        </w:tc>
        <w:tc>
          <w:tcPr>
            <w:tcW w:type="dxa" w:w="5256"/>
            <w:vAlign w:val="center"/>
          </w:tcPr>
          <w:p>
            <w:pPr>
              <w:spacing w:after="0"/>
            </w:pPr>
            <w:r>
              <w:rPr>
                <w:rFonts w:ascii="Times New Roman" w:hAnsi="Times New Roman"/>
                <w:sz w:val="14"/>
              </w:rPr>
              <w:t>0.377</w:t>
            </w:r>
          </w:p>
        </w:tc>
      </w:tr>
      <w:tr>
        <w:tc>
          <w:tcPr>
            <w:tcW w:type="dxa" w:w="5256"/>
            <w:vAlign w:val="center"/>
          </w:tcPr>
          <w:p>
            <w:pPr>
              <w:spacing w:after="0"/>
            </w:pPr>
            <w:r>
              <w:rPr>
                <w:rFonts w:ascii="Times New Roman" w:hAnsi="Times New Roman"/>
                <w:sz w:val="14"/>
              </w:rPr>
              <w:t>adr</w:t>
            </w:r>
          </w:p>
        </w:tc>
        <w:tc>
          <w:tcPr>
            <w:tcW w:type="dxa" w:w="5256"/>
            <w:vAlign w:val="center"/>
          </w:tcPr>
          <w:p>
            <w:pPr>
              <w:spacing w:after="0"/>
            </w:pPr>
            <w:r>
              <w:rPr>
                <w:rFonts w:ascii="Times New Roman" w:hAnsi="Times New Roman"/>
                <w:sz w:val="14"/>
              </w:rPr>
              <w:t>0.282</w:t>
            </w:r>
          </w:p>
        </w:tc>
      </w:tr>
      <w:tr>
        <w:tc>
          <w:tcPr>
            <w:tcW w:type="dxa" w:w="5256"/>
            <w:vAlign w:val="center"/>
          </w:tcPr>
          <w:p>
            <w:pPr>
              <w:spacing w:after="0"/>
            </w:pPr>
            <w:r>
              <w:rPr>
                <w:rFonts w:ascii="Times New Roman" w:hAnsi="Times New Roman"/>
                <w:sz w:val="14"/>
              </w:rPr>
              <w:t>customer_type</w:t>
            </w:r>
          </w:p>
        </w:tc>
        <w:tc>
          <w:tcPr>
            <w:tcW w:type="dxa" w:w="5256"/>
            <w:vAlign w:val="center"/>
          </w:tcPr>
          <w:p>
            <w:pPr>
              <w:spacing w:after="0"/>
            </w:pPr>
            <w:r>
              <w:rPr>
                <w:rFonts w:ascii="Times New Roman" w:hAnsi="Times New Roman"/>
                <w:sz w:val="14"/>
              </w:rPr>
              <w:t>0.212</w:t>
            </w:r>
          </w:p>
        </w:tc>
      </w:tr>
      <w:tr>
        <w:tc>
          <w:tcPr>
            <w:tcW w:type="dxa" w:w="5256"/>
            <w:vAlign w:val="center"/>
          </w:tcPr>
          <w:p>
            <w:pPr>
              <w:spacing w:after="0"/>
            </w:pPr>
            <w:r>
              <w:rPr>
                <w:rFonts w:ascii="Times New Roman" w:hAnsi="Times New Roman"/>
                <w:sz w:val="14"/>
              </w:rPr>
              <w:t>previous_cancellations</w:t>
            </w:r>
          </w:p>
        </w:tc>
        <w:tc>
          <w:tcPr>
            <w:tcW w:type="dxa" w:w="5256"/>
            <w:vAlign w:val="center"/>
          </w:tcPr>
          <w:p>
            <w:pPr>
              <w:spacing w:after="0"/>
            </w:pPr>
            <w:r>
              <w:rPr>
                <w:rFonts w:ascii="Times New Roman" w:hAnsi="Times New Roman"/>
                <w:sz w:val="14"/>
              </w:rPr>
              <w:t>0.155</w:t>
            </w:r>
          </w:p>
        </w:tc>
      </w:tr>
      <w:tr>
        <w:tc>
          <w:tcPr>
            <w:tcW w:type="dxa" w:w="5256"/>
            <w:vAlign w:val="center"/>
          </w:tcPr>
          <w:p>
            <w:pPr>
              <w:spacing w:after="0"/>
            </w:pPr>
            <w:r>
              <w:rPr>
                <w:rFonts w:ascii="Times New Roman" w:hAnsi="Times New Roman"/>
                <w:sz w:val="14"/>
              </w:rPr>
              <w:t>previous_bookings_not_canceled</w:t>
            </w:r>
          </w:p>
        </w:tc>
        <w:tc>
          <w:tcPr>
            <w:tcW w:type="dxa" w:w="5256"/>
            <w:vAlign w:val="center"/>
          </w:tcPr>
          <w:p>
            <w:pPr>
              <w:spacing w:after="0"/>
            </w:pPr>
            <w:r>
              <w:rPr>
                <w:rFonts w:ascii="Times New Roman" w:hAnsi="Times New Roman"/>
                <w:sz w:val="14"/>
              </w:rPr>
              <w:t>0.108</w:t>
            </w:r>
          </w:p>
        </w:tc>
      </w:tr>
      <w:tr>
        <w:tc>
          <w:tcPr>
            <w:tcW w:type="dxa" w:w="5256"/>
            <w:vAlign w:val="center"/>
          </w:tcPr>
          <w:p>
            <w:pPr>
              <w:spacing w:after="0"/>
            </w:pPr>
            <w:r>
              <w:rPr>
                <w:rFonts w:ascii="Times New Roman" w:hAnsi="Times New Roman"/>
                <w:sz w:val="14"/>
              </w:rPr>
              <w:t>deposit_type</w:t>
            </w:r>
          </w:p>
        </w:tc>
        <w:tc>
          <w:tcPr>
            <w:tcW w:type="dxa" w:w="5256"/>
            <w:vAlign w:val="center"/>
          </w:tcPr>
          <w:p>
            <w:pPr>
              <w:spacing w:after="0"/>
            </w:pPr>
            <w:r>
              <w:rPr>
                <w:rFonts w:ascii="Times New Roman" w:hAnsi="Times New Roman"/>
                <w:sz w:val="14"/>
              </w:rPr>
              <w:t>0.089</w:t>
            </w:r>
          </w:p>
        </w:tc>
      </w:tr>
      <w:tr>
        <w:tc>
          <w:tcPr>
            <w:tcW w:type="dxa" w:w="5256"/>
            <w:vAlign w:val="center"/>
          </w:tcPr>
          <w:p>
            <w:pPr>
              <w:spacing w:after="0"/>
            </w:pPr>
            <w:r>
              <w:rPr>
                <w:rFonts w:ascii="Times New Roman" w:hAnsi="Times New Roman"/>
                <w:sz w:val="14"/>
              </w:rPr>
              <w:t>meal</w:t>
            </w:r>
          </w:p>
        </w:tc>
        <w:tc>
          <w:tcPr>
            <w:tcW w:type="dxa" w:w="5256"/>
            <w:vAlign w:val="center"/>
          </w:tcPr>
          <w:p>
            <w:pPr>
              <w:spacing w:after="0"/>
            </w:pPr>
            <w:r>
              <w:rPr>
                <w:rFonts w:ascii="Times New Roman" w:hAnsi="Times New Roman"/>
                <w:sz w:val="14"/>
              </w:rPr>
              <w:t>0.084</w:t>
            </w:r>
          </w:p>
        </w:tc>
      </w:tr>
      <w:tr>
        <w:tc>
          <w:tcPr>
            <w:tcW w:type="dxa" w:w="5256"/>
            <w:vAlign w:val="center"/>
          </w:tcPr>
          <w:p>
            <w:pPr>
              <w:spacing w:after="0"/>
            </w:pPr>
            <w:r>
              <w:rPr>
                <w:rFonts w:ascii="Times New Roman" w:hAnsi="Times New Roman"/>
                <w:sz w:val="14"/>
              </w:rPr>
              <w:t>booking_month</w:t>
            </w:r>
          </w:p>
        </w:tc>
        <w:tc>
          <w:tcPr>
            <w:tcW w:type="dxa" w:w="5256"/>
            <w:vAlign w:val="center"/>
          </w:tcPr>
          <w:p>
            <w:pPr>
              <w:spacing w:after="0"/>
            </w:pPr>
            <w:r>
              <w:rPr>
                <w:rFonts w:ascii="Times New Roman" w:hAnsi="Times New Roman"/>
                <w:sz w:val="14"/>
              </w:rPr>
              <w:t>0.065</w:t>
            </w:r>
          </w:p>
        </w:tc>
      </w:tr>
    </w:tbl>
    <w:p>
      <w:pPr>
        <w:spacing w:after="60" w:line="240" w:lineRule="auto"/>
        <w:jc w:val="both"/>
      </w:pPr>
      <w:r>
        <w:rPr>
          <w:rFonts w:ascii="Times New Roman" w:hAnsi="Times New Roman"/>
          <w:sz w:val="18"/>
        </w:rPr>
        <w:t>The leading booking-time drivers are country, market segment, lead time and ADR. Crucially, required_car_parking_spaces and total_of_special_requests are absent from this table because they are restricted to near-arrival scoring. The near-arrival SHAP table is retained in the repository for diagnostic use.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tcPr>
          <w:p>
            <w:r>
              <w:rPr>
                <w:rFonts w:ascii="Times New Roman" w:hAnsi="Times New Roman"/>
                <w:b/>
                <w:sz w:val="14"/>
              </w:rPr>
              <w:t>Country group</w:t>
            </w:r>
          </w:p>
        </w:tc>
        <w:tc>
          <w:tcPr>
            <w:tcW w:type="dxa" w:w="1752"/>
            <w:vAlign w:val="center"/>
          </w:tcPr>
          <w:p>
            <w:r>
              <w:rPr>
                <w:rFonts w:ascii="Times New Roman" w:hAnsi="Times New Roman"/>
                <w:b/>
                <w:sz w:val="14"/>
              </w:rPr>
              <w:t>n</w:t>
            </w:r>
          </w:p>
        </w:tc>
        <w:tc>
          <w:tcPr>
            <w:tcW w:type="dxa" w:w="1752"/>
            <w:vAlign w:val="center"/>
          </w:tcPr>
          <w:p>
            <w:r>
              <w:rPr>
                <w:rFonts w:ascii="Times New Roman" w:hAnsi="Times New Roman"/>
                <w:b/>
                <w:sz w:val="14"/>
              </w:rPr>
              <w:t>Mean predicted</w:t>
            </w:r>
          </w:p>
        </w:tc>
        <w:tc>
          <w:tcPr>
            <w:tcW w:type="dxa" w:w="1752"/>
            <w:vAlign w:val="center"/>
          </w:tcPr>
          <w:p>
            <w:r>
              <w:rPr>
                <w:rFonts w:ascii="Times New Roman" w:hAnsi="Times New Roman"/>
                <w:b/>
                <w:sz w:val="14"/>
              </w:rPr>
              <w:t>Observed</w:t>
            </w:r>
          </w:p>
        </w:tc>
        <w:tc>
          <w:tcPr>
            <w:tcW w:type="dxa" w:w="1752"/>
            <w:vAlign w:val="center"/>
          </w:tcPr>
          <w:p>
            <w:r>
              <w:rPr>
                <w:rFonts w:ascii="Times New Roman" w:hAnsi="Times New Roman"/>
                <w:b/>
                <w:sz w:val="14"/>
              </w:rPr>
              <w:t>Gap</w:t>
            </w:r>
          </w:p>
        </w:tc>
        <w:tc>
          <w:tcPr>
            <w:tcW w:type="dxa" w:w="1752"/>
            <w:vAlign w:val="center"/>
          </w:tcPr>
          <w:p>
            <w:r>
              <w:rPr>
                <w:rFonts w:ascii="Times New Roman" w:hAnsi="Times New Roman"/>
                <w:b/>
                <w:sz w:val="14"/>
              </w:rPr>
              <w:t>High-risk share</w:t>
            </w:r>
          </w:p>
        </w:tc>
      </w:tr>
      <w:tr>
        <w:tc>
          <w:tcPr>
            <w:tcW w:type="dxa" w:w="1752"/>
            <w:vAlign w:val="center"/>
          </w:tcPr>
          <w:p>
            <w:pPr>
              <w:spacing w:after="0"/>
            </w:pPr>
            <w:r>
              <w:rPr>
                <w:rFonts w:ascii="Times New Roman" w:hAnsi="Times New Roman"/>
                <w:sz w:val="14"/>
              </w:rPr>
              <w:t>DEU</w:t>
            </w:r>
          </w:p>
        </w:tc>
        <w:tc>
          <w:tcPr>
            <w:tcW w:type="dxa" w:w="1752"/>
            <w:vAlign w:val="center"/>
          </w:tcPr>
          <w:p>
            <w:pPr>
              <w:spacing w:after="0"/>
            </w:pPr>
            <w:r>
              <w:rPr>
                <w:rFonts w:ascii="Times New Roman" w:hAnsi="Times New Roman"/>
                <w:sz w:val="14"/>
              </w:rPr>
              <w:t>562</w:t>
            </w:r>
          </w:p>
        </w:tc>
        <w:tc>
          <w:tcPr>
            <w:tcW w:type="dxa" w:w="1752"/>
            <w:vAlign w:val="center"/>
          </w:tcPr>
          <w:p>
            <w:pPr>
              <w:spacing w:after="0"/>
            </w:pPr>
            <w:r>
              <w:rPr>
                <w:rFonts w:ascii="Times New Roman" w:hAnsi="Times New Roman"/>
                <w:sz w:val="14"/>
              </w:rPr>
              <w:t>22.7%</w:t>
            </w:r>
          </w:p>
        </w:tc>
        <w:tc>
          <w:tcPr>
            <w:tcW w:type="dxa" w:w="1752"/>
            <w:vAlign w:val="center"/>
          </w:tcPr>
          <w:p>
            <w:pPr>
              <w:spacing w:after="0"/>
            </w:pPr>
            <w:r>
              <w:rPr>
                <w:rFonts w:ascii="Times New Roman" w:hAnsi="Times New Roman"/>
                <w:sz w:val="14"/>
              </w:rPr>
              <w:t>19.9%</w:t>
            </w:r>
          </w:p>
        </w:tc>
        <w:tc>
          <w:tcPr>
            <w:tcW w:type="dxa" w:w="1752"/>
            <w:vAlign w:val="center"/>
          </w:tcPr>
          <w:p>
            <w:pPr>
              <w:spacing w:after="0"/>
            </w:pPr>
            <w:r>
              <w:rPr>
                <w:rFonts w:ascii="Times New Roman" w:hAnsi="Times New Roman"/>
                <w:sz w:val="14"/>
              </w:rPr>
              <w:t>+2.8 pp</w:t>
            </w:r>
          </w:p>
        </w:tc>
        <w:tc>
          <w:tcPr>
            <w:tcW w:type="dxa" w:w="1752"/>
            <w:vAlign w:val="center"/>
          </w:tcPr>
          <w:p>
            <w:pPr>
              <w:spacing w:after="0"/>
            </w:pPr>
            <w:r>
              <w:rPr>
                <w:rFonts w:ascii="Times New Roman" w:hAnsi="Times New Roman"/>
                <w:sz w:val="14"/>
              </w:rPr>
              <w:t>18.9%</w:t>
            </w:r>
          </w:p>
        </w:tc>
      </w:tr>
      <w:tr>
        <w:tc>
          <w:tcPr>
            <w:tcW w:type="dxa" w:w="1752"/>
            <w:vAlign w:val="center"/>
          </w:tcPr>
          <w:p>
            <w:pPr>
              <w:spacing w:after="0"/>
            </w:pPr>
            <w:r>
              <w:rPr>
                <w:rFonts w:ascii="Times New Roman" w:hAnsi="Times New Roman"/>
                <w:sz w:val="14"/>
              </w:rPr>
              <w:t>ESP</w:t>
            </w:r>
          </w:p>
        </w:tc>
        <w:tc>
          <w:tcPr>
            <w:tcW w:type="dxa" w:w="1752"/>
            <w:vAlign w:val="center"/>
          </w:tcPr>
          <w:p>
            <w:pPr>
              <w:spacing w:after="0"/>
            </w:pPr>
            <w:r>
              <w:rPr>
                <w:rFonts w:ascii="Times New Roman" w:hAnsi="Times New Roman"/>
                <w:sz w:val="14"/>
              </w:rPr>
              <w:t>562</w:t>
            </w:r>
          </w:p>
        </w:tc>
        <w:tc>
          <w:tcPr>
            <w:tcW w:type="dxa" w:w="1752"/>
            <w:vAlign w:val="center"/>
          </w:tcPr>
          <w:p>
            <w:pPr>
              <w:spacing w:after="0"/>
            </w:pPr>
            <w:r>
              <w:rPr>
                <w:rFonts w:ascii="Times New Roman" w:hAnsi="Times New Roman"/>
                <w:sz w:val="14"/>
              </w:rPr>
              <w:t>29.4%</w:t>
            </w:r>
          </w:p>
        </w:tc>
        <w:tc>
          <w:tcPr>
            <w:tcW w:type="dxa" w:w="1752"/>
            <w:vAlign w:val="center"/>
          </w:tcPr>
          <w:p>
            <w:pPr>
              <w:spacing w:after="0"/>
            </w:pPr>
            <w:r>
              <w:rPr>
                <w:rFonts w:ascii="Times New Roman" w:hAnsi="Times New Roman"/>
                <w:sz w:val="14"/>
              </w:rPr>
              <w:t>26.7%</w:t>
            </w:r>
          </w:p>
        </w:tc>
        <w:tc>
          <w:tcPr>
            <w:tcW w:type="dxa" w:w="1752"/>
            <w:vAlign w:val="center"/>
          </w:tcPr>
          <w:p>
            <w:pPr>
              <w:spacing w:after="0"/>
            </w:pPr>
            <w:r>
              <w:rPr>
                <w:rFonts w:ascii="Times New Roman" w:hAnsi="Times New Roman"/>
                <w:sz w:val="14"/>
              </w:rPr>
              <w:t>+2.7 pp</w:t>
            </w:r>
          </w:p>
        </w:tc>
        <w:tc>
          <w:tcPr>
            <w:tcW w:type="dxa" w:w="1752"/>
            <w:vAlign w:val="center"/>
          </w:tcPr>
          <w:p>
            <w:pPr>
              <w:spacing w:after="0"/>
            </w:pPr>
            <w:r>
              <w:rPr>
                <w:rFonts w:ascii="Times New Roman" w:hAnsi="Times New Roman"/>
                <w:sz w:val="14"/>
              </w:rPr>
              <w:t>46.3%</w:t>
            </w:r>
          </w:p>
        </w:tc>
      </w:tr>
      <w:tr>
        <w:tc>
          <w:tcPr>
            <w:tcW w:type="dxa" w:w="1752"/>
            <w:vAlign w:val="center"/>
          </w:tcPr>
          <w:p>
            <w:pPr>
              <w:spacing w:after="0"/>
            </w:pPr>
            <w:r>
              <w:rPr>
                <w:rFonts w:ascii="Times New Roman" w:hAnsi="Times New Roman"/>
                <w:sz w:val="14"/>
              </w:rPr>
              <w:t>FRA</w:t>
            </w:r>
          </w:p>
        </w:tc>
        <w:tc>
          <w:tcPr>
            <w:tcW w:type="dxa" w:w="1752"/>
            <w:vAlign w:val="center"/>
          </w:tcPr>
          <w:p>
            <w:pPr>
              <w:spacing w:after="0"/>
            </w:pPr>
            <w:r>
              <w:rPr>
                <w:rFonts w:ascii="Times New Roman" w:hAnsi="Times New Roman"/>
                <w:sz w:val="14"/>
              </w:rPr>
              <w:t>1023</w:t>
            </w:r>
          </w:p>
        </w:tc>
        <w:tc>
          <w:tcPr>
            <w:tcW w:type="dxa" w:w="1752"/>
            <w:vAlign w:val="center"/>
          </w:tcPr>
          <w:p>
            <w:pPr>
              <w:spacing w:after="0"/>
            </w:pPr>
            <w:r>
              <w:rPr>
                <w:rFonts w:ascii="Times New Roman" w:hAnsi="Times New Roman"/>
                <w:sz w:val="14"/>
              </w:rPr>
              <w:t>25.0%</w:t>
            </w:r>
          </w:p>
        </w:tc>
        <w:tc>
          <w:tcPr>
            <w:tcW w:type="dxa" w:w="1752"/>
            <w:vAlign w:val="center"/>
          </w:tcPr>
          <w:p>
            <w:pPr>
              <w:spacing w:after="0"/>
            </w:pPr>
            <w:r>
              <w:rPr>
                <w:rFonts w:ascii="Times New Roman" w:hAnsi="Times New Roman"/>
                <w:sz w:val="14"/>
              </w:rPr>
              <w:t>24.1%</w:t>
            </w:r>
          </w:p>
        </w:tc>
        <w:tc>
          <w:tcPr>
            <w:tcW w:type="dxa" w:w="1752"/>
            <w:vAlign w:val="center"/>
          </w:tcPr>
          <w:p>
            <w:pPr>
              <w:spacing w:after="0"/>
            </w:pPr>
            <w:r>
              <w:rPr>
                <w:rFonts w:ascii="Times New Roman" w:hAnsi="Times New Roman"/>
                <w:sz w:val="14"/>
              </w:rPr>
              <w:t>+0.9 pp</w:t>
            </w:r>
          </w:p>
        </w:tc>
        <w:tc>
          <w:tcPr>
            <w:tcW w:type="dxa" w:w="1752"/>
            <w:vAlign w:val="center"/>
          </w:tcPr>
          <w:p>
            <w:pPr>
              <w:spacing w:after="0"/>
            </w:pPr>
            <w:r>
              <w:rPr>
                <w:rFonts w:ascii="Times New Roman" w:hAnsi="Times New Roman"/>
                <w:sz w:val="14"/>
              </w:rPr>
              <w:t>21.7%</w:t>
            </w:r>
          </w:p>
        </w:tc>
      </w:tr>
      <w:tr>
        <w:tc>
          <w:tcPr>
            <w:tcW w:type="dxa" w:w="1752"/>
            <w:vAlign w:val="center"/>
          </w:tcPr>
          <w:p>
            <w:pPr>
              <w:spacing w:after="0"/>
            </w:pPr>
            <w:r>
              <w:rPr>
                <w:rFonts w:ascii="Times New Roman" w:hAnsi="Times New Roman"/>
                <w:sz w:val="14"/>
              </w:rPr>
              <w:t>GBR</w:t>
            </w:r>
          </w:p>
        </w:tc>
        <w:tc>
          <w:tcPr>
            <w:tcW w:type="dxa" w:w="1752"/>
            <w:vAlign w:val="center"/>
          </w:tcPr>
          <w:p>
            <w:pPr>
              <w:spacing w:after="0"/>
            </w:pPr>
            <w:r>
              <w:rPr>
                <w:rFonts w:ascii="Times New Roman" w:hAnsi="Times New Roman"/>
                <w:sz w:val="14"/>
              </w:rPr>
              <w:t>765</w:t>
            </w:r>
          </w:p>
        </w:tc>
        <w:tc>
          <w:tcPr>
            <w:tcW w:type="dxa" w:w="1752"/>
            <w:vAlign w:val="center"/>
          </w:tcPr>
          <w:p>
            <w:pPr>
              <w:spacing w:after="0"/>
            </w:pPr>
            <w:r>
              <w:rPr>
                <w:rFonts w:ascii="Times New Roman" w:hAnsi="Times New Roman"/>
                <w:sz w:val="14"/>
              </w:rPr>
              <w:t>32.7%</w:t>
            </w:r>
          </w:p>
        </w:tc>
        <w:tc>
          <w:tcPr>
            <w:tcW w:type="dxa" w:w="1752"/>
            <w:vAlign w:val="center"/>
          </w:tcPr>
          <w:p>
            <w:pPr>
              <w:spacing w:after="0"/>
            </w:pPr>
            <w:r>
              <w:rPr>
                <w:rFonts w:ascii="Times New Roman" w:hAnsi="Times New Roman"/>
                <w:sz w:val="14"/>
              </w:rPr>
              <w:t>27.3%</w:t>
            </w:r>
          </w:p>
        </w:tc>
        <w:tc>
          <w:tcPr>
            <w:tcW w:type="dxa" w:w="1752"/>
            <w:vAlign w:val="center"/>
          </w:tcPr>
          <w:p>
            <w:pPr>
              <w:spacing w:after="0"/>
            </w:pPr>
            <w:r>
              <w:rPr>
                <w:rFonts w:ascii="Times New Roman" w:hAnsi="Times New Roman"/>
                <w:sz w:val="14"/>
              </w:rPr>
              <w:t>+5.4 pp</w:t>
            </w:r>
          </w:p>
        </w:tc>
        <w:tc>
          <w:tcPr>
            <w:tcW w:type="dxa" w:w="1752"/>
            <w:vAlign w:val="center"/>
          </w:tcPr>
          <w:p>
            <w:pPr>
              <w:spacing w:after="0"/>
            </w:pPr>
            <w:r>
              <w:rPr>
                <w:rFonts w:ascii="Times New Roman" w:hAnsi="Times New Roman"/>
                <w:sz w:val="14"/>
              </w:rPr>
              <w:t>55.7%</w:t>
            </w:r>
          </w:p>
        </w:tc>
      </w:tr>
      <w:tr>
        <w:tc>
          <w:tcPr>
            <w:tcW w:type="dxa" w:w="1752"/>
            <w:vAlign w:val="center"/>
          </w:tcPr>
          <w:p>
            <w:pPr>
              <w:spacing w:after="0"/>
            </w:pPr>
            <w:r>
              <w:rPr>
                <w:rFonts w:ascii="Times New Roman" w:hAnsi="Times New Roman"/>
                <w:sz w:val="14"/>
              </w:rPr>
              <w:t>Other</w:t>
            </w:r>
          </w:p>
        </w:tc>
        <w:tc>
          <w:tcPr>
            <w:tcW w:type="dxa" w:w="1752"/>
            <w:vAlign w:val="center"/>
          </w:tcPr>
          <w:p>
            <w:pPr>
              <w:spacing w:after="0"/>
            </w:pPr>
            <w:r>
              <w:rPr>
                <w:rFonts w:ascii="Times New Roman" w:hAnsi="Times New Roman"/>
                <w:sz w:val="14"/>
              </w:rPr>
              <w:t>3314</w:t>
            </w:r>
          </w:p>
        </w:tc>
        <w:tc>
          <w:tcPr>
            <w:tcW w:type="dxa" w:w="1752"/>
            <w:vAlign w:val="center"/>
          </w:tcPr>
          <w:p>
            <w:pPr>
              <w:spacing w:after="0"/>
            </w:pPr>
            <w:r>
              <w:rPr>
                <w:rFonts w:ascii="Times New Roman" w:hAnsi="Times New Roman"/>
                <w:sz w:val="14"/>
              </w:rPr>
              <w:t>31.1%</w:t>
            </w:r>
          </w:p>
        </w:tc>
        <w:tc>
          <w:tcPr>
            <w:tcW w:type="dxa" w:w="1752"/>
            <w:vAlign w:val="center"/>
          </w:tcPr>
          <w:p>
            <w:pPr>
              <w:spacing w:after="0"/>
            </w:pPr>
            <w:r>
              <w:rPr>
                <w:rFonts w:ascii="Times New Roman" w:hAnsi="Times New Roman"/>
                <w:sz w:val="14"/>
              </w:rPr>
              <w:t>28.1%</w:t>
            </w:r>
          </w:p>
        </w:tc>
        <w:tc>
          <w:tcPr>
            <w:tcW w:type="dxa" w:w="1752"/>
            <w:vAlign w:val="center"/>
          </w:tcPr>
          <w:p>
            <w:pPr>
              <w:spacing w:after="0"/>
            </w:pPr>
            <w:r>
              <w:rPr>
                <w:rFonts w:ascii="Times New Roman" w:hAnsi="Times New Roman"/>
                <w:sz w:val="14"/>
              </w:rPr>
              <w:t>+3.0 pp</w:t>
            </w:r>
          </w:p>
        </w:tc>
        <w:tc>
          <w:tcPr>
            <w:tcW w:type="dxa" w:w="1752"/>
            <w:vAlign w:val="center"/>
          </w:tcPr>
          <w:p>
            <w:pPr>
              <w:spacing w:after="0"/>
            </w:pPr>
            <w:r>
              <w:rPr>
                <w:rFonts w:ascii="Times New Roman" w:hAnsi="Times New Roman"/>
                <w:sz w:val="14"/>
              </w:rPr>
              <w:t>44.4%</w:t>
            </w:r>
          </w:p>
        </w:tc>
      </w:tr>
      <w:tr>
        <w:tc>
          <w:tcPr>
            <w:tcW w:type="dxa" w:w="1752"/>
            <w:vAlign w:val="center"/>
          </w:tcPr>
          <w:p>
            <w:pPr>
              <w:spacing w:after="0"/>
            </w:pPr>
            <w:r>
              <w:rPr>
                <w:rFonts w:ascii="Times New Roman" w:hAnsi="Times New Roman"/>
                <w:sz w:val="14"/>
              </w:rPr>
              <w:t>PRT</w:t>
            </w:r>
          </w:p>
        </w:tc>
        <w:tc>
          <w:tcPr>
            <w:tcW w:type="dxa" w:w="1752"/>
            <w:vAlign w:val="center"/>
          </w:tcPr>
          <w:p>
            <w:pPr>
              <w:spacing w:after="0"/>
            </w:pPr>
            <w:r>
              <w:rPr>
                <w:rFonts w:ascii="Times New Roman" w:hAnsi="Times New Roman"/>
                <w:sz w:val="14"/>
              </w:rPr>
              <w:t>1706</w:t>
            </w:r>
          </w:p>
        </w:tc>
        <w:tc>
          <w:tcPr>
            <w:tcW w:type="dxa" w:w="1752"/>
            <w:vAlign w:val="center"/>
          </w:tcPr>
          <w:p>
            <w:pPr>
              <w:spacing w:after="0"/>
            </w:pPr>
            <w:r>
              <w:rPr>
                <w:rFonts w:ascii="Times New Roman" w:hAnsi="Times New Roman"/>
                <w:sz w:val="14"/>
              </w:rPr>
              <w:t>24.9%</w:t>
            </w:r>
          </w:p>
        </w:tc>
        <w:tc>
          <w:tcPr>
            <w:tcW w:type="dxa" w:w="1752"/>
            <w:vAlign w:val="center"/>
          </w:tcPr>
          <w:p>
            <w:pPr>
              <w:spacing w:after="0"/>
            </w:pPr>
            <w:r>
              <w:rPr>
                <w:rFonts w:ascii="Times New Roman" w:hAnsi="Times New Roman"/>
                <w:sz w:val="14"/>
              </w:rPr>
              <w:t>34.4%</w:t>
            </w:r>
          </w:p>
        </w:tc>
        <w:tc>
          <w:tcPr>
            <w:tcW w:type="dxa" w:w="1752"/>
            <w:vAlign w:val="center"/>
          </w:tcPr>
          <w:p>
            <w:pPr>
              <w:spacing w:after="0"/>
            </w:pPr>
            <w:r>
              <w:rPr>
                <w:rFonts w:ascii="Times New Roman" w:hAnsi="Times New Roman"/>
                <w:sz w:val="14"/>
              </w:rPr>
              <w:t>-9.5 pp</w:t>
            </w:r>
          </w:p>
        </w:tc>
        <w:tc>
          <w:tcPr>
            <w:tcW w:type="dxa" w:w="1752"/>
            <w:vAlign w:val="center"/>
          </w:tcPr>
          <w:p>
            <w:pPr>
              <w:spacing w:after="0"/>
            </w:pPr>
            <w:r>
              <w:rPr>
                <w:rFonts w:ascii="Times New Roman" w:hAnsi="Times New Roman"/>
                <w:sz w:val="14"/>
              </w:rPr>
              <w:t>29.0%</w:t>
            </w:r>
          </w:p>
        </w:tc>
      </w:tr>
      <w:tr>
        <w:tc>
          <w:tcPr>
            <w:tcW w:type="dxa" w:w="1752"/>
            <w:vAlign w:val="center"/>
          </w:tcPr>
          <w:p>
            <w:pPr>
              <w:spacing w:after="0"/>
            </w:pPr>
            <w:r>
              <w:rPr>
                <w:rFonts w:ascii="Times New Roman" w:hAnsi="Times New Roman"/>
                <w:sz w:val="14"/>
              </w:rPr>
              <w:t>ALL</w:t>
            </w:r>
          </w:p>
        </w:tc>
        <w:tc>
          <w:tcPr>
            <w:tcW w:type="dxa" w:w="1752"/>
            <w:vAlign w:val="center"/>
          </w:tcPr>
          <w:p>
            <w:pPr>
              <w:spacing w:after="0"/>
            </w:pPr>
            <w:r>
              <w:rPr>
                <w:rFonts w:ascii="Times New Roman" w:hAnsi="Times New Roman"/>
                <w:sz w:val="14"/>
              </w:rPr>
              <w:t>7932</w:t>
            </w:r>
          </w:p>
        </w:tc>
        <w:tc>
          <w:tcPr>
            <w:tcW w:type="dxa" w:w="1752"/>
            <w:vAlign w:val="center"/>
          </w:tcPr>
          <w:p>
            <w:pPr>
              <w:spacing w:after="0"/>
            </w:pPr>
            <w:r>
              <w:rPr>
                <w:rFonts w:ascii="Times New Roman" w:hAnsi="Times New Roman"/>
                <w:sz w:val="14"/>
              </w:rPr>
              <w:t>28.4%</w:t>
            </w:r>
          </w:p>
        </w:tc>
        <w:tc>
          <w:tcPr>
            <w:tcW w:type="dxa" w:w="1752"/>
            <w:vAlign w:val="center"/>
          </w:tcPr>
          <w:p>
            <w:pPr>
              <w:spacing w:after="0"/>
            </w:pPr>
            <w:r>
              <w:rPr>
                <w:rFonts w:ascii="Times New Roman" w:hAnsi="Times New Roman"/>
                <w:sz w:val="14"/>
              </w:rPr>
              <w:t>28.2%</w:t>
            </w:r>
          </w:p>
        </w:tc>
        <w:tc>
          <w:tcPr>
            <w:tcW w:type="dxa" w:w="1752"/>
            <w:vAlign w:val="center"/>
          </w:tcPr>
          <w:p>
            <w:pPr>
              <w:spacing w:after="0"/>
            </w:pPr>
            <w:r>
              <w:rPr>
                <w:rFonts w:ascii="Times New Roman" w:hAnsi="Times New Roman"/>
                <w:sz w:val="14"/>
              </w:rPr>
              <w:t>+0.2 pp</w:t>
            </w:r>
          </w:p>
        </w:tc>
        <w:tc>
          <w:tcPr>
            <w:tcW w:type="dxa" w:w="1752"/>
            <w:vAlign w:val="center"/>
          </w:tcPr>
          <w:p>
            <w:pPr>
              <w:spacing w:after="0"/>
            </w:pPr>
            <w:r>
              <w:rPr>
                <w:rFonts w:ascii="Times New Roman" w:hAnsi="Times New Roman"/>
                <w:sz w:val="14"/>
              </w:rPr>
              <w:t>37.5%</w:t>
            </w:r>
          </w:p>
        </w:tc>
      </w:tr>
    </w:tbl>
    <w:p>
      <w:pPr>
        <w:spacing w:after="60" w:line="240" w:lineRule="auto"/>
        <w:jc w:val="both"/>
      </w:pPr>
      <w:r>
        <w:rPr>
          <w:rFonts w:ascii="Times New Roman" w:hAnsi="Times New Roman"/>
          <w:sz w:val="18"/>
        </w:rPr>
        <w:t>Country is therefore a monitoring attribute rather than a recommended deposit-pricing rule. Portugal (PRT) shows a −9.5 percentage-point calibration gap in the test sample, while Great Britain (GBR) has a +5.4 point gap. The fairness table is an alerting mechanism: the appropriate response is threshold review, recalibration and subgroup validation, not demographic pricing.</w:t>
      </w:r>
    </w:p>
    <w:p>
      <w:pPr>
        <w:spacing w:after="60" w:line="240" w:lineRule="auto"/>
        <w:jc w:val="both"/>
      </w:pPr>
      <w:r>
        <w:rPr>
          <w:rFonts w:ascii="Times New Roman" w:hAnsi="Times New Roman"/>
          <w:sz w:val="18"/>
        </w:rPr>
        <w:t>An ablation without country is also retained in outputs. It is a sensitivity check on how much predictive performance and risk ranking depend on a potentially policy-sensitive field; it is not a substitute for a formal fairness assessment.</w:t>
      </w:r>
    </w:p>
    <w:p>
      <w:r>
        <w:br w:type="page"/>
      </w:r>
    </w:p>
    <w:p>
      <w:pPr>
        <w:pStyle w:val="Heading1"/>
        <w:spacing w:before="60" w:after="60"/>
      </w:pPr>
      <w:r>
        <w:t>9. Overbooking optimization</w:t>
      </w:r>
    </w:p>
    <w:p>
      <w:pPr>
        <w:spacing w:after="60" w:line="240" w:lineRule="auto"/>
        <w:jc w:val="both"/>
      </w:pPr>
      <w:r>
        <w:rPr>
          <w:rFonts w:ascii="Times New Roman" w:hAnsi="Times New Roman"/>
          <w:sz w:val="18"/>
        </w:rPr>
        <w:t>Because the source file has no room-inventory column, the overbooking model treats capacity as an explicit assumption. Base inputs are 60 rooms, €98.80 median positive-rate room value, and walk costs of €125/€200/€300. Expected profit is computed from the calibrated booking-time show probabilities using a Poisson-binomial distribution.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r>
              <w:rPr>
                <w:rFonts w:ascii="Times New Roman" w:hAnsi="Times New Roman"/>
                <w:b/>
                <w:sz w:val="14"/>
              </w:rPr>
              <w:t>Walk-cost scenario</w:t>
            </w:r>
          </w:p>
        </w:tc>
        <w:tc>
          <w:tcPr>
            <w:tcW w:type="dxa" w:w="2628"/>
            <w:vAlign w:val="center"/>
          </w:tcPr>
          <w:p>
            <w:r>
              <w:rPr>
                <w:rFonts w:ascii="Times New Roman" w:hAnsi="Times New Roman"/>
                <w:b/>
                <w:sz w:val="14"/>
              </w:rPr>
              <w:t>Optimal k</w:t>
            </w:r>
          </w:p>
        </w:tc>
        <w:tc>
          <w:tcPr>
            <w:tcW w:type="dxa" w:w="2628"/>
            <w:vAlign w:val="center"/>
          </w:tcPr>
          <w:p>
            <w:r>
              <w:rPr>
                <w:rFonts w:ascii="Times New Roman" w:hAnsi="Times New Roman"/>
                <w:b/>
                <w:sz w:val="14"/>
              </w:rPr>
              <w:t>Expected profit / night</w:t>
            </w:r>
          </w:p>
        </w:tc>
        <w:tc>
          <w:tcPr>
            <w:tcW w:type="dxa" w:w="2628"/>
            <w:vAlign w:val="center"/>
          </w:tcPr>
          <w:p>
            <w:r>
              <w:rPr>
                <w:rFonts w:ascii="Times New Roman" w:hAnsi="Times New Roman"/>
                <w:b/>
                <w:sz w:val="14"/>
              </w:rPr>
              <w:t>Walk metric</w:t>
            </w:r>
          </w:p>
        </w:tc>
      </w:tr>
      <w:tr>
        <w:tc>
          <w:tcPr>
            <w:tcW w:type="dxa" w:w="2628"/>
            <w:vAlign w:val="center"/>
          </w:tcPr>
          <w:p>
            <w:pPr>
              <w:spacing w:after="0"/>
            </w:pPr>
            <w:r>
              <w:rPr>
                <w:rFonts w:ascii="Times New Roman" w:hAnsi="Times New Roman"/>
                <w:sz w:val="14"/>
              </w:rPr>
              <w:t>Low €125</w:t>
            </w:r>
          </w:p>
        </w:tc>
        <w:tc>
          <w:tcPr>
            <w:tcW w:type="dxa" w:w="2628"/>
            <w:vAlign w:val="center"/>
          </w:tcPr>
          <w:p>
            <w:pPr>
              <w:spacing w:after="0"/>
            </w:pPr>
            <w:r>
              <w:rPr>
                <w:rFonts w:ascii="Times New Roman" w:hAnsi="Times New Roman"/>
                <w:sz w:val="14"/>
              </w:rPr>
              <w:t>19</w:t>
            </w:r>
          </w:p>
        </w:tc>
        <w:tc>
          <w:tcPr>
            <w:tcW w:type="dxa" w:w="2628"/>
            <w:vAlign w:val="center"/>
          </w:tcPr>
          <w:p>
            <w:pPr>
              <w:spacing w:after="0"/>
            </w:pPr>
            <w:r>
              <w:rPr>
                <w:rFonts w:ascii="Times New Roman" w:hAnsi="Times New Roman"/>
                <w:sz w:val="14"/>
              </w:rPr>
              <w:t>€2,944</w:t>
            </w:r>
          </w:p>
        </w:tc>
        <w:tc>
          <w:tcPr>
            <w:tcW w:type="dxa" w:w="2628"/>
            <w:vAlign w:val="center"/>
          </w:tcPr>
          <w:p>
            <w:pPr>
              <w:spacing w:after="0"/>
            </w:pPr>
            <w:r>
              <w:rPr>
                <w:rFonts w:ascii="Times New Roman" w:hAnsi="Times New Roman"/>
                <w:sz w:val="14"/>
              </w:rPr>
              <w:t>≈ 0.08 realised walks/night</w:t>
            </w:r>
          </w:p>
        </w:tc>
      </w:tr>
      <w:tr>
        <w:tc>
          <w:tcPr>
            <w:tcW w:type="dxa" w:w="2628"/>
            <w:vAlign w:val="center"/>
          </w:tcPr>
          <w:p>
            <w:pPr>
              <w:spacing w:after="0"/>
            </w:pPr>
            <w:r>
              <w:rPr>
                <w:rFonts w:ascii="Times New Roman" w:hAnsi="Times New Roman"/>
                <w:sz w:val="14"/>
              </w:rPr>
              <w:t>Base €200</w:t>
            </w:r>
          </w:p>
        </w:tc>
        <w:tc>
          <w:tcPr>
            <w:tcW w:type="dxa" w:w="2628"/>
            <w:vAlign w:val="center"/>
          </w:tcPr>
          <w:p>
            <w:pPr>
              <w:spacing w:after="0"/>
            </w:pPr>
            <w:r>
              <w:rPr>
                <w:rFonts w:ascii="Times New Roman" w:hAnsi="Times New Roman"/>
                <w:sz w:val="14"/>
              </w:rPr>
              <w:t>18</w:t>
            </w:r>
          </w:p>
        </w:tc>
        <w:tc>
          <w:tcPr>
            <w:tcW w:type="dxa" w:w="2628"/>
            <w:vAlign w:val="center"/>
          </w:tcPr>
          <w:p>
            <w:pPr>
              <w:spacing w:after="0"/>
            </w:pPr>
            <w:r>
              <w:rPr>
                <w:rFonts w:ascii="Times New Roman" w:hAnsi="Times New Roman"/>
                <w:sz w:val="14"/>
              </w:rPr>
              <w:t>€2,940</w:t>
            </w:r>
          </w:p>
        </w:tc>
        <w:tc>
          <w:tcPr>
            <w:tcW w:type="dxa" w:w="2628"/>
            <w:vAlign w:val="center"/>
          </w:tcPr>
          <w:p>
            <w:pPr>
              <w:spacing w:after="0"/>
            </w:pPr>
            <w:r>
              <w:rPr>
                <w:rFonts w:ascii="Times New Roman" w:hAnsi="Times New Roman"/>
                <w:sz w:val="14"/>
              </w:rPr>
              <w:t>≈ 0.07 realised walks/night</w:t>
            </w:r>
          </w:p>
        </w:tc>
      </w:tr>
      <w:tr>
        <w:tc>
          <w:tcPr>
            <w:tcW w:type="dxa" w:w="2628"/>
            <w:vAlign w:val="center"/>
          </w:tcPr>
          <w:p>
            <w:pPr>
              <w:spacing w:after="0"/>
            </w:pPr>
            <w:r>
              <w:rPr>
                <w:rFonts w:ascii="Times New Roman" w:hAnsi="Times New Roman"/>
                <w:sz w:val="14"/>
              </w:rPr>
              <w:t>High €300</w:t>
            </w:r>
          </w:p>
        </w:tc>
        <w:tc>
          <w:tcPr>
            <w:tcW w:type="dxa" w:w="2628"/>
            <w:vAlign w:val="center"/>
          </w:tcPr>
          <w:p>
            <w:pPr>
              <w:spacing w:after="0"/>
            </w:pPr>
            <w:r>
              <w:rPr>
                <w:rFonts w:ascii="Times New Roman" w:hAnsi="Times New Roman"/>
                <w:sz w:val="14"/>
              </w:rPr>
              <w:t>16</w:t>
            </w:r>
          </w:p>
        </w:tc>
        <w:tc>
          <w:tcPr>
            <w:tcW w:type="dxa" w:w="2628"/>
            <w:vAlign w:val="center"/>
          </w:tcPr>
          <w:p>
            <w:pPr>
              <w:spacing w:after="0"/>
            </w:pPr>
            <w:r>
              <w:rPr>
                <w:rFonts w:ascii="Times New Roman" w:hAnsi="Times New Roman"/>
                <w:sz w:val="14"/>
              </w:rPr>
              <w:t>€2,937</w:t>
            </w:r>
          </w:p>
        </w:tc>
        <w:tc>
          <w:tcPr>
            <w:tcW w:type="dxa" w:w="2628"/>
            <w:vAlign w:val="center"/>
          </w:tcPr>
          <w:p>
            <w:pPr>
              <w:spacing w:after="0"/>
            </w:pPr>
            <w:r>
              <w:rPr>
                <w:rFonts w:ascii="Times New Roman" w:hAnsi="Times New Roman"/>
                <w:sz w:val="14"/>
              </w:rPr>
              <w:t>≈ 0.05 realised walks/night</w:t>
            </w:r>
          </w:p>
        </w:tc>
      </w:tr>
    </w:tbl>
    <w:p>
      <w:pPr>
        <w:spacing w:after="60" w:line="240" w:lineRule="auto"/>
        <w:jc w:val="both"/>
      </w:pPr>
      <w:r>
        <w:rPr>
          <w:rFonts w:ascii="Times New Roman" w:hAnsi="Times New Roman"/>
          <w:sz w:val="18"/>
        </w:rPr>
        <w:t>The exact base-cost maximum is k=18. However, k=8 is the smallest level whose expected profit is within 1% of that peak, while the expected walk count is effectively zero in the backtest. This is the decision-grade point: a highly precise optimum is not warranted when capacity itself is assumed.</w:t>
      </w:r>
    </w:p>
    <w:p>
      <w:pPr>
        <w:spacing w:after="20"/>
        <w:jc w:val="center"/>
      </w:pPr>
      <w:r>
        <w:drawing>
          <wp:inline xmlns:a="http://schemas.openxmlformats.org/drawingml/2006/main" xmlns:pic="http://schemas.openxmlformats.org/drawingml/2006/picture">
            <wp:extent cx="5623560" cy="3514725"/>
            <wp:docPr id="7" name="Picture 7"/>
            <wp:cNvGraphicFramePr>
              <a:graphicFrameLocks noChangeAspect="1"/>
            </wp:cNvGraphicFramePr>
            <a:graphic>
              <a:graphicData uri="http://schemas.openxmlformats.org/drawingml/2006/picture">
                <pic:pic>
                  <pic:nvPicPr>
                    <pic:cNvPr id="0" name="profit_curve.png"/>
                    <pic:cNvPicPr/>
                  </pic:nvPicPr>
                  <pic:blipFill>
                    <a:blip r:embed="rId16"/>
                    <a:stretch>
                      <a:fillRect/>
                    </a:stretch>
                  </pic:blipFill>
                  <pic:spPr>
                    <a:xfrm>
                      <a:off x="0" y="0"/>
                      <a:ext cx="5623560" cy="3514725"/>
                    </a:xfrm>
                    <a:prstGeom prst="rect"/>
                  </pic:spPr>
                </pic:pic>
              </a:graphicData>
            </a:graphic>
          </wp:inline>
        </w:drawing>
      </w:r>
    </w:p>
    <w:p>
      <w:pPr>
        <w:spacing w:after="60" w:line="240" w:lineRule="auto"/>
        <w:jc w:val="center"/>
      </w:pPr>
      <w:r>
        <w:rPr>
          <w:rFonts w:ascii="Times New Roman" w:hAnsi="Times New Roman"/>
          <w:sz w:val="14"/>
        </w:rPr>
        <w:t>Figure 7. Expected nightly room profit under low/base/high walk-cost scenarios. The near-flat top supports a conservative pilot rather than a single-point “optimal” rule.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r>
              <w:rPr>
                <w:rFonts w:ascii="Times New Roman" w:hAnsi="Times New Roman"/>
                <w:b/>
                <w:sz w:val="13"/>
              </w:rPr>
              <w:t>Assumed capacity</w:t>
            </w:r>
          </w:p>
        </w:tc>
        <w:tc>
          <w:tcPr>
            <w:tcW w:type="dxa" w:w="2628"/>
            <w:vAlign w:val="center"/>
          </w:tcPr>
          <w:p>
            <w:r>
              <w:rPr>
                <w:rFonts w:ascii="Times New Roman" w:hAnsi="Times New Roman"/>
                <w:b/>
                <w:sz w:val="13"/>
              </w:rPr>
              <w:t>Low-cost k</w:t>
            </w:r>
          </w:p>
        </w:tc>
        <w:tc>
          <w:tcPr>
            <w:tcW w:type="dxa" w:w="2628"/>
            <w:vAlign w:val="center"/>
          </w:tcPr>
          <w:p>
            <w:r>
              <w:rPr>
                <w:rFonts w:ascii="Times New Roman" w:hAnsi="Times New Roman"/>
                <w:b/>
                <w:sz w:val="13"/>
              </w:rPr>
              <w:t>Base-cost k</w:t>
            </w:r>
          </w:p>
        </w:tc>
        <w:tc>
          <w:tcPr>
            <w:tcW w:type="dxa" w:w="2628"/>
            <w:vAlign w:val="center"/>
          </w:tcPr>
          <w:p>
            <w:r>
              <w:rPr>
                <w:rFonts w:ascii="Times New Roman" w:hAnsi="Times New Roman"/>
                <w:b/>
                <w:sz w:val="13"/>
              </w:rPr>
              <w:t>High-cost k</w:t>
            </w:r>
          </w:p>
        </w:tc>
      </w:tr>
      <w:tr>
        <w:tc>
          <w:tcPr>
            <w:tcW w:type="dxa" w:w="2628"/>
            <w:vAlign w:val="center"/>
          </w:tcPr>
          <w:p>
            <w:pPr>
              <w:spacing w:after="0"/>
            </w:pPr>
            <w:r>
              <w:rPr>
                <w:rFonts w:ascii="Times New Roman" w:hAnsi="Times New Roman"/>
                <w:sz w:val="13"/>
              </w:rPr>
              <w:t>40</w:t>
            </w:r>
          </w:p>
        </w:tc>
        <w:tc>
          <w:tcPr>
            <w:tcW w:type="dxa" w:w="2628"/>
            <w:vAlign w:val="center"/>
          </w:tcPr>
          <w:p>
            <w:pPr>
              <w:spacing w:after="0"/>
            </w:pPr>
            <w:r>
              <w:rPr>
                <w:rFonts w:ascii="Times New Roman" w:hAnsi="Times New Roman"/>
                <w:sz w:val="13"/>
              </w:rPr>
              <w:t>10</w:t>
            </w:r>
          </w:p>
        </w:tc>
        <w:tc>
          <w:tcPr>
            <w:tcW w:type="dxa" w:w="2628"/>
            <w:vAlign w:val="center"/>
          </w:tcPr>
          <w:p>
            <w:pPr>
              <w:spacing w:after="0"/>
            </w:pPr>
            <w:r>
              <w:rPr>
                <w:rFonts w:ascii="Times New Roman" w:hAnsi="Times New Roman"/>
                <w:sz w:val="13"/>
              </w:rPr>
              <w:t>8</w:t>
            </w:r>
          </w:p>
        </w:tc>
        <w:tc>
          <w:tcPr>
            <w:tcW w:type="dxa" w:w="2628"/>
            <w:vAlign w:val="center"/>
          </w:tcPr>
          <w:p>
            <w:pPr>
              <w:spacing w:after="0"/>
            </w:pPr>
            <w:r>
              <w:rPr>
                <w:rFonts w:ascii="Times New Roman" w:hAnsi="Times New Roman"/>
                <w:sz w:val="13"/>
              </w:rPr>
              <w:t>7</w:t>
            </w:r>
          </w:p>
        </w:tc>
      </w:tr>
      <w:tr>
        <w:tc>
          <w:tcPr>
            <w:tcW w:type="dxa" w:w="2628"/>
            <w:vAlign w:val="center"/>
          </w:tcPr>
          <w:p>
            <w:pPr>
              <w:spacing w:after="0"/>
            </w:pPr>
            <w:r>
              <w:rPr>
                <w:rFonts w:ascii="Times New Roman" w:hAnsi="Times New Roman"/>
                <w:sz w:val="13"/>
              </w:rPr>
              <w:t>50</w:t>
            </w:r>
          </w:p>
        </w:tc>
        <w:tc>
          <w:tcPr>
            <w:tcW w:type="dxa" w:w="2628"/>
            <w:vAlign w:val="center"/>
          </w:tcPr>
          <w:p>
            <w:pPr>
              <w:spacing w:after="0"/>
            </w:pPr>
            <w:r>
              <w:rPr>
                <w:rFonts w:ascii="Times New Roman" w:hAnsi="Times New Roman"/>
                <w:sz w:val="13"/>
              </w:rPr>
              <w:t>15</w:t>
            </w:r>
          </w:p>
        </w:tc>
        <w:tc>
          <w:tcPr>
            <w:tcW w:type="dxa" w:w="2628"/>
            <w:vAlign w:val="center"/>
          </w:tcPr>
          <w:p>
            <w:pPr>
              <w:spacing w:after="0"/>
            </w:pPr>
            <w:r>
              <w:rPr>
                <w:rFonts w:ascii="Times New Roman" w:hAnsi="Times New Roman"/>
                <w:sz w:val="13"/>
              </w:rPr>
              <w:t>13</w:t>
            </w:r>
          </w:p>
        </w:tc>
        <w:tc>
          <w:tcPr>
            <w:tcW w:type="dxa" w:w="2628"/>
            <w:vAlign w:val="center"/>
          </w:tcPr>
          <w:p>
            <w:pPr>
              <w:spacing w:after="0"/>
            </w:pPr>
            <w:r>
              <w:rPr>
                <w:rFonts w:ascii="Times New Roman" w:hAnsi="Times New Roman"/>
                <w:sz w:val="13"/>
              </w:rPr>
              <w:t>12</w:t>
            </w:r>
          </w:p>
        </w:tc>
      </w:tr>
      <w:tr>
        <w:tc>
          <w:tcPr>
            <w:tcW w:type="dxa" w:w="2628"/>
            <w:vAlign w:val="center"/>
          </w:tcPr>
          <w:p>
            <w:pPr>
              <w:spacing w:after="0"/>
            </w:pPr>
            <w:r>
              <w:rPr>
                <w:rFonts w:ascii="Times New Roman" w:hAnsi="Times New Roman"/>
                <w:sz w:val="13"/>
              </w:rPr>
              <w:t>60</w:t>
            </w:r>
          </w:p>
        </w:tc>
        <w:tc>
          <w:tcPr>
            <w:tcW w:type="dxa" w:w="2628"/>
            <w:vAlign w:val="center"/>
          </w:tcPr>
          <w:p>
            <w:pPr>
              <w:spacing w:after="0"/>
            </w:pPr>
            <w:r>
              <w:rPr>
                <w:rFonts w:ascii="Times New Roman" w:hAnsi="Times New Roman"/>
                <w:sz w:val="13"/>
              </w:rPr>
              <w:t>19</w:t>
            </w:r>
          </w:p>
        </w:tc>
        <w:tc>
          <w:tcPr>
            <w:tcW w:type="dxa" w:w="2628"/>
            <w:vAlign w:val="center"/>
          </w:tcPr>
          <w:p>
            <w:pPr>
              <w:spacing w:after="0"/>
            </w:pPr>
            <w:r>
              <w:rPr>
                <w:rFonts w:ascii="Times New Roman" w:hAnsi="Times New Roman"/>
                <w:sz w:val="13"/>
              </w:rPr>
              <w:t>18</w:t>
            </w:r>
          </w:p>
        </w:tc>
        <w:tc>
          <w:tcPr>
            <w:tcW w:type="dxa" w:w="2628"/>
            <w:vAlign w:val="center"/>
          </w:tcPr>
          <w:p>
            <w:pPr>
              <w:spacing w:after="0"/>
            </w:pPr>
            <w:r>
              <w:rPr>
                <w:rFonts w:ascii="Times New Roman" w:hAnsi="Times New Roman"/>
                <w:sz w:val="13"/>
              </w:rPr>
              <w:t>16</w:t>
            </w:r>
          </w:p>
        </w:tc>
      </w:tr>
      <w:tr>
        <w:tc>
          <w:tcPr>
            <w:tcW w:type="dxa" w:w="2628"/>
            <w:vAlign w:val="center"/>
          </w:tcPr>
          <w:p>
            <w:pPr>
              <w:spacing w:after="0"/>
            </w:pPr>
            <w:r>
              <w:rPr>
                <w:rFonts w:ascii="Times New Roman" w:hAnsi="Times New Roman"/>
                <w:sz w:val="13"/>
              </w:rPr>
              <w:t>70</w:t>
            </w:r>
          </w:p>
        </w:tc>
        <w:tc>
          <w:tcPr>
            <w:tcW w:type="dxa" w:w="2628"/>
            <w:vAlign w:val="center"/>
          </w:tcPr>
          <w:p>
            <w:pPr>
              <w:spacing w:after="0"/>
            </w:pPr>
            <w:r>
              <w:rPr>
                <w:rFonts w:ascii="Times New Roman" w:hAnsi="Times New Roman"/>
                <w:sz w:val="13"/>
              </w:rPr>
              <w:t>28</w:t>
            </w:r>
          </w:p>
        </w:tc>
        <w:tc>
          <w:tcPr>
            <w:tcW w:type="dxa" w:w="2628"/>
            <w:vAlign w:val="center"/>
          </w:tcPr>
          <w:p>
            <w:pPr>
              <w:spacing w:after="0"/>
            </w:pPr>
            <w:r>
              <w:rPr>
                <w:rFonts w:ascii="Times New Roman" w:hAnsi="Times New Roman"/>
                <w:sz w:val="13"/>
              </w:rPr>
              <w:t>26</w:t>
            </w:r>
          </w:p>
        </w:tc>
        <w:tc>
          <w:tcPr>
            <w:tcW w:type="dxa" w:w="2628"/>
            <w:vAlign w:val="center"/>
          </w:tcPr>
          <w:p>
            <w:pPr>
              <w:spacing w:after="0"/>
            </w:pPr>
            <w:r>
              <w:rPr>
                <w:rFonts w:ascii="Times New Roman" w:hAnsi="Times New Roman"/>
                <w:sz w:val="13"/>
              </w:rPr>
              <w:t>24</w:t>
            </w:r>
          </w:p>
        </w:tc>
      </w:tr>
      <w:tr>
        <w:tc>
          <w:tcPr>
            <w:tcW w:type="dxa" w:w="2628"/>
            <w:vAlign w:val="center"/>
          </w:tcPr>
          <w:p>
            <w:pPr>
              <w:spacing w:after="0"/>
            </w:pPr>
            <w:r>
              <w:rPr>
                <w:rFonts w:ascii="Times New Roman" w:hAnsi="Times New Roman"/>
                <w:sz w:val="13"/>
              </w:rPr>
              <w:t>80</w:t>
            </w:r>
          </w:p>
        </w:tc>
        <w:tc>
          <w:tcPr>
            <w:tcW w:type="dxa" w:w="2628"/>
            <w:vAlign w:val="center"/>
          </w:tcPr>
          <w:p>
            <w:pPr>
              <w:spacing w:after="0"/>
            </w:pPr>
            <w:r>
              <w:rPr>
                <w:rFonts w:ascii="Times New Roman" w:hAnsi="Times New Roman"/>
                <w:sz w:val="13"/>
              </w:rPr>
              <w:t>45</w:t>
            </w:r>
          </w:p>
        </w:tc>
        <w:tc>
          <w:tcPr>
            <w:tcW w:type="dxa" w:w="2628"/>
            <w:vAlign w:val="center"/>
          </w:tcPr>
          <w:p>
            <w:pPr>
              <w:spacing w:after="0"/>
            </w:pPr>
            <w:r>
              <w:rPr>
                <w:rFonts w:ascii="Times New Roman" w:hAnsi="Times New Roman"/>
                <w:sz w:val="13"/>
              </w:rPr>
              <w:t>45</w:t>
            </w:r>
          </w:p>
        </w:tc>
        <w:tc>
          <w:tcPr>
            <w:tcW w:type="dxa" w:w="2628"/>
            <w:vAlign w:val="center"/>
          </w:tcPr>
          <w:p>
            <w:pPr>
              <w:spacing w:after="0"/>
            </w:pPr>
            <w:r>
              <w:rPr>
                <w:rFonts w:ascii="Times New Roman" w:hAnsi="Times New Roman"/>
                <w:sz w:val="13"/>
              </w:rPr>
              <w:t>45</w:t>
            </w:r>
          </w:p>
        </w:tc>
      </w:tr>
    </w:tbl>
    <w:p>
      <w:pPr>
        <w:spacing w:after="60" w:line="240" w:lineRule="auto"/>
        <w:jc w:val="both"/>
      </w:pPr>
      <w:r>
        <w:rPr>
          <w:rFonts w:ascii="Times New Roman" w:hAnsi="Times New Roman"/>
          <w:sz w:val="18"/>
        </w:rPr>
        <w:t>Capacity sensitivity is strong: the mathematically preferred overbooking level changes from single digits at 40 rooms to much higher levels at 70–80 rooms. The project therefore requires verified inventory before any production deployment.</w:t>
      </w:r>
    </w:p>
    <w:p>
      <w:r>
        <w:br w:type="page"/>
      </w:r>
    </w:p>
    <w:p>
      <w:pPr>
        <w:pStyle w:val="Heading1"/>
        <w:spacing w:before="60" w:after="60"/>
      </w:pPr>
      <w:r>
        <w:t>10. Deposit policy: decision support, not causal proof</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tcPr>
          <w:p>
            <w:r>
              <w:rPr>
                <w:rFonts w:ascii="Times New Roman" w:hAnsi="Times New Roman"/>
                <w:b/>
                <w:sz w:val="14"/>
              </w:rPr>
              <w:t>Risk tier</w:t>
            </w:r>
          </w:p>
        </w:tc>
        <w:tc>
          <w:tcPr>
            <w:tcW w:type="dxa" w:w="1752"/>
            <w:vAlign w:val="center"/>
          </w:tcPr>
          <w:p>
            <w:r>
              <w:rPr>
                <w:rFonts w:ascii="Times New Roman" w:hAnsi="Times New Roman"/>
                <w:b/>
                <w:sz w:val="14"/>
              </w:rPr>
              <w:t>Eligible bookings</w:t>
            </w:r>
          </w:p>
        </w:tc>
        <w:tc>
          <w:tcPr>
            <w:tcW w:type="dxa" w:w="1752"/>
            <w:vAlign w:val="center"/>
          </w:tcPr>
          <w:p>
            <w:r>
              <w:rPr>
                <w:rFonts w:ascii="Times New Roman" w:hAnsi="Times New Roman"/>
                <w:b/>
                <w:sz w:val="14"/>
              </w:rPr>
              <w:t>Deposit</w:t>
            </w:r>
          </w:p>
        </w:tc>
        <w:tc>
          <w:tcPr>
            <w:tcW w:type="dxa" w:w="1752"/>
            <w:vAlign w:val="center"/>
          </w:tcPr>
          <w:p>
            <w:r>
              <w:rPr>
                <w:rFonts w:ascii="Times New Roman" w:hAnsi="Times New Roman"/>
                <w:b/>
                <w:sz w:val="14"/>
              </w:rPr>
              <w:t>Observed cancel</w:t>
            </w:r>
          </w:p>
        </w:tc>
        <w:tc>
          <w:tcPr>
            <w:tcW w:type="dxa" w:w="1752"/>
            <w:vAlign w:val="center"/>
          </w:tcPr>
          <w:p>
            <w:r>
              <w:rPr>
                <w:rFonts w:ascii="Times New Roman" w:hAnsi="Times New Roman"/>
                <w:b/>
                <w:sz w:val="14"/>
              </w:rPr>
              <w:t>Assumed deterrence</w:t>
            </w:r>
          </w:p>
        </w:tc>
        <w:tc>
          <w:tcPr>
            <w:tcW w:type="dxa" w:w="1752"/>
            <w:vAlign w:val="center"/>
          </w:tcPr>
          <w:p>
            <w:r>
              <w:rPr>
                <w:rFonts w:ascii="Times New Roman" w:hAnsi="Times New Roman"/>
                <w:b/>
                <w:sz w:val="14"/>
              </w:rPr>
              <w:t>Assumed booking loss</w:t>
            </w:r>
          </w:p>
        </w:tc>
      </w:tr>
      <w:tr>
        <w:tc>
          <w:tcPr>
            <w:tcW w:type="dxa" w:w="1752"/>
            <w:vAlign w:val="center"/>
          </w:tcPr>
          <w:p>
            <w:pPr>
              <w:spacing w:after="0"/>
            </w:pPr>
            <w:r>
              <w:rPr>
                <w:rFonts w:ascii="Times New Roman" w:hAnsi="Times New Roman"/>
                <w:sz w:val="14"/>
              </w:rPr>
              <w:t>Low risk</w:t>
            </w:r>
          </w:p>
        </w:tc>
        <w:tc>
          <w:tcPr>
            <w:tcW w:type="dxa" w:w="1752"/>
            <w:vAlign w:val="center"/>
          </w:tcPr>
          <w:p>
            <w:pPr>
              <w:spacing w:after="0"/>
            </w:pPr>
            <w:r>
              <w:rPr>
                <w:rFonts w:ascii="Times New Roman" w:hAnsi="Times New Roman"/>
                <w:sz w:val="14"/>
              </w:rPr>
              <w:t>2470</w:t>
            </w:r>
          </w:p>
        </w:tc>
        <w:tc>
          <w:tcPr>
            <w:tcW w:type="dxa" w:w="1752"/>
            <w:vAlign w:val="center"/>
          </w:tcPr>
          <w:p>
            <w:pPr>
              <w:spacing w:after="0"/>
            </w:pPr>
            <w:r>
              <w:rPr>
                <w:rFonts w:ascii="Times New Roman" w:hAnsi="Times New Roman"/>
                <w:sz w:val="14"/>
              </w:rPr>
              <w:t>0.0%</w:t>
            </w:r>
          </w:p>
        </w:tc>
        <w:tc>
          <w:tcPr>
            <w:tcW w:type="dxa" w:w="1752"/>
            <w:vAlign w:val="center"/>
          </w:tcPr>
          <w:p>
            <w:pPr>
              <w:spacing w:after="0"/>
            </w:pPr>
            <w:r>
              <w:rPr>
                <w:rFonts w:ascii="Times New Roman" w:hAnsi="Times New Roman"/>
                <w:sz w:val="14"/>
              </w:rPr>
              <w:t>8.3%</w:t>
            </w:r>
          </w:p>
        </w:tc>
        <w:tc>
          <w:tcPr>
            <w:tcW w:type="dxa" w:w="1752"/>
            <w:vAlign w:val="center"/>
          </w:tcPr>
          <w:p>
            <w:pPr>
              <w:spacing w:after="0"/>
            </w:pPr>
            <w:r>
              <w:rPr>
                <w:rFonts w:ascii="Times New Roman" w:hAnsi="Times New Roman"/>
                <w:sz w:val="14"/>
              </w:rPr>
              <w:t>0.0%</w:t>
            </w:r>
          </w:p>
        </w:tc>
        <w:tc>
          <w:tcPr>
            <w:tcW w:type="dxa" w:w="1752"/>
            <w:vAlign w:val="center"/>
          </w:tcPr>
          <w:p>
            <w:pPr>
              <w:spacing w:after="0"/>
            </w:pPr>
            <w:r>
              <w:rPr>
                <w:rFonts w:ascii="Times New Roman" w:hAnsi="Times New Roman"/>
                <w:sz w:val="14"/>
              </w:rPr>
              <w:t>0.0%</w:t>
            </w:r>
          </w:p>
        </w:tc>
      </w:tr>
      <w:tr>
        <w:tc>
          <w:tcPr>
            <w:tcW w:type="dxa" w:w="1752"/>
            <w:vAlign w:val="center"/>
          </w:tcPr>
          <w:p>
            <w:pPr>
              <w:spacing w:after="0"/>
            </w:pPr>
            <w:r>
              <w:rPr>
                <w:rFonts w:ascii="Times New Roman" w:hAnsi="Times New Roman"/>
                <w:sz w:val="14"/>
              </w:rPr>
              <w:t>Medium risk</w:t>
            </w:r>
          </w:p>
        </w:tc>
        <w:tc>
          <w:tcPr>
            <w:tcW w:type="dxa" w:w="1752"/>
            <w:vAlign w:val="center"/>
          </w:tcPr>
          <w:p>
            <w:pPr>
              <w:spacing w:after="0"/>
            </w:pPr>
            <w:r>
              <w:rPr>
                <w:rFonts w:ascii="Times New Roman" w:hAnsi="Times New Roman"/>
                <w:sz w:val="14"/>
              </w:rPr>
              <w:t>1879</w:t>
            </w:r>
          </w:p>
        </w:tc>
        <w:tc>
          <w:tcPr>
            <w:tcW w:type="dxa" w:w="1752"/>
            <w:vAlign w:val="center"/>
          </w:tcPr>
          <w:p>
            <w:pPr>
              <w:spacing w:after="0"/>
            </w:pPr>
            <w:r>
              <w:rPr>
                <w:rFonts w:ascii="Times New Roman" w:hAnsi="Times New Roman"/>
                <w:sz w:val="14"/>
              </w:rPr>
              <w:t>10.0%</w:t>
            </w:r>
          </w:p>
        </w:tc>
        <w:tc>
          <w:tcPr>
            <w:tcW w:type="dxa" w:w="1752"/>
            <w:vAlign w:val="center"/>
          </w:tcPr>
          <w:p>
            <w:pPr>
              <w:spacing w:after="0"/>
            </w:pPr>
            <w:r>
              <w:rPr>
                <w:rFonts w:ascii="Times New Roman" w:hAnsi="Times New Roman"/>
                <w:sz w:val="14"/>
              </w:rPr>
              <w:t>28.6%</w:t>
            </w:r>
          </w:p>
        </w:tc>
        <w:tc>
          <w:tcPr>
            <w:tcW w:type="dxa" w:w="1752"/>
            <w:vAlign w:val="center"/>
          </w:tcPr>
          <w:p>
            <w:pPr>
              <w:spacing w:after="0"/>
            </w:pPr>
            <w:r>
              <w:rPr>
                <w:rFonts w:ascii="Times New Roman" w:hAnsi="Times New Roman"/>
                <w:sz w:val="14"/>
              </w:rPr>
              <w:t>20.0%</w:t>
            </w:r>
          </w:p>
        </w:tc>
        <w:tc>
          <w:tcPr>
            <w:tcW w:type="dxa" w:w="1752"/>
            <w:vAlign w:val="center"/>
          </w:tcPr>
          <w:p>
            <w:pPr>
              <w:spacing w:after="0"/>
            </w:pPr>
            <w:r>
              <w:rPr>
                <w:rFonts w:ascii="Times New Roman" w:hAnsi="Times New Roman"/>
                <w:sz w:val="14"/>
              </w:rPr>
              <w:t>4.0%</w:t>
            </w:r>
          </w:p>
        </w:tc>
      </w:tr>
      <w:tr>
        <w:tc>
          <w:tcPr>
            <w:tcW w:type="dxa" w:w="1752"/>
            <w:vAlign w:val="center"/>
          </w:tcPr>
          <w:p>
            <w:pPr>
              <w:spacing w:after="0"/>
            </w:pPr>
            <w:r>
              <w:rPr>
                <w:rFonts w:ascii="Times New Roman" w:hAnsi="Times New Roman"/>
                <w:sz w:val="14"/>
              </w:rPr>
              <w:t>High risk</w:t>
            </w:r>
          </w:p>
        </w:tc>
        <w:tc>
          <w:tcPr>
            <w:tcW w:type="dxa" w:w="1752"/>
            <w:vAlign w:val="center"/>
          </w:tcPr>
          <w:p>
            <w:pPr>
              <w:spacing w:after="0"/>
            </w:pPr>
            <w:r>
              <w:rPr>
                <w:rFonts w:ascii="Times New Roman" w:hAnsi="Times New Roman"/>
                <w:sz w:val="14"/>
              </w:rPr>
              <w:t>2823</w:t>
            </w:r>
          </w:p>
        </w:tc>
        <w:tc>
          <w:tcPr>
            <w:tcW w:type="dxa" w:w="1752"/>
            <w:vAlign w:val="center"/>
          </w:tcPr>
          <w:p>
            <w:pPr>
              <w:spacing w:after="0"/>
            </w:pPr>
            <w:r>
              <w:rPr>
                <w:rFonts w:ascii="Times New Roman" w:hAnsi="Times New Roman"/>
                <w:sz w:val="14"/>
              </w:rPr>
              <w:t>25.0%</w:t>
            </w:r>
          </w:p>
        </w:tc>
        <w:tc>
          <w:tcPr>
            <w:tcW w:type="dxa" w:w="1752"/>
            <w:vAlign w:val="center"/>
          </w:tcPr>
          <w:p>
            <w:pPr>
              <w:spacing w:after="0"/>
            </w:pPr>
            <w:r>
              <w:rPr>
                <w:rFonts w:ascii="Times New Roman" w:hAnsi="Times New Roman"/>
                <w:sz w:val="14"/>
              </w:rPr>
              <w:t>47.5%</w:t>
            </w:r>
          </w:p>
        </w:tc>
        <w:tc>
          <w:tcPr>
            <w:tcW w:type="dxa" w:w="1752"/>
            <w:vAlign w:val="center"/>
          </w:tcPr>
          <w:p>
            <w:pPr>
              <w:spacing w:after="0"/>
            </w:pPr>
            <w:r>
              <w:rPr>
                <w:rFonts w:ascii="Times New Roman" w:hAnsi="Times New Roman"/>
                <w:sz w:val="14"/>
              </w:rPr>
              <w:t>35.0%</w:t>
            </w:r>
          </w:p>
        </w:tc>
        <w:tc>
          <w:tcPr>
            <w:tcW w:type="dxa" w:w="1752"/>
            <w:vAlign w:val="center"/>
          </w:tcPr>
          <w:p>
            <w:pPr>
              <w:spacing w:after="0"/>
            </w:pPr>
            <w:r>
              <w:rPr>
                <w:rFonts w:ascii="Times New Roman" w:hAnsi="Times New Roman"/>
                <w:sz w:val="14"/>
              </w:rPr>
              <w:t>8.0%</w:t>
            </w:r>
          </w:p>
        </w:tc>
      </w:tr>
    </w:tbl>
    <w:p>
      <w:pPr>
        <w:spacing w:after="60" w:line="240" w:lineRule="auto"/>
        <w:jc w:val="both"/>
      </w:pPr>
      <w:r>
        <w:rPr>
          <w:rFonts w:ascii="Times New Roman" w:hAnsi="Times New Roman"/>
          <w:sz w:val="18"/>
        </w:rPr>
        <w:t>Policy exclusions: Non Refund deposit type, Groups market segment, and Offline TA/TO market segment. These are excluded because the historical relationships appear strongly intertwined with process/channel mechanics rather than representing a clean customer-facing price lever.</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tcPr>
          <w:p>
            <w:r>
              <w:rPr>
                <w:rFonts w:ascii="Times New Roman" w:hAnsi="Times New Roman"/>
                <w:b/>
                <w:sz w:val="14"/>
              </w:rPr>
              <w:t>Scenario</w:t>
            </w:r>
          </w:p>
        </w:tc>
        <w:tc>
          <w:tcPr>
            <w:tcW w:type="dxa" w:w="2102"/>
            <w:vAlign w:val="center"/>
          </w:tcPr>
          <w:p>
            <w:r>
              <w:rPr>
                <w:rFonts w:ascii="Times New Roman" w:hAnsi="Times New Roman"/>
                <w:b/>
                <w:sz w:val="14"/>
              </w:rPr>
              <w:t>Deterrence M/H</w:t>
            </w:r>
          </w:p>
        </w:tc>
        <w:tc>
          <w:tcPr>
            <w:tcW w:type="dxa" w:w="2102"/>
            <w:vAlign w:val="center"/>
          </w:tcPr>
          <w:p>
            <w:r>
              <w:rPr>
                <w:rFonts w:ascii="Times New Roman" w:hAnsi="Times New Roman"/>
                <w:b/>
                <w:sz w:val="14"/>
              </w:rPr>
              <w:t>Booking loss M/H</w:t>
            </w:r>
          </w:p>
        </w:tc>
        <w:tc>
          <w:tcPr>
            <w:tcW w:type="dxa" w:w="2102"/>
            <w:vAlign w:val="center"/>
          </w:tcPr>
          <w:p>
            <w:r>
              <w:rPr>
                <w:rFonts w:ascii="Times New Roman" w:hAnsi="Times New Roman"/>
                <w:b/>
                <w:sz w:val="14"/>
              </w:rPr>
              <w:t>Recovery of prevented value</w:t>
            </w:r>
          </w:p>
        </w:tc>
        <w:tc>
          <w:tcPr>
            <w:tcW w:type="dxa" w:w="2102"/>
            <w:vAlign w:val="center"/>
          </w:tcPr>
          <w:p>
            <w:r>
              <w:rPr>
                <w:rFonts w:ascii="Times New Roman" w:hAnsi="Times New Roman"/>
                <w:b/>
                <w:sz w:val="14"/>
              </w:rPr>
              <w:t>Net incremental room revenue</w:t>
            </w:r>
          </w:p>
        </w:tc>
      </w:tr>
      <w:tr>
        <w:tc>
          <w:tcPr>
            <w:tcW w:type="dxa" w:w="2102"/>
            <w:vAlign w:val="center"/>
          </w:tcPr>
          <w:p>
            <w:pPr>
              <w:spacing w:after="0"/>
            </w:pPr>
            <w:r>
              <w:rPr>
                <w:rFonts w:ascii="Times New Roman" w:hAnsi="Times New Roman"/>
                <w:sz w:val="14"/>
              </w:rPr>
              <w:t>Conservative</w:t>
            </w:r>
          </w:p>
        </w:tc>
        <w:tc>
          <w:tcPr>
            <w:tcW w:type="dxa" w:w="2102"/>
            <w:vAlign w:val="center"/>
          </w:tcPr>
          <w:p>
            <w:pPr>
              <w:spacing w:after="0"/>
            </w:pPr>
            <w:r>
              <w:rPr>
                <w:rFonts w:ascii="Times New Roman" w:hAnsi="Times New Roman"/>
                <w:sz w:val="14"/>
              </w:rPr>
              <w:t>10% / 20%</w:t>
            </w:r>
          </w:p>
        </w:tc>
        <w:tc>
          <w:tcPr>
            <w:tcW w:type="dxa" w:w="2102"/>
            <w:vAlign w:val="center"/>
          </w:tcPr>
          <w:p>
            <w:pPr>
              <w:spacing w:after="0"/>
            </w:pPr>
            <w:r>
              <w:rPr>
                <w:rFonts w:ascii="Times New Roman" w:hAnsi="Times New Roman"/>
                <w:sz w:val="14"/>
              </w:rPr>
              <w:t>6% / 12%</w:t>
            </w:r>
          </w:p>
        </w:tc>
        <w:tc>
          <w:tcPr>
            <w:tcW w:type="dxa" w:w="2102"/>
            <w:vAlign w:val="center"/>
          </w:tcPr>
          <w:p>
            <w:pPr>
              <w:spacing w:after="0"/>
            </w:pPr>
            <w:r>
              <w:rPr>
                <w:rFonts w:ascii="Times New Roman" w:hAnsi="Times New Roman"/>
                <w:sz w:val="14"/>
              </w:rPr>
              <w:t>30%</w:t>
            </w:r>
          </w:p>
        </w:tc>
        <w:tc>
          <w:tcPr>
            <w:tcW w:type="dxa" w:w="2102"/>
            <w:vAlign w:val="center"/>
          </w:tcPr>
          <w:p>
            <w:pPr>
              <w:spacing w:after="0"/>
            </w:pPr>
            <w:r>
              <w:rPr>
                <w:rFonts w:ascii="Times New Roman" w:hAnsi="Times New Roman"/>
                <w:sz w:val="14"/>
              </w:rPr>
              <w:t>€-79,024</w:t>
            </w:r>
          </w:p>
        </w:tc>
      </w:tr>
      <w:tr>
        <w:tc>
          <w:tcPr>
            <w:tcW w:type="dxa" w:w="2102"/>
            <w:vAlign w:val="center"/>
          </w:tcPr>
          <w:p>
            <w:pPr>
              <w:spacing w:after="0"/>
            </w:pPr>
            <w:r>
              <w:rPr>
                <w:rFonts w:ascii="Times New Roman" w:hAnsi="Times New Roman"/>
                <w:sz w:val="14"/>
              </w:rPr>
              <w:t>Base</w:t>
            </w:r>
          </w:p>
        </w:tc>
        <w:tc>
          <w:tcPr>
            <w:tcW w:type="dxa" w:w="2102"/>
            <w:vAlign w:val="center"/>
          </w:tcPr>
          <w:p>
            <w:pPr>
              <w:spacing w:after="0"/>
            </w:pPr>
            <w:r>
              <w:rPr>
                <w:rFonts w:ascii="Times New Roman" w:hAnsi="Times New Roman"/>
                <w:sz w:val="14"/>
              </w:rPr>
              <w:t>20% / 35%</w:t>
            </w:r>
          </w:p>
        </w:tc>
        <w:tc>
          <w:tcPr>
            <w:tcW w:type="dxa" w:w="2102"/>
            <w:vAlign w:val="center"/>
          </w:tcPr>
          <w:p>
            <w:pPr>
              <w:spacing w:after="0"/>
            </w:pPr>
            <w:r>
              <w:rPr>
                <w:rFonts w:ascii="Times New Roman" w:hAnsi="Times New Roman"/>
                <w:sz w:val="14"/>
              </w:rPr>
              <w:t>4% / 8%</w:t>
            </w:r>
          </w:p>
        </w:tc>
        <w:tc>
          <w:tcPr>
            <w:tcW w:type="dxa" w:w="2102"/>
            <w:vAlign w:val="center"/>
          </w:tcPr>
          <w:p>
            <w:pPr>
              <w:spacing w:after="0"/>
            </w:pPr>
            <w:r>
              <w:rPr>
                <w:rFonts w:ascii="Times New Roman" w:hAnsi="Times New Roman"/>
                <w:sz w:val="14"/>
              </w:rPr>
              <w:t>50%</w:t>
            </w:r>
          </w:p>
        </w:tc>
        <w:tc>
          <w:tcPr>
            <w:tcW w:type="dxa" w:w="2102"/>
            <w:vAlign w:val="center"/>
          </w:tcPr>
          <w:p>
            <w:pPr>
              <w:spacing w:after="0"/>
            </w:pPr>
            <w:r>
              <w:rPr>
                <w:rFonts w:ascii="Times New Roman" w:hAnsi="Times New Roman"/>
                <w:sz w:val="14"/>
              </w:rPr>
              <w:t>€54,738</w:t>
            </w:r>
          </w:p>
        </w:tc>
      </w:tr>
      <w:tr>
        <w:tc>
          <w:tcPr>
            <w:tcW w:type="dxa" w:w="2102"/>
            <w:vAlign w:val="center"/>
          </w:tcPr>
          <w:p>
            <w:pPr>
              <w:spacing w:after="0"/>
            </w:pPr>
            <w:r>
              <w:rPr>
                <w:rFonts w:ascii="Times New Roman" w:hAnsi="Times New Roman"/>
                <w:sz w:val="14"/>
              </w:rPr>
              <w:t>Optimistic</w:t>
            </w:r>
          </w:p>
        </w:tc>
        <w:tc>
          <w:tcPr>
            <w:tcW w:type="dxa" w:w="2102"/>
            <w:vAlign w:val="center"/>
          </w:tcPr>
          <w:p>
            <w:pPr>
              <w:spacing w:after="0"/>
            </w:pPr>
            <w:r>
              <w:rPr>
                <w:rFonts w:ascii="Times New Roman" w:hAnsi="Times New Roman"/>
                <w:sz w:val="14"/>
              </w:rPr>
              <w:t>30% / 50%</w:t>
            </w:r>
          </w:p>
        </w:tc>
        <w:tc>
          <w:tcPr>
            <w:tcW w:type="dxa" w:w="2102"/>
            <w:vAlign w:val="center"/>
          </w:tcPr>
          <w:p>
            <w:pPr>
              <w:spacing w:after="0"/>
            </w:pPr>
            <w:r>
              <w:rPr>
                <w:rFonts w:ascii="Times New Roman" w:hAnsi="Times New Roman"/>
                <w:sz w:val="14"/>
              </w:rPr>
              <w:t>2% / 4%</w:t>
            </w:r>
          </w:p>
        </w:tc>
        <w:tc>
          <w:tcPr>
            <w:tcW w:type="dxa" w:w="2102"/>
            <w:vAlign w:val="center"/>
          </w:tcPr>
          <w:p>
            <w:pPr>
              <w:spacing w:after="0"/>
            </w:pPr>
            <w:r>
              <w:rPr>
                <w:rFonts w:ascii="Times New Roman" w:hAnsi="Times New Roman"/>
                <w:sz w:val="14"/>
              </w:rPr>
              <w:t>70%</w:t>
            </w:r>
          </w:p>
        </w:tc>
        <w:tc>
          <w:tcPr>
            <w:tcW w:type="dxa" w:w="2102"/>
            <w:vAlign w:val="center"/>
          </w:tcPr>
          <w:p>
            <w:pPr>
              <w:spacing w:after="0"/>
            </w:pPr>
            <w:r>
              <w:rPr>
                <w:rFonts w:ascii="Times New Roman" w:hAnsi="Times New Roman"/>
                <w:sz w:val="14"/>
              </w:rPr>
              <w:t>€245,794</w:t>
            </w:r>
          </w:p>
        </w:tc>
      </w:tr>
    </w:tbl>
    <w:p>
      <w:pPr>
        <w:spacing w:after="60" w:line="240" w:lineRule="auto"/>
        <w:jc w:val="both"/>
      </w:pPr>
      <w:r>
        <w:rPr>
          <w:rFonts w:ascii="Times New Roman" w:hAnsi="Times New Roman"/>
          <w:sz w:val="18"/>
        </w:rPr>
        <w:t>Base-case output is €54,738; conservative is €-79,024; optimistic is €245,794. The base scenario prevents an expected 551.9 cancellations while losing 301.0 bookings under the assumed response. These figures are scenario math, not observed treatment effects.</w:t>
      </w:r>
    </w:p>
    <w:p>
      <w:pPr>
        <w:spacing w:after="20"/>
        <w:jc w:val="center"/>
      </w:pPr>
      <w:r>
        <w:drawing>
          <wp:inline xmlns:a="http://schemas.openxmlformats.org/drawingml/2006/main" xmlns:pic="http://schemas.openxmlformats.org/drawingml/2006/picture">
            <wp:extent cx="5212080" cy="3722914"/>
            <wp:docPr id="8" name="Picture 8"/>
            <wp:cNvGraphicFramePr>
              <a:graphicFrameLocks noChangeAspect="1"/>
            </wp:cNvGraphicFramePr>
            <a:graphic>
              <a:graphicData uri="http://schemas.openxmlformats.org/drawingml/2006/picture">
                <pic:pic>
                  <pic:nvPicPr>
                    <pic:cNvPr id="0" name="deposit_tradeoff.png"/>
                    <pic:cNvPicPr/>
                  </pic:nvPicPr>
                  <pic:blipFill>
                    <a:blip r:embed="rId17"/>
                    <a:stretch>
                      <a:fillRect/>
                    </a:stretch>
                  </pic:blipFill>
                  <pic:spPr>
                    <a:xfrm>
                      <a:off x="0" y="0"/>
                      <a:ext cx="5212080" cy="3722914"/>
                    </a:xfrm>
                    <a:prstGeom prst="rect"/>
                  </pic:spPr>
                </pic:pic>
              </a:graphicData>
            </a:graphic>
          </wp:inline>
        </w:drawing>
      </w:r>
    </w:p>
    <w:p>
      <w:pPr>
        <w:spacing w:after="60" w:line="240" w:lineRule="auto"/>
        <w:jc w:val="center"/>
      </w:pPr>
      <w:r>
        <w:rPr>
          <w:rFonts w:ascii="Times New Roman" w:hAnsi="Times New Roman"/>
          <w:sz w:val="14"/>
        </w:rPr>
        <w:t>Figure 8. Deposit trade-off: more cancellations prevented can require more bookings lost; policy value depends on the unknown response curve.</w:t>
      </w:r>
    </w:p>
    <w:p>
      <w:pPr>
        <w:spacing w:after="60" w:line="240" w:lineRule="auto"/>
        <w:jc w:val="both"/>
      </w:pPr>
      <w:r>
        <w:rPr>
          <w:rFonts w:ascii="Times New Roman" w:hAnsi="Times New Roman"/>
          <w:sz w:val="18"/>
        </w:rPr>
        <w:t>Break-even insight: the modeled base policy needs about 30.0% recovery of prevented room value to break even, holding the other assumptions fixed. The practical next step is an A/B or phased test with pre-registered cancellation and conversion metrics.</w:t>
      </w:r>
    </w:p>
    <w:p>
      <w:r>
        <w:br w:type="page"/>
      </w:r>
    </w:p>
    <w:p>
      <w:pPr>
        <w:pStyle w:val="Heading1"/>
        <w:spacing w:before="60" w:after="60"/>
      </w:pPr>
      <w:r>
        <w:t>11. Recommendation, controls and implementation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Times New Roman" w:hAnsi="Times New Roman"/>
                <w:b/>
                <w:sz w:val="14"/>
              </w:rPr>
              <w:t>Decision</w:t>
            </w:r>
          </w:p>
        </w:tc>
        <w:tc>
          <w:tcPr>
            <w:tcW w:type="dxa" w:w="3504"/>
            <w:vAlign w:val="center"/>
          </w:tcPr>
          <w:p>
            <w:r>
              <w:rPr>
                <w:rFonts w:ascii="Times New Roman" w:hAnsi="Times New Roman"/>
                <w:b/>
                <w:sz w:val="14"/>
              </w:rPr>
              <w:t>Recommendation</w:t>
            </w:r>
          </w:p>
        </w:tc>
        <w:tc>
          <w:tcPr>
            <w:tcW w:type="dxa" w:w="3504"/>
            <w:vAlign w:val="center"/>
          </w:tcPr>
          <w:p>
            <w:r>
              <w:rPr>
                <w:rFonts w:ascii="Times New Roman" w:hAnsi="Times New Roman"/>
                <w:b/>
                <w:sz w:val="14"/>
              </w:rPr>
              <w:t>Control before go-live</w:t>
            </w:r>
          </w:p>
        </w:tc>
      </w:tr>
      <w:tr>
        <w:tc>
          <w:tcPr>
            <w:tcW w:type="dxa" w:w="3504"/>
            <w:vAlign w:val="center"/>
          </w:tcPr>
          <w:p>
            <w:pPr>
              <w:spacing w:after="0"/>
            </w:pPr>
            <w:r>
              <w:rPr>
                <w:rFonts w:ascii="Times New Roman" w:hAnsi="Times New Roman"/>
                <w:sz w:val="14"/>
              </w:rPr>
              <w:t>Cancellation scoring</w:t>
            </w:r>
          </w:p>
        </w:tc>
        <w:tc>
          <w:tcPr>
            <w:tcW w:type="dxa" w:w="3504"/>
            <w:vAlign w:val="center"/>
          </w:tcPr>
          <w:p>
            <w:pPr>
              <w:spacing w:after="0"/>
            </w:pPr>
            <w:r>
              <w:rPr>
                <w:rFonts w:ascii="Times New Roman" w:hAnsi="Times New Roman"/>
                <w:sz w:val="14"/>
              </w:rPr>
              <w:t>Use booking-time GBM as a ranked co-pilot.</w:t>
            </w:r>
          </w:p>
        </w:tc>
        <w:tc>
          <w:tcPr>
            <w:tcW w:type="dxa" w:w="3504"/>
            <w:vAlign w:val="center"/>
          </w:tcPr>
          <w:p>
            <w:pPr>
              <w:spacing w:after="0"/>
            </w:pPr>
            <w:r>
              <w:rPr>
                <w:rFonts w:ascii="Times New Roman" w:hAnsi="Times New Roman"/>
                <w:sz w:val="14"/>
              </w:rPr>
              <w:t>Recalibrate on current bookings and monitor calibration drift.</w:t>
            </w:r>
          </w:p>
        </w:tc>
      </w:tr>
      <w:tr>
        <w:tc>
          <w:tcPr>
            <w:tcW w:type="dxa" w:w="3504"/>
            <w:vAlign w:val="center"/>
          </w:tcPr>
          <w:p>
            <w:pPr>
              <w:spacing w:after="0"/>
            </w:pPr>
            <w:r>
              <w:rPr>
                <w:rFonts w:ascii="Times New Roman" w:hAnsi="Times New Roman"/>
                <w:sz w:val="14"/>
              </w:rPr>
              <w:t>Overbooking</w:t>
            </w:r>
          </w:p>
        </w:tc>
        <w:tc>
          <w:tcPr>
            <w:tcW w:type="dxa" w:w="3504"/>
            <w:vAlign w:val="center"/>
          </w:tcPr>
          <w:p>
            <w:pPr>
              <w:spacing w:after="0"/>
            </w:pPr>
            <w:r>
              <w:rPr>
                <w:rFonts w:ascii="Times New Roman" w:hAnsi="Times New Roman"/>
                <w:sz w:val="14"/>
              </w:rPr>
              <w:t>Pilot k=8 under the 60-room planning assumption.</w:t>
            </w:r>
          </w:p>
        </w:tc>
        <w:tc>
          <w:tcPr>
            <w:tcW w:type="dxa" w:w="3504"/>
            <w:vAlign w:val="center"/>
          </w:tcPr>
          <w:p>
            <w:pPr>
              <w:spacing w:after="0"/>
            </w:pPr>
            <w:r>
              <w:rPr>
                <w:rFonts w:ascii="Times New Roman" w:hAnsi="Times New Roman"/>
                <w:sz w:val="14"/>
              </w:rPr>
              <w:t>Replace assumed capacity with live inventory and validate walk cost.</w:t>
            </w:r>
          </w:p>
        </w:tc>
      </w:tr>
      <w:tr>
        <w:tc>
          <w:tcPr>
            <w:tcW w:type="dxa" w:w="3504"/>
            <w:vAlign w:val="center"/>
          </w:tcPr>
          <w:p>
            <w:pPr>
              <w:spacing w:after="0"/>
            </w:pPr>
            <w:r>
              <w:rPr>
                <w:rFonts w:ascii="Times New Roman" w:hAnsi="Times New Roman"/>
                <w:sz w:val="14"/>
              </w:rPr>
              <w:t>Deposits</w:t>
            </w:r>
          </w:p>
        </w:tc>
        <w:tc>
          <w:tcPr>
            <w:tcW w:type="dxa" w:w="3504"/>
            <w:vAlign w:val="center"/>
          </w:tcPr>
          <w:p>
            <w:pPr>
              <w:spacing w:after="0"/>
            </w:pPr>
            <w:r>
              <w:rPr>
                <w:rFonts w:ascii="Times New Roman" w:hAnsi="Times New Roman"/>
                <w:sz w:val="14"/>
              </w:rPr>
              <w:t>Test 10% on medium risk and 25% on high risk only within eligible segments.</w:t>
            </w:r>
          </w:p>
        </w:tc>
        <w:tc>
          <w:tcPr>
            <w:tcW w:type="dxa" w:w="3504"/>
            <w:vAlign w:val="center"/>
          </w:tcPr>
          <w:p>
            <w:pPr>
              <w:spacing w:after="0"/>
            </w:pPr>
            <w:r>
              <w:rPr>
                <w:rFonts w:ascii="Times New Roman" w:hAnsi="Times New Roman"/>
                <w:sz w:val="14"/>
              </w:rPr>
              <w:t>Randomized/stepped experiment; measure conversion, cancellations and room value.</w:t>
            </w:r>
          </w:p>
        </w:tc>
      </w:tr>
      <w:tr>
        <w:tc>
          <w:tcPr>
            <w:tcW w:type="dxa" w:w="3504"/>
            <w:vAlign w:val="center"/>
          </w:tcPr>
          <w:p>
            <w:pPr>
              <w:spacing w:after="0"/>
            </w:pPr>
            <w:r>
              <w:rPr>
                <w:rFonts w:ascii="Times New Roman" w:hAnsi="Times New Roman"/>
                <w:sz w:val="14"/>
              </w:rPr>
              <w:t>Fairness</w:t>
            </w:r>
          </w:p>
        </w:tc>
        <w:tc>
          <w:tcPr>
            <w:tcW w:type="dxa" w:w="3504"/>
            <w:vAlign w:val="center"/>
          </w:tcPr>
          <w:p>
            <w:pPr>
              <w:spacing w:after="0"/>
            </w:pPr>
            <w:r>
              <w:rPr>
                <w:rFonts w:ascii="Times New Roman" w:hAnsi="Times New Roman"/>
                <w:sz w:val="14"/>
              </w:rPr>
              <w:t>Country is monitoring-only.</w:t>
            </w:r>
          </w:p>
        </w:tc>
        <w:tc>
          <w:tcPr>
            <w:tcW w:type="dxa" w:w="3504"/>
            <w:vAlign w:val="center"/>
          </w:tcPr>
          <w:p>
            <w:pPr>
              <w:spacing w:after="0"/>
            </w:pPr>
            <w:r>
              <w:rPr>
                <w:rFonts w:ascii="Times New Roman" w:hAnsi="Times New Roman"/>
                <w:sz w:val="14"/>
              </w:rPr>
              <w:t>Track subgroup calibration and high-risk share; require review for material gaps.</w:t>
            </w:r>
          </w:p>
        </w:tc>
      </w:tr>
      <w:tr>
        <w:tc>
          <w:tcPr>
            <w:tcW w:type="dxa" w:w="3504"/>
            <w:vAlign w:val="center"/>
          </w:tcPr>
          <w:p>
            <w:pPr>
              <w:spacing w:after="0"/>
            </w:pPr>
            <w:r>
              <w:rPr>
                <w:rFonts w:ascii="Times New Roman" w:hAnsi="Times New Roman"/>
                <w:sz w:val="14"/>
              </w:rPr>
              <w:t>External data</w:t>
            </w:r>
          </w:p>
        </w:tc>
        <w:tc>
          <w:tcPr>
            <w:tcW w:type="dxa" w:w="3504"/>
            <w:vAlign w:val="center"/>
          </w:tcPr>
          <w:p>
            <w:pPr>
              <w:spacing w:after="0"/>
            </w:pPr>
            <w:r>
              <w:rPr>
                <w:rFonts w:ascii="Times New Roman" w:hAnsi="Times New Roman"/>
                <w:sz w:val="14"/>
              </w:rPr>
              <w:t>Add weather/Trends only when source files are supplied and validated.</w:t>
            </w:r>
          </w:p>
        </w:tc>
        <w:tc>
          <w:tcPr>
            <w:tcW w:type="dxa" w:w="3504"/>
            <w:vAlign w:val="center"/>
          </w:tcPr>
          <w:p>
            <w:pPr>
              <w:spacing w:after="0"/>
            </w:pPr>
            <w:r>
              <w:rPr>
                <w:rFonts w:ascii="Times New Roman" w:hAnsi="Times New Roman"/>
                <w:sz w:val="14"/>
              </w:rPr>
              <w:t>Check time alignment and no look-ahead before release.</w:t>
            </w:r>
          </w:p>
        </w:tc>
      </w:tr>
      <w:tr>
        <w:tc>
          <w:tcPr>
            <w:tcW w:type="dxa" w:w="3504"/>
            <w:vAlign w:val="center"/>
          </w:tcPr>
          <w:p>
            <w:pPr>
              <w:spacing w:after="0"/>
            </w:pPr>
            <w:r>
              <w:rPr>
                <w:rFonts w:ascii="Times New Roman" w:hAnsi="Times New Roman"/>
                <w:sz w:val="14"/>
              </w:rPr>
              <w:t>Governance</w:t>
            </w:r>
          </w:p>
        </w:tc>
        <w:tc>
          <w:tcPr>
            <w:tcW w:type="dxa" w:w="3504"/>
            <w:vAlign w:val="center"/>
          </w:tcPr>
          <w:p>
            <w:pPr>
              <w:spacing w:after="0"/>
            </w:pPr>
            <w:r>
              <w:rPr>
                <w:rFonts w:ascii="Times New Roman" w:hAnsi="Times New Roman"/>
                <w:sz w:val="14"/>
              </w:rPr>
              <w:t>Keep human override, version assumptions and log policy changes.</w:t>
            </w:r>
          </w:p>
        </w:tc>
        <w:tc>
          <w:tcPr>
            <w:tcW w:type="dxa" w:w="3504"/>
            <w:vAlign w:val="center"/>
          </w:tcPr>
          <w:p>
            <w:pPr>
              <w:spacing w:after="0"/>
            </w:pPr>
            <w:r>
              <w:rPr>
                <w:rFonts w:ascii="Times New Roman" w:hAnsi="Times New Roman"/>
                <w:sz w:val="14"/>
              </w:rPr>
              <w:t>Retain model card, scenario register and test evidence.</w:t>
            </w:r>
          </w:p>
        </w:tc>
      </w:tr>
    </w:tbl>
    <w:p>
      <w:pPr>
        <w:pStyle w:val="Heading1"/>
        <w:spacing w:before="60" w:after="60"/>
      </w:pPr>
      <w:r>
        <w:t>12. 12-week change plan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Times New Roman" w:hAnsi="Times New Roman"/>
                <w:b/>
                <w:sz w:val="14"/>
              </w:rPr>
              <w:t>Weeks</w:t>
            </w:r>
          </w:p>
        </w:tc>
        <w:tc>
          <w:tcPr>
            <w:tcW w:type="dxa" w:w="3504"/>
            <w:vAlign w:val="center"/>
          </w:tcPr>
          <w:p>
            <w:r>
              <w:rPr>
                <w:rFonts w:ascii="Times New Roman" w:hAnsi="Times New Roman"/>
                <w:b/>
                <w:sz w:val="14"/>
              </w:rPr>
              <w:t>Workstream</w:t>
            </w:r>
          </w:p>
        </w:tc>
        <w:tc>
          <w:tcPr>
            <w:tcW w:type="dxa" w:w="3504"/>
            <w:vAlign w:val="center"/>
          </w:tcPr>
          <w:p>
            <w:r>
              <w:rPr>
                <w:rFonts w:ascii="Times New Roman" w:hAnsi="Times New Roman"/>
                <w:b/>
                <w:sz w:val="14"/>
              </w:rPr>
              <w:t>Exit criterion</w:t>
            </w:r>
          </w:p>
        </w:tc>
      </w:tr>
      <w:tr>
        <w:tc>
          <w:tcPr>
            <w:tcW w:type="dxa" w:w="3504"/>
            <w:vAlign w:val="center"/>
          </w:tcPr>
          <w:p>
            <w:pPr>
              <w:spacing w:after="0"/>
            </w:pPr>
            <w:r>
              <w:rPr>
                <w:rFonts w:ascii="Times New Roman" w:hAnsi="Times New Roman"/>
                <w:sz w:val="14"/>
              </w:rPr>
              <w:t>1–2</w:t>
            </w:r>
          </w:p>
        </w:tc>
        <w:tc>
          <w:tcPr>
            <w:tcW w:type="dxa" w:w="3504"/>
            <w:vAlign w:val="center"/>
          </w:tcPr>
          <w:p>
            <w:pPr>
              <w:spacing w:after="0"/>
            </w:pPr>
            <w:r>
              <w:rPr>
                <w:rFonts w:ascii="Times New Roman" w:hAnsi="Times New Roman"/>
                <w:sz w:val="14"/>
              </w:rPr>
              <w:t>Current-data refresh + inventory confirmation</w:t>
            </w:r>
          </w:p>
        </w:tc>
        <w:tc>
          <w:tcPr>
            <w:tcW w:type="dxa" w:w="3504"/>
            <w:vAlign w:val="center"/>
          </w:tcPr>
          <w:p>
            <w:pPr>
              <w:spacing w:after="0"/>
            </w:pPr>
            <w:r>
              <w:rPr>
                <w:rFonts w:ascii="Times New Roman" w:hAnsi="Times New Roman"/>
                <w:sz w:val="14"/>
              </w:rPr>
              <w:t>New time-split test set and verified room capacity.</w:t>
            </w:r>
          </w:p>
        </w:tc>
      </w:tr>
      <w:tr>
        <w:tc>
          <w:tcPr>
            <w:tcW w:type="dxa" w:w="3504"/>
            <w:vAlign w:val="center"/>
          </w:tcPr>
          <w:p>
            <w:pPr>
              <w:spacing w:after="0"/>
            </w:pPr>
            <w:r>
              <w:rPr>
                <w:rFonts w:ascii="Times New Roman" w:hAnsi="Times New Roman"/>
                <w:sz w:val="14"/>
              </w:rPr>
              <w:t>3–4</w:t>
            </w:r>
          </w:p>
        </w:tc>
        <w:tc>
          <w:tcPr>
            <w:tcW w:type="dxa" w:w="3504"/>
            <w:vAlign w:val="center"/>
          </w:tcPr>
          <w:p>
            <w:pPr>
              <w:spacing w:after="0"/>
            </w:pPr>
            <w:r>
              <w:rPr>
                <w:rFonts w:ascii="Times New Roman" w:hAnsi="Times New Roman"/>
                <w:sz w:val="14"/>
              </w:rPr>
              <w:t>Model recalibration + subgroup audit</w:t>
            </w:r>
          </w:p>
        </w:tc>
        <w:tc>
          <w:tcPr>
            <w:tcW w:type="dxa" w:w="3504"/>
            <w:vAlign w:val="center"/>
          </w:tcPr>
          <w:p>
            <w:pPr>
              <w:spacing w:after="0"/>
            </w:pPr>
            <w:r>
              <w:rPr>
                <w:rFonts w:ascii="Times New Roman" w:hAnsi="Times New Roman"/>
                <w:sz w:val="14"/>
              </w:rPr>
              <w:t>Stable calibration and documented fairness review.</w:t>
            </w:r>
          </w:p>
        </w:tc>
      </w:tr>
      <w:tr>
        <w:tc>
          <w:tcPr>
            <w:tcW w:type="dxa" w:w="3504"/>
            <w:vAlign w:val="center"/>
          </w:tcPr>
          <w:p>
            <w:pPr>
              <w:spacing w:after="0"/>
            </w:pPr>
            <w:r>
              <w:rPr>
                <w:rFonts w:ascii="Times New Roman" w:hAnsi="Times New Roman"/>
                <w:sz w:val="14"/>
              </w:rPr>
              <w:t>5–6</w:t>
            </w:r>
          </w:p>
        </w:tc>
        <w:tc>
          <w:tcPr>
            <w:tcW w:type="dxa" w:w="3504"/>
            <w:vAlign w:val="center"/>
          </w:tcPr>
          <w:p>
            <w:pPr>
              <w:spacing w:after="0"/>
            </w:pPr>
            <w:r>
              <w:rPr>
                <w:rFonts w:ascii="Times New Roman" w:hAnsi="Times New Roman"/>
                <w:sz w:val="14"/>
              </w:rPr>
              <w:t>Overbooking shadow mode</w:t>
            </w:r>
          </w:p>
        </w:tc>
        <w:tc>
          <w:tcPr>
            <w:tcW w:type="dxa" w:w="3504"/>
            <w:vAlign w:val="center"/>
          </w:tcPr>
          <w:p>
            <w:pPr>
              <w:spacing w:after="0"/>
            </w:pPr>
            <w:r>
              <w:rPr>
                <w:rFonts w:ascii="Times New Roman" w:hAnsi="Times New Roman"/>
                <w:sz w:val="14"/>
              </w:rPr>
              <w:t>Compare k=0, k=8 and live candidate levels without customer impact.</w:t>
            </w:r>
          </w:p>
        </w:tc>
      </w:tr>
      <w:tr>
        <w:tc>
          <w:tcPr>
            <w:tcW w:type="dxa" w:w="3504"/>
            <w:vAlign w:val="center"/>
          </w:tcPr>
          <w:p>
            <w:pPr>
              <w:spacing w:after="0"/>
            </w:pPr>
            <w:r>
              <w:rPr>
                <w:rFonts w:ascii="Times New Roman" w:hAnsi="Times New Roman"/>
                <w:sz w:val="14"/>
              </w:rPr>
              <w:t>7–9</w:t>
            </w:r>
          </w:p>
        </w:tc>
        <w:tc>
          <w:tcPr>
            <w:tcW w:type="dxa" w:w="3504"/>
            <w:vAlign w:val="center"/>
          </w:tcPr>
          <w:p>
            <w:pPr>
              <w:spacing w:after="0"/>
            </w:pPr>
            <w:r>
              <w:rPr>
                <w:rFonts w:ascii="Times New Roman" w:hAnsi="Times New Roman"/>
                <w:sz w:val="14"/>
              </w:rPr>
              <w:t>Deposit experiment</w:t>
            </w:r>
          </w:p>
        </w:tc>
        <w:tc>
          <w:tcPr>
            <w:tcW w:type="dxa" w:w="3504"/>
            <w:vAlign w:val="center"/>
          </w:tcPr>
          <w:p>
            <w:pPr>
              <w:spacing w:after="0"/>
            </w:pPr>
            <w:r>
              <w:rPr>
                <w:rFonts w:ascii="Times New Roman" w:hAnsi="Times New Roman"/>
                <w:sz w:val="14"/>
              </w:rPr>
              <w:t>Pre-registered response metrics by tier and eligible segment.</w:t>
            </w:r>
          </w:p>
        </w:tc>
      </w:tr>
      <w:tr>
        <w:tc>
          <w:tcPr>
            <w:tcW w:type="dxa" w:w="3504"/>
            <w:vAlign w:val="center"/>
          </w:tcPr>
          <w:p>
            <w:pPr>
              <w:spacing w:after="0"/>
            </w:pPr>
            <w:r>
              <w:rPr>
                <w:rFonts w:ascii="Times New Roman" w:hAnsi="Times New Roman"/>
                <w:sz w:val="14"/>
              </w:rPr>
              <w:t>10–11</w:t>
            </w:r>
          </w:p>
        </w:tc>
        <w:tc>
          <w:tcPr>
            <w:tcW w:type="dxa" w:w="3504"/>
            <w:vAlign w:val="center"/>
          </w:tcPr>
          <w:p>
            <w:pPr>
              <w:spacing w:after="0"/>
            </w:pPr>
            <w:r>
              <w:rPr>
                <w:rFonts w:ascii="Times New Roman" w:hAnsi="Times New Roman"/>
                <w:sz w:val="14"/>
              </w:rPr>
              <w:t>Decision review</w:t>
            </w:r>
          </w:p>
        </w:tc>
        <w:tc>
          <w:tcPr>
            <w:tcW w:type="dxa" w:w="3504"/>
            <w:vAlign w:val="center"/>
          </w:tcPr>
          <w:p>
            <w:pPr>
              <w:spacing w:after="0"/>
            </w:pPr>
            <w:r>
              <w:rPr>
                <w:rFonts w:ascii="Times New Roman" w:hAnsi="Times New Roman"/>
                <w:sz w:val="14"/>
              </w:rPr>
              <w:t>Economic result includes uncertainty and sensitivity.</w:t>
            </w:r>
          </w:p>
        </w:tc>
      </w:tr>
      <w:tr>
        <w:tc>
          <w:tcPr>
            <w:tcW w:type="dxa" w:w="3504"/>
            <w:vAlign w:val="center"/>
          </w:tcPr>
          <w:p>
            <w:pPr>
              <w:spacing w:after="0"/>
            </w:pPr>
            <w:r>
              <w:rPr>
                <w:rFonts w:ascii="Times New Roman" w:hAnsi="Times New Roman"/>
                <w:sz w:val="14"/>
              </w:rPr>
              <w:t>12</w:t>
            </w:r>
          </w:p>
        </w:tc>
        <w:tc>
          <w:tcPr>
            <w:tcW w:type="dxa" w:w="3504"/>
            <w:vAlign w:val="center"/>
          </w:tcPr>
          <w:p>
            <w:pPr>
              <w:spacing w:after="0"/>
            </w:pPr>
            <w:r>
              <w:rPr>
                <w:rFonts w:ascii="Times New Roman" w:hAnsi="Times New Roman"/>
                <w:sz w:val="14"/>
              </w:rPr>
              <w:t>Governed release or rollback</w:t>
            </w:r>
          </w:p>
        </w:tc>
        <w:tc>
          <w:tcPr>
            <w:tcW w:type="dxa" w:w="3504"/>
            <w:vAlign w:val="center"/>
          </w:tcPr>
          <w:p>
            <w:pPr>
              <w:spacing w:after="0"/>
            </w:pPr>
            <w:r>
              <w:rPr>
                <w:rFonts w:ascii="Times New Roman" w:hAnsi="Times New Roman"/>
                <w:sz w:val="14"/>
              </w:rPr>
              <w:t>Signed model card, assumptions register and monitoring owner.</w:t>
            </w:r>
          </w:p>
        </w:tc>
      </w:tr>
    </w:tbl>
    <w:p>
      <w:pPr>
        <w:pStyle w:val="Heading1"/>
        <w:spacing w:before="60" w:after="60"/>
      </w:pPr>
      <w:r>
        <w:t>Legal / responsible-use posture</w:t>
      </w:r>
    </w:p>
    <w:p>
      <w:pPr>
        <w:spacing w:after="60" w:line="240" w:lineRule="auto"/>
        <w:jc w:val="both"/>
      </w:pPr>
      <w:r>
        <w:rPr>
          <w:rFonts w:ascii="Times New Roman" w:hAnsi="Times New Roman"/>
          <w:sz w:val="18"/>
        </w:rPr>
        <w:t>The model should be treated as decision support, not an autonomous pricing or access system. The project’s governance stance is consistent with the use of human override, documented policy changes, purpose limitation, data minimisation and monitoring of demographic/group-level effects. Legal review should be completed against the hotel’s actual jurisdiction, customer-notice obligations and current regulation before deployment.</w:t>
      </w:r>
    </w:p>
    <w:p>
      <w:pPr>
        <w:spacing w:after="60" w:line="240" w:lineRule="auto"/>
        <w:jc w:val="both"/>
      </w:pPr>
      <w:r>
        <w:rPr>
          <w:rFonts w:ascii="Times New Roman" w:hAnsi="Times New Roman"/>
          <w:sz w:val="18"/>
        </w:rPr>
        <w:t>The source data are historical. The dashboard and model outputs are therefore a backtest. Production use requires fresh data, verified inventory, validated response rates and monitoring.</w:t>
      </w:r>
    </w:p>
    <w:p>
      <w:r>
        <w:br w:type="page"/>
      </w:r>
    </w:p>
    <w:p>
      <w:pPr>
        <w:pStyle w:val="Heading1"/>
        <w:spacing w:before="60" w:after="60"/>
      </w:pPr>
      <w:r>
        <w:t>13. Conclusion and limitations</w:t>
      </w:r>
    </w:p>
    <w:p>
      <w:pPr>
        <w:spacing w:after="60" w:line="240" w:lineRule="auto"/>
        <w:jc w:val="both"/>
      </w:pPr>
      <w:r>
        <w:rPr>
          <w:rFonts w:ascii="Times New Roman" w:hAnsi="Times New Roman"/>
          <w:sz w:val="18"/>
        </w:rPr>
        <w:t>The corrected analysis supports one robust conclusion: cancellation risk is predictable enough to improve revenue-management attention, but the exact commercial rule should be conservative because the highest-value inputs are partly assumed. The booking-time GBM achieves AUC 0.769 without the two outcome-linked features identified in the audit. Near-arrival information improves ranking, which is useful operationally but is not the same as early prediction.</w:t>
      </w:r>
    </w:p>
    <w:p>
      <w:pPr>
        <w:spacing w:after="60" w:line="240" w:lineRule="auto"/>
        <w:jc w:val="both"/>
      </w:pPr>
      <w:r>
        <w:rPr>
          <w:rFonts w:ascii="Times New Roman" w:hAnsi="Times New Roman"/>
          <w:sz w:val="18"/>
        </w:rPr>
        <w:t>Overbooking should be framed as a capacity-sensitivity problem. Under the 60-room assumption, the mathematical peak is k=18, but k=8 is a more defensible pilot point because it sits inside the flat top of the curve with effectively no realised walks in the backtest.</w:t>
      </w:r>
    </w:p>
    <w:p>
      <w:pPr>
        <w:spacing w:after="60" w:line="240" w:lineRule="auto"/>
        <w:jc w:val="both"/>
      </w:pPr>
      <w:r>
        <w:rPr>
          <w:rFonts w:ascii="Times New Roman" w:hAnsi="Times New Roman"/>
          <w:sz w:val="18"/>
        </w:rPr>
        <w:t>Deposit policy should be framed as an experimental proposition. The corrected scenario range spans €-79,024 to €245,794 with €54,738 at the base assumptions. The previously presented single headline uplift is therefore withdrawn.</w:t>
      </w:r>
    </w:p>
    <w:p>
      <w:pPr>
        <w:pStyle w:val="Heading1"/>
        <w:spacing w:before="60" w:after="60"/>
      </w:pPr>
      <w:r>
        <w:t>Key limitations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Times New Roman" w:hAnsi="Times New Roman"/>
                <w:b/>
                <w:sz w:val="14"/>
              </w:rPr>
              <w:t>Limitation</w:t>
            </w:r>
          </w:p>
        </w:tc>
        <w:tc>
          <w:tcPr>
            <w:tcW w:type="dxa" w:w="3504"/>
            <w:vAlign w:val="center"/>
          </w:tcPr>
          <w:p>
            <w:r>
              <w:rPr>
                <w:rFonts w:ascii="Times New Roman" w:hAnsi="Times New Roman"/>
                <w:b/>
                <w:sz w:val="14"/>
              </w:rPr>
              <w:t>Why it matters</w:t>
            </w:r>
          </w:p>
        </w:tc>
        <w:tc>
          <w:tcPr>
            <w:tcW w:type="dxa" w:w="3504"/>
            <w:vAlign w:val="center"/>
          </w:tcPr>
          <w:p>
            <w:r>
              <w:rPr>
                <w:rFonts w:ascii="Times New Roman" w:hAnsi="Times New Roman"/>
                <w:b/>
                <w:sz w:val="14"/>
              </w:rPr>
              <w:t>Mitigation</w:t>
            </w:r>
          </w:p>
        </w:tc>
      </w:tr>
      <w:tr>
        <w:tc>
          <w:tcPr>
            <w:tcW w:type="dxa" w:w="3504"/>
            <w:vAlign w:val="center"/>
          </w:tcPr>
          <w:p>
            <w:pPr>
              <w:spacing w:after="0"/>
            </w:pPr>
            <w:r>
              <w:rPr>
                <w:rFonts w:ascii="Times New Roman" w:hAnsi="Times New Roman"/>
                <w:sz w:val="14"/>
              </w:rPr>
              <w:t>Historical 2015–2017 data</w:t>
            </w:r>
          </w:p>
        </w:tc>
        <w:tc>
          <w:tcPr>
            <w:tcW w:type="dxa" w:w="3504"/>
            <w:vAlign w:val="center"/>
          </w:tcPr>
          <w:p>
            <w:pPr>
              <w:spacing w:after="0"/>
            </w:pPr>
            <w:r>
              <w:rPr>
                <w:rFonts w:ascii="Times New Roman" w:hAnsi="Times New Roman"/>
                <w:sz w:val="14"/>
              </w:rPr>
              <w:t>Current guest/channel behaviour may differ.</w:t>
            </w:r>
          </w:p>
        </w:tc>
        <w:tc>
          <w:tcPr>
            <w:tcW w:type="dxa" w:w="3504"/>
            <w:vAlign w:val="center"/>
          </w:tcPr>
          <w:p>
            <w:pPr>
              <w:spacing w:after="0"/>
            </w:pPr>
            <w:r>
              <w:rPr>
                <w:rFonts w:ascii="Times New Roman" w:hAnsi="Times New Roman"/>
                <w:sz w:val="14"/>
              </w:rPr>
              <w:t>Recalibrate before production.</w:t>
            </w:r>
          </w:p>
        </w:tc>
      </w:tr>
      <w:tr>
        <w:tc>
          <w:tcPr>
            <w:tcW w:type="dxa" w:w="3504"/>
            <w:vAlign w:val="center"/>
          </w:tcPr>
          <w:p>
            <w:pPr>
              <w:spacing w:after="0"/>
            </w:pPr>
            <w:r>
              <w:rPr>
                <w:rFonts w:ascii="Times New Roman" w:hAnsi="Times New Roman"/>
                <w:sz w:val="14"/>
              </w:rPr>
              <w:t>No room-capacity field</w:t>
            </w:r>
          </w:p>
        </w:tc>
        <w:tc>
          <w:tcPr>
            <w:tcW w:type="dxa" w:w="3504"/>
            <w:vAlign w:val="center"/>
          </w:tcPr>
          <w:p>
            <w:pPr>
              <w:spacing w:after="0"/>
            </w:pPr>
            <w:r>
              <w:rPr>
                <w:rFonts w:ascii="Times New Roman" w:hAnsi="Times New Roman"/>
                <w:sz w:val="14"/>
              </w:rPr>
              <w:t>Overbooking optimum is assumption-dependent.</w:t>
            </w:r>
          </w:p>
        </w:tc>
        <w:tc>
          <w:tcPr>
            <w:tcW w:type="dxa" w:w="3504"/>
            <w:vAlign w:val="center"/>
          </w:tcPr>
          <w:p>
            <w:pPr>
              <w:spacing w:after="0"/>
            </w:pPr>
            <w:r>
              <w:rPr>
                <w:rFonts w:ascii="Times New Roman" w:hAnsi="Times New Roman"/>
                <w:sz w:val="14"/>
              </w:rPr>
              <w:t>Replace with live capacity and test.</w:t>
            </w:r>
          </w:p>
        </w:tc>
      </w:tr>
      <w:tr>
        <w:tc>
          <w:tcPr>
            <w:tcW w:type="dxa" w:w="3504"/>
            <w:vAlign w:val="center"/>
          </w:tcPr>
          <w:p>
            <w:pPr>
              <w:spacing w:after="0"/>
            </w:pPr>
            <w:r>
              <w:rPr>
                <w:rFonts w:ascii="Times New Roman" w:hAnsi="Times New Roman"/>
                <w:sz w:val="14"/>
              </w:rPr>
              <w:t>No causal deposit experiment</w:t>
            </w:r>
          </w:p>
        </w:tc>
        <w:tc>
          <w:tcPr>
            <w:tcW w:type="dxa" w:w="3504"/>
            <w:vAlign w:val="center"/>
          </w:tcPr>
          <w:p>
            <w:pPr>
              <w:spacing w:after="0"/>
            </w:pPr>
            <w:r>
              <w:rPr>
                <w:rFonts w:ascii="Times New Roman" w:hAnsi="Times New Roman"/>
                <w:sz w:val="14"/>
              </w:rPr>
              <w:t>Scenario response parameters are invented.</w:t>
            </w:r>
          </w:p>
        </w:tc>
        <w:tc>
          <w:tcPr>
            <w:tcW w:type="dxa" w:w="3504"/>
            <w:vAlign w:val="center"/>
          </w:tcPr>
          <w:p>
            <w:pPr>
              <w:spacing w:after="0"/>
            </w:pPr>
            <w:r>
              <w:rPr>
                <w:rFonts w:ascii="Times New Roman" w:hAnsi="Times New Roman"/>
                <w:sz w:val="14"/>
              </w:rPr>
              <w:t>Run controlled A/B or stepped experiment.</w:t>
            </w:r>
          </w:p>
        </w:tc>
      </w:tr>
      <w:tr>
        <w:tc>
          <w:tcPr>
            <w:tcW w:type="dxa" w:w="3504"/>
            <w:vAlign w:val="center"/>
          </w:tcPr>
          <w:p>
            <w:pPr>
              <w:spacing w:after="0"/>
            </w:pPr>
            <w:r>
              <w:rPr>
                <w:rFonts w:ascii="Times New Roman" w:hAnsi="Times New Roman"/>
                <w:sz w:val="14"/>
              </w:rPr>
              <w:t>Weather/Trends absent</w:t>
            </w:r>
          </w:p>
        </w:tc>
        <w:tc>
          <w:tcPr>
            <w:tcW w:type="dxa" w:w="3504"/>
            <w:vAlign w:val="center"/>
          </w:tcPr>
          <w:p>
            <w:pPr>
              <w:spacing w:after="0"/>
            </w:pPr>
            <w:r>
              <w:rPr>
                <w:rFonts w:ascii="Times New Roman" w:hAnsi="Times New Roman"/>
                <w:sz w:val="14"/>
              </w:rPr>
              <w:t>Potential external signals are not assessed.</w:t>
            </w:r>
          </w:p>
        </w:tc>
        <w:tc>
          <w:tcPr>
            <w:tcW w:type="dxa" w:w="3504"/>
            <w:vAlign w:val="center"/>
          </w:tcPr>
          <w:p>
            <w:pPr>
              <w:spacing w:after="0"/>
            </w:pPr>
            <w:r>
              <w:rPr>
                <w:rFonts w:ascii="Times New Roman" w:hAnsi="Times New Roman"/>
                <w:sz w:val="14"/>
              </w:rPr>
              <w:t>Load validated files and re-run.</w:t>
            </w:r>
          </w:p>
        </w:tc>
      </w:tr>
      <w:tr>
        <w:tc>
          <w:tcPr>
            <w:tcW w:type="dxa" w:w="3504"/>
            <w:vAlign w:val="center"/>
          </w:tcPr>
          <w:p>
            <w:pPr>
              <w:spacing w:after="0"/>
            </w:pPr>
            <w:r>
              <w:rPr>
                <w:rFonts w:ascii="Times New Roman" w:hAnsi="Times New Roman"/>
                <w:sz w:val="14"/>
              </w:rPr>
              <w:t>Duplicate removal requires judgement</w:t>
            </w:r>
          </w:p>
        </w:tc>
        <w:tc>
          <w:tcPr>
            <w:tcW w:type="dxa" w:w="3504"/>
            <w:vAlign w:val="center"/>
          </w:tcPr>
          <w:p>
            <w:pPr>
              <w:spacing w:after="0"/>
            </w:pPr>
            <w:r>
              <w:rPr>
                <w:rFonts w:ascii="Times New Roman" w:hAnsi="Times New Roman"/>
                <w:sz w:val="14"/>
              </w:rPr>
              <w:t>No booking ID exists in the public source.</w:t>
            </w:r>
          </w:p>
        </w:tc>
        <w:tc>
          <w:tcPr>
            <w:tcW w:type="dxa" w:w="3504"/>
            <w:vAlign w:val="center"/>
          </w:tcPr>
          <w:p>
            <w:pPr>
              <w:spacing w:after="0"/>
            </w:pPr>
            <w:r>
              <w:rPr>
                <w:rFonts w:ascii="Times New Roman" w:hAnsi="Times New Roman"/>
                <w:sz w:val="14"/>
              </w:rPr>
              <w:t>Report robustness branch.</w:t>
            </w:r>
          </w:p>
        </w:tc>
      </w:tr>
      <w:tr>
        <w:tc>
          <w:tcPr>
            <w:tcW w:type="dxa" w:w="3504"/>
            <w:vAlign w:val="center"/>
          </w:tcPr>
          <w:p>
            <w:pPr>
              <w:spacing w:after="0"/>
            </w:pPr>
            <w:r>
              <w:rPr>
                <w:rFonts w:ascii="Times New Roman" w:hAnsi="Times New Roman"/>
                <w:sz w:val="14"/>
              </w:rPr>
              <w:t>Country-related subgroup gaps</w:t>
            </w:r>
          </w:p>
        </w:tc>
        <w:tc>
          <w:tcPr>
            <w:tcW w:type="dxa" w:w="3504"/>
            <w:vAlign w:val="center"/>
          </w:tcPr>
          <w:p>
            <w:pPr>
              <w:spacing w:after="0"/>
            </w:pPr>
            <w:r>
              <w:rPr>
                <w:rFonts w:ascii="Times New Roman" w:hAnsi="Times New Roman"/>
                <w:sz w:val="14"/>
              </w:rPr>
              <w:t>Calibration can differ by group.</w:t>
            </w:r>
          </w:p>
        </w:tc>
        <w:tc>
          <w:tcPr>
            <w:tcW w:type="dxa" w:w="3504"/>
            <w:vAlign w:val="center"/>
          </w:tcPr>
          <w:p>
            <w:pPr>
              <w:spacing w:after="0"/>
            </w:pPr>
            <w:r>
              <w:rPr>
                <w:rFonts w:ascii="Times New Roman" w:hAnsi="Times New Roman"/>
                <w:sz w:val="14"/>
              </w:rPr>
              <w:t>Monitor and review; do not price directly on country.</w:t>
            </w:r>
          </w:p>
        </w:tc>
      </w:tr>
    </w:tbl>
    <w:p>
      <w:pPr>
        <w:pStyle w:val="Heading1"/>
        <w:spacing w:before="60" w:after="60"/>
      </w:pPr>
      <w:r>
        <w:t>References</w:t>
      </w:r>
    </w:p>
    <w:p>
      <w:pPr>
        <w:spacing w:after="60" w:line="240" w:lineRule="auto"/>
        <w:jc w:val="both"/>
      </w:pPr>
      <w:r>
        <w:rPr>
          <w:rFonts w:ascii="Times New Roman" w:hAnsi="Times New Roman"/>
          <w:sz w:val="14"/>
        </w:rPr>
        <w:t>Antonio, N., de Almeida, A., &amp; Nunes, L. (2017). Predicting Hotel Bookings Cancellation with a Machine Learning Classification Model. IEEE ICMLA 2017. DOI: 10.1109/ICMLA.2017.00-11.</w:t>
      </w:r>
    </w:p>
    <w:p>
      <w:pPr>
        <w:spacing w:after="60" w:line="240" w:lineRule="auto"/>
        <w:jc w:val="both"/>
      </w:pPr>
      <w:r>
        <w:rPr>
          <w:rFonts w:ascii="Times New Roman" w:hAnsi="Times New Roman"/>
          <w:sz w:val="14"/>
        </w:rPr>
        <w:t>Antonio, N. (2019). Hotel booking demand and analytical decision support in hospitality. Tourism &amp; Management Studies.</w:t>
      </w:r>
    </w:p>
    <w:p>
      <w:pPr>
        <w:spacing w:after="60" w:line="240" w:lineRule="auto"/>
        <w:jc w:val="both"/>
      </w:pPr>
      <w:r>
        <w:rPr>
          <w:rFonts w:ascii="Times New Roman" w:hAnsi="Times New Roman"/>
          <w:sz w:val="14"/>
        </w:rPr>
        <w:t>Antonio, N., de Almeida, A., &amp; Nunes, L. (2019). Hotel booking demand datasets. Data in Brief, 22, 41–49. https://doi.org/10.1016/j.dib.2018.11.126</w:t>
      </w:r>
    </w:p>
    <w:p>
      <w:pPr>
        <w:spacing w:after="60" w:line="240" w:lineRule="auto"/>
        <w:jc w:val="both"/>
      </w:pPr>
      <w:r>
        <w:rPr>
          <w:rFonts w:ascii="Times New Roman" w:hAnsi="Times New Roman"/>
          <w:sz w:val="14"/>
        </w:rPr>
        <w:t>Antonio, N., de Almeida, A., &amp; Nunes, L. (2019). An automated machine learning based decision support system to predict hotel booking cancellations. Data Science Journal, 18(1), 32. https://doi.org/10.5334/dsj-2019-032</w:t>
      </w:r>
    </w:p>
    <w:p>
      <w:pPr>
        <w:spacing w:after="60" w:line="240" w:lineRule="auto"/>
        <w:jc w:val="both"/>
      </w:pPr>
      <w:r>
        <w:rPr>
          <w:rFonts w:ascii="Times New Roman" w:hAnsi="Times New Roman"/>
          <w:sz w:val="14"/>
        </w:rPr>
        <w:t>Chen, C.-C., Schwartz, Z., &amp; Vargas, P. (2011). The search for the best deal: How hotel cancellation policies affect the search and booking decisions of deal-seeking customers. International Journal of Hospitality Management, 30(1), 129–135.</w:t>
      </w:r>
    </w:p>
    <w:p>
      <w:pPr>
        <w:spacing w:after="60" w:line="240" w:lineRule="auto"/>
        <w:jc w:val="both"/>
      </w:pPr>
      <w:r>
        <w:rPr>
          <w:rFonts w:ascii="Times New Roman" w:hAnsi="Times New Roman"/>
          <w:sz w:val="14"/>
        </w:rPr>
        <w:t>Liberman, V., &amp; Yechiali, U. (1978). On the hotel overbooking problem: An inventory system with stochastic cancellations. Management Science, 24(11), 1117–1126. https://doi.org/10.1287/mnsc.24.11.1117</w:t>
      </w:r>
    </w:p>
    <w:p>
      <w:pPr>
        <w:spacing w:after="60" w:line="240" w:lineRule="auto"/>
        <w:jc w:val="both"/>
      </w:pPr>
      <w:r>
        <w:rPr>
          <w:rFonts w:ascii="Times New Roman" w:hAnsi="Times New Roman"/>
          <w:sz w:val="14"/>
        </w:rPr>
        <w:t>Lundberg, S. M., &amp; Lee, S.-I. (2017). A unified approach to interpreting model predictions. Advances in Neural Information Processing Systems, 30.</w:t>
      </w:r>
    </w:p>
    <w:p>
      <w:pPr>
        <w:spacing w:after="60" w:line="240" w:lineRule="auto"/>
        <w:jc w:val="both"/>
      </w:pPr>
      <w:r>
        <w:rPr>
          <w:rFonts w:ascii="Times New Roman" w:hAnsi="Times New Roman"/>
          <w:sz w:val="14"/>
        </w:rPr>
        <w:t>Pan, B., Wu, D. C., &amp; Song, H. (2012). Forecasting hotel room demand using search engine data. Journal of Hospitality and Tourism Technology, 3(3), 196–210. https://doi.org/10.1108/17579881211264486</w:t>
      </w:r>
    </w:p>
    <w:p>
      <w:pPr>
        <w:spacing w:after="60" w:line="240" w:lineRule="auto"/>
        <w:jc w:val="both"/>
      </w:pPr>
      <w:r>
        <w:rPr>
          <w:rFonts w:ascii="Times New Roman" w:hAnsi="Times New Roman"/>
          <w:sz w:val="14"/>
        </w:rPr>
        <w:t>Phumchusri, N., &amp; Maneesophon, P. (2014). Optimal overbooking decision for hotel rooms revenue management. Journal of Hospitality and Tourism Technology, 5(3), 261–277. https://doi.org/10.1108/JHTT-03-2014-0006</w:t>
      </w:r>
    </w:p>
    <w:p>
      <w:pPr>
        <w:spacing w:after="60" w:line="240" w:lineRule="auto"/>
        <w:jc w:val="both"/>
      </w:pPr>
      <w:r>
        <w:rPr>
          <w:rFonts w:ascii="Times New Roman" w:hAnsi="Times New Roman"/>
          <w:sz w:val="14"/>
        </w:rPr>
        <w:t>Ramos Mir, V., Deyá Tortella, B., Leoni, V., &amp; Nicolau, J. L. (2026). Decoding booking cancellations: Quantitative insights and theoretical advances in tourism behavior. Tourism Management, 114, 105384. https://doi.org/10.1016/j.tourman.2025.105384</w:t>
      </w:r>
    </w:p>
    <w:p>
      <w:pPr>
        <w:pStyle w:val="Heading1"/>
        <w:spacing w:before="60" w:after="60"/>
      </w:pPr>
      <w:r>
        <w:t>Data / regulatory sources</w:t>
      </w:r>
    </w:p>
    <w:p>
      <w:pPr>
        <w:spacing w:after="60" w:line="240" w:lineRule="auto"/>
        <w:jc w:val="both"/>
      </w:pPr>
      <w:r>
        <w:rPr>
          <w:rFonts w:ascii="Times New Roman" w:hAnsi="Times New Roman"/>
          <w:sz w:val="14"/>
        </w:rPr>
        <w:t>Antonio, N., de Almeida, A., &amp; Nunes, L. (2019). Hotel booking demand datasets. Data in Brief, 22, 41–49. https://doi.org/10.1016/j.dib.2018.11.126</w:t>
      </w:r>
    </w:p>
    <w:p>
      <w:pPr>
        <w:spacing w:after="60" w:line="240" w:lineRule="auto"/>
        <w:jc w:val="both"/>
      </w:pPr>
      <w:r>
        <w:rPr>
          <w:rFonts w:ascii="Times New Roman" w:hAnsi="Times New Roman"/>
          <w:sz w:val="14"/>
        </w:rPr>
        <w:t>European Union. Regulation (EU) 2016/679 (General Data Protection Regulation).</w:t>
      </w:r>
    </w:p>
    <w:p>
      <w:pPr>
        <w:spacing w:after="60" w:line="240" w:lineRule="auto"/>
        <w:jc w:val="both"/>
      </w:pPr>
      <w:r>
        <w:rPr>
          <w:rFonts w:ascii="Times New Roman" w:hAnsi="Times New Roman"/>
          <w:sz w:val="14"/>
        </w:rPr>
        <w:t>European Union. Regulation (EU) 2024/1689 (Artificial Intelligence Act).</w:t>
      </w:r>
    </w:p>
    <w:p>
      <w:pPr>
        <w:spacing w:after="60" w:line="240" w:lineRule="auto"/>
        <w:jc w:val="both"/>
      </w:pPr>
      <w:r>
        <w:rPr>
          <w:rFonts w:ascii="Times New Roman" w:hAnsi="Times New Roman"/>
          <w:sz w:val="14"/>
        </w:rPr>
        <w:t>Open-Meteo. Historical Weather API documentation. Pipeline format only; values not supplied in this submission.</w:t>
      </w:r>
    </w:p>
    <w:p>
      <w:pPr>
        <w:spacing w:after="60" w:line="240" w:lineRule="auto"/>
        <w:jc w:val="both"/>
      </w:pPr>
      <w:r>
        <w:rPr>
          <w:rFonts w:ascii="Times New Roman" w:hAnsi="Times New Roman"/>
          <w:sz w:val="14"/>
        </w:rPr>
        <w:t>Google Trends. Search-interest data/export documentation. Pipeline format only; values not supplied in this submission.</w:t>
      </w:r>
    </w:p>
    <w:p>
      <w:pPr>
        <w:spacing w:after="60" w:line="240" w:lineRule="auto"/>
        <w:jc w:val="both"/>
      </w:pPr>
      <w:r>
        <w:rPr>
          <w:rFonts w:ascii="Times New Roman" w:hAnsi="Times New Roman"/>
          <w:sz w:val="14"/>
        </w:rPr>
        <w:t>Annexures: audit_report.md; cleaning_decisions.csv; feature_dictionary.csv; all model/policy CSVs and charts in outputs/; corrected dashboard, deck, video script, prompt logbook and repository ZIP in the submission folder.</w:t>
      </w:r>
    </w:p>
    <w:sectPr w:rsidR="00FC693F" w:rsidRPr="0006063C" w:rsidSect="00034616">
      <w:footerReference w:type="default" r:id="rId9"/>
      <w:pgSz w:w="12240" w:h="15840"/>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City Hotel Decision Analytics · Final corrected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