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3-Minute Video Script — City Hotel Decision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rFonts w:ascii="Times New Roman" w:hAnsi="Times New Roman"/>
                <w:color w:val="FFFFFF"/>
                <w:sz w:val="19"/>
              </w:rPr>
              <w:t>Time</w:t>
            </w:r>
          </w:p>
        </w:tc>
        <w:tc>
          <w:tcPr>
            <w:tcW w:type="dxa" w:w="2556"/>
            <w:shd w:fill="17365D"/>
          </w:tcPr>
          <w:p>
            <w:r>
              <w:rPr>
                <w:rFonts w:ascii="Times New Roman" w:hAnsi="Times New Roman"/>
                <w:color w:val="FFFFFF"/>
                <w:sz w:val="19"/>
              </w:rPr>
              <w:t>Visual / demo</w:t>
            </w:r>
          </w:p>
        </w:tc>
        <w:tc>
          <w:tcPr>
            <w:tcW w:type="dxa" w:w="2556"/>
            <w:shd w:fill="17365D"/>
          </w:tcPr>
          <w:p>
            <w:r>
              <w:rPr>
                <w:rFonts w:ascii="Times New Roman" w:hAnsi="Times New Roman"/>
                <w:color w:val="FFFFFF"/>
                <w:sz w:val="19"/>
              </w:rPr>
              <w:t>Narration</w:t>
            </w:r>
          </w:p>
        </w:tc>
        <w:tc>
          <w:tcPr>
            <w:tcW w:type="dxa" w:w="2556"/>
            <w:shd w:fill="17365D"/>
          </w:tcPr>
          <w:p>
            <w:r>
              <w:rPr>
                <w:rFonts w:ascii="Times New Roman" w:hAnsi="Times New Roman"/>
                <w:color w:val="FFFFFF"/>
                <w:sz w:val="19"/>
              </w:rPr>
              <w:t>On-screen emphasis</w:t>
            </w:r>
          </w:p>
        </w:tc>
      </w:tr>
      <w:tr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0:00–0:20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Title + problem statement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This project addresses three linked hotel revenue decisions: predicting cancellations, choosing a profitable overbooking level, and targeting deposits where the economics justify them.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Predict → Overbook → Protect</w:t>
            </w:r>
          </w:p>
        </w:tc>
      </w:tr>
      <w:tr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0:20–0:55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Dashboard: change segment filter; point to lead-time, seasonal and profit views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The dashboard brings six decision views together. Changing the segment filter updates the operational cancellation views. The search-interest panel is clearly marked pending because no Google Trends export was supplied.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6 visuals | segment filter | search data pending</w:t>
            </w:r>
          </w:p>
        </w:tc>
      </w:tr>
      <w:tr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0:55–1:30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Repository tree + model script; show temporal split and calibration block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The code separates train, calibration and test by booking date, compares logistic regression with gradient boosting, calibrates probabilities out of time, and feeds those probabilities into the policy simulations.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Time split | calibration | policy simulation</w:t>
            </w:r>
          </w:p>
        </w:tc>
      </w:tr>
      <w:tr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1:30–2:05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Model metrics + SHAP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The booking-time GBM reaches an ROC-AUC of 0.775 on the untouched future test set. The near-arrival GBM reaches 0.800. SHAP highlights country, special requests, market segment, lead time and ADR; these are predictive associations, not causal levers.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AUC 0.775 | near-arrival 0.800 | SHAP</w:t>
            </w:r>
          </w:p>
        </w:tc>
      </w:tr>
      <w:tr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2:05–2:40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Profit curve + deposit trade-off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At an assumed 60-room capacity and €200 walk cost, the modeled overbooking optimum is 10 rooms. The recommended deposit tiers are zero below 20% risk, 10% from 20 to 40%, and 25% above 40%. The deposit economics are scenario-based and need an A/B test.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k = 10 | 0 / 10 / 25%</w:t>
            </w:r>
          </w:p>
        </w:tc>
      </w:tr>
      <w:tr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2:40–3:00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Roadmap + ethics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The implementation plan is shadow mode, controlled pilot, then monitored scale. Country is excluded from direct deposit pricing, human override is retained, and the 2015–2017 data is treated as a backtest rather than current production truth.</w:t>
            </w:r>
          </w:p>
        </w:tc>
        <w:tc>
          <w:tcPr>
            <w:tcW w:type="dxa" w:w="2556"/>
          </w:tcPr>
          <w:p>
            <w:r>
              <w:rPr>
                <w:rFonts w:ascii="Times New Roman" w:hAnsi="Times New Roman"/>
                <w:sz w:val="19"/>
              </w:rPr>
              <w:t>Shadow → Pilot → Scale | fairness | GDPR</w:t>
            </w:r>
          </w:p>
        </w:tc>
      </w:tr>
    </w:tbl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