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ABMforAI: um repositório de instruções e ferramentas de verificação para apoiar a construção assistida por IA de modelos baseados em agentes em Python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ABMforAI: AN INSTRUCTION AND VERIFICATION-TOOL REPOSITORY TO SUPPORT AI-ASSISTED CONSTRUCTION OF AGENT-BASED MODELS IN PYTHON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284"/>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284"/>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Primeiro Autor (preencher somente quando o texto for aprovado)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Titulação; Instituição (vínculo atual, por extenso), cidade da instituição, SIGLA do estado, país (por extenso); E-mail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Segundo Autor (preencher somente quando o texto for aprovado)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Titulação; Instituição (vínculo atual, por extenso), cidade da instituição, SIGLA do estado, país (por extenso); E-mail</w:t>
      </w:r>
    </w:p>
    <w:p w:rsidR="00000000" w:rsidDel="00000000" w:rsidP="00000000" w:rsidRDefault="00000000" w:rsidRPr="00000000" w14:paraId="0000000B">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Fonts w:ascii="Times New Roman" w:cs="Times New Roman" w:eastAsia="Times New Roman" w:hAnsi="Times New Roman"/>
          <w:sz w:val="24"/>
          <w:szCs w:val="24"/>
          <w:rtl w:val="0"/>
        </w:rPr>
        <w:t xml:space="preserve"> A modelagem baseada em agentes exige programação, o que limita pesquisadores de domínio. Assistentes de inteligência artificial reduzem essa barreira, mas podem inventar regras teóricas, declarar tarefas concluídas sem prova e ajustar relatos à literatura em vez de aos dados. Este é um artigo de proposta metodológica com instanciação demonstrativa; não relata avaliação empírica. O objetivo foi propor e fundamentar diretrizes que mantêm as decisões teóricas com o pesquisador e delegam ao assistente apenas a implementação. Adotou-se a pesquisa orientada ao projeto de artefatos. Os modos de falha foram derivados da literatura em quatro categorias e oito modos, cada um com uma diretriz e uma hipótese testável. A contribuição mais defensável são os mecanismos verificáveis por programa: conclusão condicionada a evidência em disco, validador estático da descrição do modelo e testes automatizados de invariantes. A aprovação humana e a correspondência entre descrição e configuração permanecem procedimentais. O artefato foi instanciado em um modelo clássico de dinâmica de opiniões, escolhido por ser pequeno e reprodutível. A eficácia permanece como hipótese, e propõe-se um protocolo de avaliação controlada. Conclui-se que a proposta é plausível, mas depende de teste controlado, a começar pelos mecanismos verificáveis.</w:t>
      </w:r>
    </w:p>
    <w:p w:rsidR="00000000" w:rsidDel="00000000" w:rsidP="00000000" w:rsidRDefault="00000000" w:rsidRPr="00000000" w14:paraId="0000000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Simulação computacional; Reprodutibilidade; Alucinação; Verificação; Supervisão humana.</w:t>
      </w:r>
    </w:p>
    <w:p w:rsidR="00000000" w:rsidDel="00000000" w:rsidP="00000000" w:rsidRDefault="00000000" w:rsidRPr="00000000" w14:paraId="0000000E">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Agent-based modeling requires programming, which limits domain researchers. Artificial intelligence assistants lower this barrier, but they may invent theoretical rules, declare tasks complete without proof, and adjust reports to the literature instead of the data. This is a methodological proposal paper with a demonstrative instantiation; it does not report an empirical evaluation. The objective was to propose and ground guidelines that keep theoretical decisions with the researcher and delegate only implementation to the assistant. Design science research was adopted. Failure modes were derived from the literature into four categories and eight modes, each with a guideline and a testable hypothesis. The most defensible contribution is the set of program-verifiable mechanisms: task completion conditioned on evidence on disk, a static model description validator, and automated invariant tests. Human approval and the correspondence between description and configuration remain procedural. The artifact was instantiated in a classic opinion dynamics model, chosen for being small and reproducible. Effectiveness remains a hypothesis, and a controlled evaluation protocol is proposed. It is concluded that the proposal is plausible but depends on controlled testing, starting with the verifiable mechanisms.</w:t>
      </w:r>
    </w:p>
    <w:p w:rsidR="00000000" w:rsidDel="00000000" w:rsidP="00000000" w:rsidRDefault="00000000" w:rsidRPr="00000000" w14:paraId="0000001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Computer simulation; Reproducibility; Hallucination; Verification; Human oversight.</w:t>
      </w:r>
    </w:p>
    <w:p w:rsidR="00000000" w:rsidDel="00000000" w:rsidP="00000000" w:rsidRDefault="00000000" w:rsidRPr="00000000" w14:paraId="00000011">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INTRODUÇÃO</w:t>
      </w:r>
      <w:r w:rsidDel="00000000" w:rsidR="00000000" w:rsidRPr="00000000">
        <w:rPr>
          <w:rtl w:val="0"/>
        </w:rPr>
      </w:r>
    </w:p>
    <w:p w:rsidR="00000000" w:rsidDel="00000000" w:rsidP="00000000" w:rsidRDefault="00000000" w:rsidRPr="00000000" w14:paraId="00000014">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modelagem baseada em agentes (</w:t>
      </w:r>
      <w:r w:rsidDel="00000000" w:rsidR="00000000" w:rsidRPr="00000000">
        <w:rPr>
          <w:rFonts w:ascii="Times New Roman" w:cs="Times New Roman" w:eastAsia="Times New Roman" w:hAnsi="Times New Roman"/>
          <w:i w:val="1"/>
          <w:iCs w:val="1"/>
          <w:sz w:val="24"/>
          <w:szCs w:val="24"/>
          <w:rtl w:val="0"/>
        </w:rPr>
        <w:t xml:space="preserve">agent-based modeling</w:t>
      </w:r>
      <w:r w:rsidDel="00000000" w:rsidR="00000000" w:rsidRPr="00000000">
        <w:rPr>
          <w:rFonts w:ascii="Times New Roman" w:cs="Times New Roman" w:eastAsia="Times New Roman" w:hAnsi="Times New Roman"/>
          <w:sz w:val="24"/>
          <w:szCs w:val="24"/>
          <w:rtl w:val="0"/>
        </w:rPr>
        <w:t xml:space="preserve">, ABM) é uma metodologia usada em ciências sociais, biologia, economia e ecologia para estudar fenômenos emergentes a partir da interação de entidades autônomas. Seu uso exige que o pesquisador traduza uma teoria verbal em código executável, reprodutível e verificável. Essa tradução é uma barreira técnica para quem não tem formação em programação. Para reduzir o custo de comunicar e replicar esses modelos, a comunidade adotou o protocolo ODD (</w:t>
      </w:r>
      <w:r w:rsidDel="00000000" w:rsidR="00000000" w:rsidRPr="00000000">
        <w:rPr>
          <w:rFonts w:ascii="Times New Roman" w:cs="Times New Roman" w:eastAsia="Times New Roman" w:hAnsi="Times New Roman"/>
          <w:i w:val="1"/>
          <w:iCs w:val="1"/>
          <w:sz w:val="24"/>
          <w:szCs w:val="24"/>
          <w:rtl w:val="0"/>
        </w:rPr>
        <w:t xml:space="preserve">Overview, Design concepts, Details</w:t>
      </w:r>
      <w:r w:rsidDel="00000000" w:rsidR="00000000" w:rsidRPr="00000000">
        <w:rPr>
          <w:rFonts w:ascii="Times New Roman" w:cs="Times New Roman" w:eastAsia="Times New Roman" w:hAnsi="Times New Roman"/>
          <w:sz w:val="24"/>
          <w:szCs w:val="24"/>
          <w:rtl w:val="0"/>
        </w:rPr>
        <w:t xml:space="preserve">), proposto por Grimm et al. (2006) e atualizado por Grimm et al. (2020) para melhorar a clareza, a replicação e a utilidade das descrições.</w:t>
      </w:r>
    </w:p>
    <w:p w:rsidR="00000000" w:rsidDel="00000000" w:rsidP="00000000" w:rsidRDefault="00000000" w:rsidRPr="00000000" w14:paraId="00000015">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modelos de linguagem de grande escala (</w:t>
      </w:r>
      <w:r w:rsidDel="00000000" w:rsidR="00000000" w:rsidRPr="00000000">
        <w:rPr>
          <w:rFonts w:ascii="Times New Roman" w:cs="Times New Roman" w:eastAsia="Times New Roman" w:hAnsi="Times New Roman"/>
          <w:i w:val="1"/>
          <w:iCs w:val="1"/>
          <w:sz w:val="24"/>
          <w:szCs w:val="24"/>
          <w:rtl w:val="0"/>
        </w:rPr>
        <w:t xml:space="preserve">large language models</w:t>
      </w:r>
      <w:r w:rsidDel="00000000" w:rsidR="00000000" w:rsidRPr="00000000">
        <w:rPr>
          <w:rFonts w:ascii="Times New Roman" w:cs="Times New Roman" w:eastAsia="Times New Roman" w:hAnsi="Times New Roman"/>
          <w:sz w:val="24"/>
          <w:szCs w:val="24"/>
          <w:rtl w:val="0"/>
        </w:rPr>
        <w:t xml:space="preserve">, LLM) tornaram possível gerar código a partir de descrições textuais. Já existem estudos sobre seu uso em ABM. Fachada et al. (2026) avaliaram 17 modelos de linguagem na implementação de um modelo predador-presa a partir de uma especificação ODD completa e compararam os resultados com uma implementação de referência. Khatami e Frantz (2025) investigaram a extração de características de modelos a partir de descrições conceituais. Vanhée et al. (2025) discutiram, em um documento de posicionamento, usos possíveis ao longo do ciclo de modelagem e riscos como a dificuldade de garantir que o comportamento dos agentes seja o pretendido e a perda de familiaridade do pesquisador com o código.</w:t>
      </w:r>
    </w:p>
    <w:p w:rsidR="00000000" w:rsidDel="00000000" w:rsidP="00000000" w:rsidRDefault="00000000" w:rsidRPr="00000000" w14:paraId="00000016">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riscos se conectam a fenômenos já descritos fora da ABM. Há taxonomias de alucinações em código gerado por modelos de linguagem, que incluem conflitos com os requisitos, inconsistências no próprio código e alucinações de conhecimento (LIU et al., 2026), além de conflitos com o contexto do projeto no nível de repositório (ZHANG et al., 2024). Em sistemas autônomos, descreve-se a especificação gamificada (</w:t>
      </w:r>
      <w:r w:rsidDel="00000000" w:rsidR="00000000" w:rsidRPr="00000000">
        <w:rPr>
          <w:rFonts w:ascii="Times New Roman" w:cs="Times New Roman" w:eastAsia="Times New Roman" w:hAnsi="Times New Roman"/>
          <w:i w:val="1"/>
          <w:iCs w:val="1"/>
          <w:sz w:val="24"/>
          <w:szCs w:val="24"/>
          <w:rtl w:val="0"/>
        </w:rPr>
        <w:t xml:space="preserve">specification gaming</w:t>
      </w:r>
      <w:r w:rsidDel="00000000" w:rsidR="00000000" w:rsidRPr="00000000">
        <w:rPr>
          <w:rFonts w:ascii="Times New Roman" w:cs="Times New Roman" w:eastAsia="Times New Roman" w:hAnsi="Times New Roman"/>
          <w:sz w:val="24"/>
          <w:szCs w:val="24"/>
          <w:rtl w:val="0"/>
        </w:rPr>
        <w:t xml:space="preserve">), em que o agente satisfaz a especificação literal sem alcançar o resultado pretendido (KRAKOVNA et al., 2020). Modelos treinados com </w:t>
      </w:r>
      <w:r w:rsidDel="00000000" w:rsidR="00000000" w:rsidRPr="00000000">
        <w:rPr>
          <w:rFonts w:ascii="Times New Roman" w:cs="Times New Roman" w:eastAsia="Times New Roman" w:hAnsi="Times New Roman"/>
          <w:i w:val="1"/>
          <w:iCs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humano também podem ajustar suas respostas ao que o usuário espera (SHARMA et al., 2023). Do lado humano, a literatura de fatores humanos descreve o uso excessivo e a complacência diante da automação (PARASURAMAN; RILEY, 1997). Em contextos nos quais modelos de simulação informam decisões, a literatura também enfatiza transparência e reprodutibilidade (SQUAZZONI et al., 2020).</w:t>
      </w:r>
    </w:p>
    <w:p w:rsidR="00000000" w:rsidDel="00000000" w:rsidP="00000000" w:rsidRDefault="00000000" w:rsidRPr="00000000" w14:paraId="00000017">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resposta possível a esses riscos é dividir os papéis: o pesquisador decide a teoria e o assistente implementa. Em uma busca não sistemática, não identificamos uma proposta que operacionalize essa divisão de papéis em regras verificáveis e ferramentas de auditoria. Este trabalho apresenta uma proposta nesse sentido, na forma de um repositório de instruções, regras, habilidades (</w:t>
      </w:r>
      <w:r w:rsidDel="00000000" w:rsidR="00000000" w:rsidRPr="00000000">
        <w:rPr>
          <w:rFonts w:ascii="Times New Roman" w:cs="Times New Roman" w:eastAsia="Times New Roman" w:hAnsi="Times New Roman"/>
          <w:i w:val="1"/>
          <w:iCs w:val="1"/>
          <w:sz w:val="24"/>
          <w:szCs w:val="24"/>
          <w:rtl w:val="0"/>
        </w:rPr>
        <w:t xml:space="preserve">skills</w:t>
      </w:r>
      <w:r w:rsidDel="00000000" w:rsidR="00000000" w:rsidRPr="00000000">
        <w:rPr>
          <w:rFonts w:ascii="Times New Roman" w:cs="Times New Roman" w:eastAsia="Times New Roman" w:hAnsi="Times New Roman"/>
          <w:sz w:val="24"/>
          <w:szCs w:val="24"/>
          <w:rtl w:val="0"/>
        </w:rPr>
        <w:t xml:space="preserve">) e ferramentas de linha de comando, denominado “</w:t>
      </w:r>
      <w:r w:rsidDel="00000000" w:rsidR="00000000" w:rsidRPr="00000000">
        <w:rPr>
          <w:rFonts w:ascii="Times New Roman" w:cs="Times New Roman" w:eastAsia="Times New Roman" w:hAnsi="Times New Roman"/>
          <w:sz w:val="24"/>
          <w:szCs w:val="24"/>
          <w:rtl w:val="0"/>
        </w:rPr>
        <w:t xml:space="preserve">ABMforAI</w:t>
      </w:r>
      <w:r w:rsidDel="00000000" w:rsidR="00000000" w:rsidRPr="00000000">
        <w:rPr>
          <w:rFonts w:ascii="Times New Roman" w:cs="Times New Roman" w:eastAsia="Times New Roman" w:hAnsi="Times New Roman"/>
          <w:sz w:val="24"/>
          <w:szCs w:val="24"/>
          <w:rtl w:val="0"/>
        </w:rPr>
        <w:t xml:space="preserve">”. A ideia central é que o pesquisador detém todas as decisões teóricas e comportamentais e que o assistente atua como engenheiro de software sob restrições procedimentais. A parte mais defensável da proposta são os mecanismos que um programa consegue verificar (evidência em disco, validação estática do ODD, testes automatizados), mais do que as instruções em linguagem natural, que dependem de o assistente cumpri-las.</w:t>
      </w:r>
    </w:p>
    <w:p w:rsidR="00000000" w:rsidDel="00000000" w:rsidP="00000000" w:rsidRDefault="00000000" w:rsidRPr="00000000" w14:paraId="00000018">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é um artigo de proposta metodológica (</w:t>
      </w:r>
      <w:r w:rsidDel="00000000" w:rsidR="00000000" w:rsidRPr="00000000">
        <w:rPr>
          <w:rFonts w:ascii="Times New Roman" w:cs="Times New Roman" w:eastAsia="Times New Roman" w:hAnsi="Times New Roman"/>
          <w:i w:val="1"/>
          <w:iCs w:val="1"/>
          <w:sz w:val="24"/>
          <w:szCs w:val="24"/>
          <w:rtl w:val="0"/>
        </w:rPr>
        <w:t xml:space="preserve">position paper</w:t>
      </w:r>
      <w:r w:rsidDel="00000000" w:rsidR="00000000" w:rsidRPr="00000000">
        <w:rPr>
          <w:rFonts w:ascii="Times New Roman" w:cs="Times New Roman" w:eastAsia="Times New Roman" w:hAnsi="Times New Roman"/>
          <w:sz w:val="24"/>
          <w:szCs w:val="24"/>
          <w:rtl w:val="0"/>
        </w:rPr>
        <w:t xml:space="preserve">) com instanciação demonstrativa de um artefato. Ele não relata avaliação empírica nem teste controlado da proposta. Os modos de falha são tratados como hipóteses derivadas da literatura e de observação informal durante a construção de um exemplo de referência, e a eficácia das diretrizes é formulada como hipótese a ser testada.</w:t>
      </w:r>
    </w:p>
    <w:p w:rsidR="00000000" w:rsidDel="00000000" w:rsidP="00000000" w:rsidRDefault="00000000" w:rsidRPr="00000000" w14:paraId="00000019">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deste trabalho é propor e fundamentar teoricamente um conjunto de diretrizes para a construção de modelos baseados em agentes assistida por inteligência artificial, formular hipóteses de avaliação e ilustrar a proposta com um modelo de referência, sem afirmar eficácia empírica.</w:t>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FUNDAMENTAÇÃO TEÓRICA</w:t>
      </w:r>
      <w:r w:rsidDel="00000000" w:rsidR="00000000" w:rsidRPr="00000000">
        <w:rPr>
          <w:rtl w:val="0"/>
        </w:rPr>
      </w:r>
    </w:p>
    <w:p w:rsidR="00000000" w:rsidDel="00000000" w:rsidP="00000000" w:rsidRDefault="00000000" w:rsidRPr="00000000" w14:paraId="0000001C">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Modelagem baseada em agentes e o protocolo ODD</w:t>
      </w:r>
      <w:r w:rsidDel="00000000" w:rsidR="00000000" w:rsidRPr="00000000">
        <w:rPr>
          <w:rtl w:val="0"/>
        </w:rPr>
      </w:r>
    </w:p>
    <w:p w:rsidR="00000000" w:rsidDel="00000000" w:rsidP="00000000" w:rsidRDefault="00000000" w:rsidRPr="00000000" w14:paraId="0000001D">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modelo baseado em agentes representa um sistema por meio de agentes que têm estado, seguem regras de comportamento e interagem entre si e com o ambiente. O resultado de interesse costuma ser um padrão que emerge do conjunto. A confiança nesse resultado depende de o modelo estar bem descrito e de a implementação corresponder à descrição.</w:t>
      </w:r>
    </w:p>
    <w:p w:rsidR="00000000" w:rsidDel="00000000" w:rsidP="00000000" w:rsidRDefault="00000000" w:rsidRPr="00000000" w14:paraId="0000001E">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protocolo ODD responde à primeira necessidade. Proposto por Grimm et al. (2006), ele organiza a descrição do modelo em elementos padronizados. A segunda atualização (GRIMM et al., 2020) mantém sete elementos, que cobrem o propósito, as entidades e escalas, a visão geral dos processos, os conceitos de projeto, a inicialização, os dados de entrada e os submodelos. Neste trabalho, o ODD tem papel duplo. Para humanos, é um padrão de comunicação científica. Para o assistente, é usado como um contrato: cada comportamento implementado deve apontar para a seção do ODD que o fundamenta.</w:t>
      </w:r>
    </w:p>
    <w:p w:rsidR="00000000" w:rsidDel="00000000" w:rsidP="00000000" w:rsidRDefault="00000000" w:rsidRPr="00000000" w14:paraId="0000001F">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plataforma de implementação, o exemplo usa o Mesa, uma biblioteca de código aberto em Python para ABM (KAZIL; MASAD; CROOKS, 2020).</w:t>
      </w:r>
    </w:p>
    <w:p w:rsidR="00000000" w:rsidDel="00000000" w:rsidP="00000000" w:rsidRDefault="00000000" w:rsidRPr="00000000" w14:paraId="00000020">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Verificação e validação</w:t>
      </w:r>
      <w:r w:rsidDel="00000000" w:rsidR="00000000" w:rsidRPr="00000000">
        <w:rPr>
          <w:rtl w:val="0"/>
        </w:rPr>
      </w:r>
    </w:p>
    <w:p w:rsidR="00000000" w:rsidDel="00000000" w:rsidP="00000000" w:rsidRDefault="00000000" w:rsidRPr="00000000" w14:paraId="00000021">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Sargent (2013) distingue verificação de validação. A verificação confere se o modelo computacional </w:t>
      </w:r>
      <w:r w:rsidDel="00000000" w:rsidR="00000000" w:rsidRPr="00000000">
        <w:rPr>
          <w:rFonts w:ascii="Times New Roman" w:cs="Times New Roman" w:eastAsia="Times New Roman" w:hAnsi="Times New Roman"/>
          <w:sz w:val="24"/>
          <w:szCs w:val="24"/>
          <w:rtl w:val="0"/>
        </w:rPr>
        <w:t xml:space="preserve">implementa</w:t>
      </w:r>
      <w:r w:rsidDel="00000000" w:rsidR="00000000" w:rsidRPr="00000000">
        <w:rPr>
          <w:rFonts w:ascii="Times New Roman" w:cs="Times New Roman" w:eastAsia="Times New Roman" w:hAnsi="Times New Roman"/>
          <w:sz w:val="24"/>
          <w:szCs w:val="24"/>
          <w:rtl w:val="0"/>
        </w:rPr>
        <w:t xml:space="preserve"> corretamente o modelo conceitual. A validação confere se o modelo é adequado ao seu propósito, no domínio de aplicação. Essa distinção é necessária para interpretar o que os testes automatizados do repositório provam. Eles verificam propriedades do código, como determinismo por semente e conservação da população. Eles não validam o modelo contra dados empíricos. A validação empírica de modelos baseados em agentes tem literatura própria, que a trata como um problema metodológico ainda em aberto (WINDRUM; FAGIOLO; MONETA, 2007; FAGIOLO; MONETA; WINDRUM, 2007). Esse tema não é tratado aqui, pois o foco do trabalho é a verificação e a governança do processo de construção.</w:t>
      </w:r>
    </w:p>
    <w:p w:rsidR="00000000" w:rsidDel="00000000" w:rsidP="00000000" w:rsidRDefault="00000000" w:rsidRPr="00000000" w14:paraId="00000022">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Falhas de assistentes de IA em código e em fluxos agênticos</w:t>
      </w:r>
      <w:r w:rsidDel="00000000" w:rsidR="00000000" w:rsidRPr="00000000">
        <w:rPr>
          <w:rtl w:val="0"/>
        </w:rPr>
      </w:r>
    </w:p>
    <w:p w:rsidR="00000000" w:rsidDel="00000000" w:rsidP="00000000" w:rsidRDefault="00000000" w:rsidRPr="00000000" w14:paraId="00000023">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Alucinação em código.</w:t>
      </w:r>
      <w:r w:rsidDel="00000000" w:rsidR="00000000" w:rsidRPr="00000000">
        <w:rPr>
          <w:rFonts w:ascii="Times New Roman" w:cs="Times New Roman" w:eastAsia="Times New Roman" w:hAnsi="Times New Roman"/>
          <w:sz w:val="24"/>
          <w:szCs w:val="24"/>
          <w:rtl w:val="0"/>
        </w:rPr>
        <w:t xml:space="preserve"> Liu et al. (2026) propõem uma taxonomia de alucinações em código gerado por modelos de linguagem, com três categorias principais (conflito com os requisitos, inconsistência de código e conhecimento) e doze tipos específicos. Zhang et al. (2024) estudam o nível de repositório e identificam, entre as categorias, conflitos com o contexto do projeto, isto é, código que diverge de outros arquivos e configurações. Em ABM, isso tem um análogo direto: a descrição ODD, a configuração declarativa, o código e os testes são camadas diferentes que podem divergir.</w:t>
      </w:r>
    </w:p>
    <w:p w:rsidR="00000000" w:rsidDel="00000000" w:rsidP="00000000" w:rsidRDefault="00000000" w:rsidRPr="00000000" w14:paraId="00000024">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Especificação gamificada.</w:t>
      </w:r>
      <w:r w:rsidDel="00000000" w:rsidR="00000000" w:rsidRPr="00000000">
        <w:rPr>
          <w:rFonts w:ascii="Times New Roman" w:cs="Times New Roman" w:eastAsia="Times New Roman" w:hAnsi="Times New Roman"/>
          <w:sz w:val="24"/>
          <w:szCs w:val="24"/>
          <w:rtl w:val="0"/>
        </w:rPr>
        <w:t xml:space="preserve"> Krakovna et al. (2020) definem esse fenômeno como o comportamento que satisfaz a especificação literal de um objetivo sem alcançar o resultado pretendido. Por analogia, um assistente que marca uma tarefa como concluída em uma lista, sem que o artefato exista, satisfaz o indicador de progresso sem cumprir o objetivo. Trata-se de uma extensão por analogia, e não de um achado dos autores citados.</w:t>
      </w:r>
    </w:p>
    <w:p w:rsidR="00000000" w:rsidDel="00000000" w:rsidP="00000000" w:rsidRDefault="00000000" w:rsidRPr="00000000" w14:paraId="00000025">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Bajulação.</w:t>
      </w:r>
      <w:r w:rsidDel="00000000" w:rsidR="00000000" w:rsidRPr="00000000">
        <w:rPr>
          <w:rFonts w:ascii="Times New Roman" w:cs="Times New Roman" w:eastAsia="Times New Roman" w:hAnsi="Times New Roman"/>
          <w:sz w:val="24"/>
          <w:szCs w:val="24"/>
          <w:rtl w:val="0"/>
        </w:rPr>
        <w:t xml:space="preserve"> Sharma et al. (2023) mostram que assistentes treinados com </w:t>
      </w:r>
      <w:r w:rsidDel="00000000" w:rsidR="00000000" w:rsidRPr="00000000">
        <w:rPr>
          <w:rFonts w:ascii="Times New Roman" w:cs="Times New Roman" w:eastAsia="Times New Roman" w:hAnsi="Times New Roman"/>
          <w:i w:val="1"/>
          <w:iCs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humano tendem a ajustar respostas às crenças do usuário. Propomos aqui uma hipótese de transferência do fenômeno: uma tendência análoga poderia se manifestar como aderência a narrativas canônicas da literatura quando os dados as contradizem, por exemplo ao descrever o resultado de uma simulação. Isso não é uma previsão direta de Sharma et al. (2023), que, até onde sabemos, não examinam esse cenário. A hipótese exige teste específico, previsto no protocolo proposto (Quadro 2, H1 e H5).</w:t>
      </w:r>
    </w:p>
    <w:p w:rsidR="00000000" w:rsidDel="00000000" w:rsidP="00000000" w:rsidRDefault="00000000" w:rsidRPr="00000000" w14:paraId="00000026">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Complacência humana.</w:t>
      </w:r>
      <w:r w:rsidDel="00000000" w:rsidR="00000000" w:rsidRPr="00000000">
        <w:rPr>
          <w:rFonts w:ascii="Times New Roman" w:cs="Times New Roman" w:eastAsia="Times New Roman" w:hAnsi="Times New Roman"/>
          <w:sz w:val="24"/>
          <w:szCs w:val="24"/>
          <w:rtl w:val="0"/>
        </w:rPr>
        <w:t xml:space="preserve"> Parasuraman e Riley (1997) analisam o uso, o mau uso, o desuso e o abuso da automação. O mau uso inclui a confiança excessiva em resultados automatizados. Se o assistente erra e o pesquisador confia sem inspecionar, o erro passa para a ciência. Por isso as diretrizes não se limitam a restringir o assistente. Elas também organizam pontos de inspeção humana.</w:t>
      </w:r>
    </w:p>
    <w:p w:rsidR="00000000" w:rsidDel="00000000" w:rsidP="00000000" w:rsidRDefault="00000000" w:rsidRPr="00000000" w14:paraId="00000027">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 Trabalhos relacionados sobre modelos de linguagem e ABM</w:t>
      </w:r>
      <w:r w:rsidDel="00000000" w:rsidR="00000000" w:rsidRPr="00000000">
        <w:rPr>
          <w:rtl w:val="0"/>
        </w:rPr>
      </w:r>
    </w:p>
    <w:p w:rsidR="00000000" w:rsidDel="00000000" w:rsidP="00000000" w:rsidRDefault="00000000" w:rsidRPr="00000000" w14:paraId="00000028">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Fachada et al. (2026) avaliam a capacidade de modelos de linguagem de implementar um modelo a partir de ODD, com etapas de verificação de execução, comparação estatística com uma linha de base e medidas de eficiência e manutenibilidade. O foco é o desempenho dos modelos de linguagem sob um protocolo fixo de geração, e não a governança do processo pelo pesquisador. Khatami e Frantz (2025) tratam de uma etapa anterior, a extração de características do modelo a partir de descrições conceituais, e relatam desempenho dominante de modelos comerciais, com potencial crescente de modelos abertos. Vanhée et al. (2025) recomendam, entre outras medidas, tratar o código gerado como primeiro rascunho e realizar revisões regulares do código a cada iteração. As diretrizes aqui propostas podem ser vistas como uma operacionalização dessas recomendações em regras verificáveis, o que é um posicionamento deste trabalho, e não uma afirmação feita pelos autores citados. Larooij e Törnberg (2026) tratam de outro uso, no qual os modelos de linguagem são os próprios agentes da simulação, e apontam a validação como desafio central. O presente trabalho trata do assistente como engenheiro de software, e não como agente do modelo. Edmonds e Polhill (2024) combinam programação baseada em restrições e programação imperativa em simulação multiagente com o objetivo de tornar a modelagem mais confiável. A abordagem se aproxima, em propósito, da verificação de correspondência entre camadas proposta aqui, embora use outra técnica.</w:t>
      </w:r>
    </w:p>
    <w:p w:rsidR="00000000" w:rsidDel="00000000" w:rsidP="00000000" w:rsidRDefault="00000000" w:rsidRPr="00000000" w14:paraId="00000029">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MATERIAIS E MÉTODOS</w:t>
      </w:r>
      <w:r w:rsidDel="00000000" w:rsidR="00000000" w:rsidRPr="00000000">
        <w:rPr>
          <w:rtl w:val="0"/>
        </w:rPr>
      </w:r>
    </w:p>
    <w:p w:rsidR="00000000" w:rsidDel="00000000" w:rsidP="00000000" w:rsidRDefault="00000000" w:rsidRPr="00000000" w14:paraId="0000002B">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trabalho segue a pesquisa orientada ao projeto de artefatos (</w:t>
      </w:r>
      <w:r w:rsidDel="00000000" w:rsidR="00000000" w:rsidRPr="00000000">
        <w:rPr>
          <w:rFonts w:ascii="Times New Roman" w:cs="Times New Roman" w:eastAsia="Times New Roman" w:hAnsi="Times New Roman"/>
          <w:i w:val="1"/>
          <w:iCs w:val="1"/>
          <w:sz w:val="24"/>
          <w:szCs w:val="24"/>
          <w:rtl w:val="0"/>
        </w:rPr>
        <w:t xml:space="preserve">design science research</w:t>
      </w:r>
      <w:r w:rsidDel="00000000" w:rsidR="00000000" w:rsidRPr="00000000">
        <w:rPr>
          <w:rFonts w:ascii="Times New Roman" w:cs="Times New Roman" w:eastAsia="Times New Roman" w:hAnsi="Times New Roman"/>
          <w:sz w:val="24"/>
          <w:szCs w:val="24"/>
          <w:rtl w:val="0"/>
        </w:rPr>
        <w:t xml:space="preserve">), em que o resultado é um artefato proposto para resolver um problema relevante e sua avaliação é parte do ciclo (HEVNER et al., 2004). Nesta etapa, a avaliação é apenas demonstrativa. A avaliação controlada é proposta, mas não realizada.</w:t>
      </w:r>
    </w:p>
    <w:p w:rsidR="00000000" w:rsidDel="00000000" w:rsidP="00000000" w:rsidRDefault="00000000" w:rsidRPr="00000000" w14:paraId="0000002C">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procedimento teve cinco passos, em ordem cronológica. No primeiro, realizou-se uma pesquisa bibliográfica não sistemática sobre modelos de linguagem aplicados à ABM, alucinação em código, especificação gamificada, bajulação, complacência com a automação e verificação e validação de simulações. No segundo, derivaram-se os modos de falha. Eles resultaram da leitura da literatura e de observação informal durante a construção de um modelo de referência. O terceiro passo foi o projeto das diretrizes, uma para cada modo de falha. No quarto, o artefato foi instanciado em um modelo de referência. No quinto, formularam-se as hipóteses e o protocolo de avaliação.</w:t>
      </w:r>
    </w:p>
    <w:p w:rsidR="00000000" w:rsidDel="00000000" w:rsidP="00000000" w:rsidRDefault="00000000" w:rsidRPr="00000000" w14:paraId="0000002D">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artefato, denominado </w:t>
      </w:r>
      <w:r w:rsidDel="00000000" w:rsidR="00000000" w:rsidRPr="00000000">
        <w:rPr>
          <w:rFonts w:ascii="Times New Roman" w:cs="Times New Roman" w:eastAsia="Times New Roman" w:hAnsi="Times New Roman"/>
          <w:sz w:val="24"/>
          <w:szCs w:val="24"/>
          <w:rtl w:val="0"/>
        </w:rPr>
        <w:t xml:space="preserve">ABMforAI</w:t>
      </w:r>
      <w:r w:rsidDel="00000000" w:rsidR="00000000" w:rsidRPr="00000000">
        <w:rPr>
          <w:rFonts w:ascii="Times New Roman" w:cs="Times New Roman" w:eastAsia="Times New Roman" w:hAnsi="Times New Roman"/>
          <w:sz w:val="24"/>
          <w:szCs w:val="24"/>
          <w:rtl w:val="0"/>
        </w:rPr>
        <w:t xml:space="preserve">, é um repositório público sob licença MIT (https://github.com/Unevem/ABMforAI). Contém regras de governança para assistentes de IA, duas habilidades (um modelador e um revisor adversarial), um arquivo de diretrizes gerais, quatro ferramentas de linha de comando em Python sem dependências externas (gestão de tarefas com verificação de evidência em disco, validador estático de ODD, verificador de modelo e gerador de estrutura de projeto) e um exemplo completo. Os componentes são de três tipos: instruções em linguagem natural (regras e habilidades), que dependem de o assistente cumpri-las; mecanismos verificáveis por programa (as ferramentas e os testes), que detectam violações sem depender dessa cooperação; e mecanismos mistos, nos quais uma parte da verificação é automática e outra depende de revisão ou de instrução. A instalação e o uso estão descritos no próprio repositório.</w:t>
      </w:r>
    </w:p>
    <w:p w:rsidR="00000000" w:rsidDel="00000000" w:rsidP="00000000" w:rsidRDefault="00000000" w:rsidRPr="00000000" w14:paraId="0000002E">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fluxo de trabalho do artefato tem quatro estágios sequenciais. O primeiro é a elicitação, uma entrevista diagnóstica com o pesquisador, sem geração de código. O segundo é a formalização, que produz a descrição ODD, a especificação do modelo e o registro de decisões. O terceiro é a simulação, a implementação modular em Python com Mesa 3.5 ou superior, com anotações que apontam para a seção do ODD. O quarto é a verificação, com testes automatizados, experimentos com várias sementes e varreduras de parâmetros.</w:t>
      </w:r>
    </w:p>
    <w:p w:rsidR="00000000" w:rsidDel="00000000" w:rsidP="00000000" w:rsidRDefault="00000000" w:rsidRPr="00000000" w14:paraId="0000002F">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escolha do modelo de Deffuant et al. (2000) foi deliberada. Ele é pequeno, o que permite inspeção completa do código e da especificação. É reproduzível por semente, o que permite testar determinismo. Seus parâmetros e seu comportamento qualitativo são conhecidos na literatura, o que fornece uma expectativa canônica contra a qual os resultados podem ser comparados. Suas propriedades matemáticas são simples, como a atualização por combinação convexa, e permitem testar invariantes sem recorrer a artifícios. Além disso, a existência de um resultado canônico é o que torna observável o modo de falha 2, pois só é possível detectar a adesão a uma narrativa quando se conhece a narrativa. A simplicidade é uma escolha de projeto do teste, e não uma afirmação sobre a representatividade do modelo. Edmonds e Moss (2005) discutem os dois extremos, partir do modelo mais simples (</w:t>
      </w:r>
      <w:r w:rsidDel="00000000" w:rsidR="00000000" w:rsidRPr="00000000">
        <w:rPr>
          <w:rFonts w:ascii="Times New Roman" w:cs="Times New Roman" w:eastAsia="Times New Roman" w:hAnsi="Times New Roman"/>
          <w:i w:val="1"/>
          <w:iCs w:val="1"/>
          <w:sz w:val="24"/>
          <w:szCs w:val="24"/>
          <w:rtl w:val="0"/>
        </w:rPr>
        <w:t xml:space="preserve">KISS</w:t>
      </w:r>
      <w:r w:rsidDel="00000000" w:rsidR="00000000" w:rsidRPr="00000000">
        <w:rPr>
          <w:rFonts w:ascii="Times New Roman" w:cs="Times New Roman" w:eastAsia="Times New Roman" w:hAnsi="Times New Roman"/>
          <w:sz w:val="24"/>
          <w:szCs w:val="24"/>
          <w:rtl w:val="0"/>
        </w:rPr>
        <w:t xml:space="preserve">) ou do mais descritivo (</w:t>
      </w:r>
      <w:r w:rsidDel="00000000" w:rsidR="00000000" w:rsidRPr="00000000">
        <w:rPr>
          <w:rFonts w:ascii="Times New Roman" w:cs="Times New Roman" w:eastAsia="Times New Roman" w:hAnsi="Times New Roman"/>
          <w:i w:val="1"/>
          <w:iCs w:val="1"/>
          <w:sz w:val="24"/>
          <w:szCs w:val="24"/>
          <w:rtl w:val="0"/>
        </w:rPr>
        <w:t xml:space="preserve">KIDS</w:t>
      </w:r>
      <w:r w:rsidDel="00000000" w:rsidR="00000000" w:rsidRPr="00000000">
        <w:rPr>
          <w:rFonts w:ascii="Times New Roman" w:cs="Times New Roman" w:eastAsia="Times New Roman" w:hAnsi="Times New Roman"/>
          <w:sz w:val="24"/>
          <w:szCs w:val="24"/>
          <w:rtl w:val="0"/>
        </w:rPr>
        <w:t xml:space="preserve">), e a escolha aqui serve ao propósito de testar o processo de construção, não o de representar um fenômeno empírico. Como consequência, a generalização para modelos espaciais, em rede ou com agentes heterogêneos permanece uma questão em aberto.</w:t>
      </w:r>
    </w:p>
    <w:p w:rsidR="00000000" w:rsidDel="00000000" w:rsidP="00000000" w:rsidRDefault="00000000" w:rsidRPr="00000000" w14:paraId="00000030">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 modelo de referência é o de confiança limitada de Deffuant et al. (2000). Há N = 1000 agentes homogêneos com opiniões contínuas em [0, 1], interação em população bem misturada e atualização por combinação convexa quando a diferença de opiniões é menor que o limite de confiança ε. Em cada passo, ocorrem N tentativas de interação. O parâmetro de convergência é μ = 0,5 e o horizonte é de 500 passos. Os cenários-base usam as sementes 42, 123 e 999. As varreduras usam ε ∈ {0,1; 0,2; 0,3; 0,4; 0,5} com três réplicas cada (sementes 1001 a 1015), ou seja, 15 execuções. Os testes foram executados em Python 3.12.2 com Mesa 3.5.1 e pytest.</w:t>
      </w:r>
    </w:p>
    <w:p w:rsidR="00000000" w:rsidDel="00000000" w:rsidP="00000000" w:rsidRDefault="00000000" w:rsidRPr="00000000" w14:paraId="00000031">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do artefato e do exemplo utilizou um assistente de IA agêntico integrado a um ambiente de desenvolvimento (Google Antigravity), com o modelo Gemini 3.8 Flash. O uso está declarado ao final do texto.</w:t>
      </w:r>
    </w:p>
    <w:p w:rsidR="00000000" w:rsidDel="00000000" w:rsidP="00000000" w:rsidRDefault="00000000" w:rsidRPr="00000000" w14:paraId="00000032">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do estudo de caso são descritivos. Não há grupo de controle, não há inferência estatística e não há medida de taxa de falha. Para repetir a execução do exemplo, basta clonar o repositório, instalar as dependências do exemplo, executar o </w:t>
      </w:r>
      <w:r w:rsidDel="00000000" w:rsidR="00000000" w:rsidRPr="00000000">
        <w:rPr>
          <w:rFonts w:ascii="Times New Roman" w:cs="Times New Roman" w:eastAsia="Times New Roman" w:hAnsi="Times New Roman"/>
          <w:i w:val="1"/>
          <w:iCs w:val="1"/>
          <w:sz w:val="24"/>
          <w:szCs w:val="24"/>
          <w:rtl w:val="0"/>
        </w:rPr>
        <w:t xml:space="preserve">pytest</w:t>
      </w:r>
      <w:r w:rsidDel="00000000" w:rsidR="00000000" w:rsidRPr="00000000">
        <w:rPr>
          <w:rFonts w:ascii="Times New Roman" w:cs="Times New Roman" w:eastAsia="Times New Roman" w:hAnsi="Times New Roman"/>
          <w:sz w:val="24"/>
          <w:szCs w:val="24"/>
          <w:rtl w:val="0"/>
        </w:rPr>
        <w:t xml:space="preserve"> e executar o </w:t>
      </w:r>
      <w:r w:rsidDel="00000000" w:rsidR="00000000" w:rsidRPr="00000000">
        <w:rPr>
          <w:rFonts w:ascii="Times New Roman" w:cs="Times New Roman" w:eastAsia="Times New Roman" w:hAnsi="Times New Roman"/>
          <w:i w:val="1"/>
          <w:i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de experimentos. Os comandos constam no repositório.</w:t>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RESULTADOS E DISCUSSÃO</w:t>
      </w:r>
      <w:r w:rsidDel="00000000" w:rsidR="00000000" w:rsidRPr="00000000">
        <w:rPr>
          <w:rtl w:val="0"/>
        </w:rPr>
      </w:r>
    </w:p>
    <w:p w:rsidR="00000000" w:rsidDel="00000000" w:rsidP="00000000" w:rsidRDefault="00000000" w:rsidRPr="00000000" w14:paraId="00000035">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Modos de falha e diretrizes</w:t>
      </w:r>
      <w:r w:rsidDel="00000000" w:rsidR="00000000" w:rsidRPr="00000000">
        <w:rPr>
          <w:rtl w:val="0"/>
        </w:rPr>
      </w:r>
    </w:p>
    <w:p w:rsidR="00000000" w:rsidDel="00000000" w:rsidP="00000000" w:rsidRDefault="00000000" w:rsidRPr="00000000" w14:paraId="00000036">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modos de falha foram organizados em quatro categorias e oito modos, conforme o Quadro 1. A coluna de literatura indica o fenômeno com o qual cada modo se relaciona, e a última coluna indica se a diretriz é uma instrução em linguagem natural, um mecanismo verificável por programa ou um mecanismo misto, em que parte da verificação é automática e parte é procedimental. A classificação foi feita por auditoria do código das ferramentas e dos testes. Em vários casos a relação é por analogia, como explicado na seção 2.3. O modo 5 tem a base teórica mais fraca, pois a literatura consultada o aborda de forma indireta, por meio das recomendações de revisão iterativa de Vanhée et al. (2025).</w:t>
      </w:r>
    </w:p>
    <w:p w:rsidR="00000000" w:rsidDel="00000000" w:rsidP="00000000" w:rsidRDefault="00000000" w:rsidRPr="00000000" w14:paraId="00000037">
      <w:pPr>
        <w:keepNext w:val="1"/>
        <w:spacing w:after="120" w:before="0" w:line="240" w:lineRule="auto"/>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4"/>
          <w:szCs w:val="24"/>
          <w:rtl w:val="0"/>
        </w:rPr>
        <w:t xml:space="preserve">Quadro 1 – Modos de falha hipotéticos, base na literatura e diretriz correspondente</w:t>
      </w:r>
      <w:r w:rsidDel="00000000" w:rsidR="00000000" w:rsidRPr="00000000">
        <w:rPr>
          <w:rtl w:val="0"/>
        </w:rPr>
      </w:r>
    </w:p>
    <w:tbl>
      <w:tblPr>
        <w:tblStyle w:val="Table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900"/>
        <w:gridCol w:w="1800"/>
        <w:gridCol w:w="2000"/>
        <w:gridCol w:w="2120"/>
        <w:tblGridChange w:id="0">
          <w:tblGrid>
            <w:gridCol w:w="1250"/>
            <w:gridCol w:w="1900"/>
            <w:gridCol w:w="1800"/>
            <w:gridCol w:w="2000"/>
            <w:gridCol w:w="2120"/>
          </w:tblGrid>
        </w:tblGridChange>
      </w:tblGrid>
      <w:tr>
        <w:trPr>
          <w:cantSplit w:val="0"/>
          <w:tblHeader w:val="1"/>
        </w:trPr>
        <w:tc>
          <w:tcPr/>
          <w:p w:rsidR="00000000" w:rsidDel="00000000" w:rsidP="00000000" w:rsidRDefault="00000000" w:rsidRPr="00000000" w14:paraId="00000038">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Categoria</w:t>
            </w:r>
            <w:r w:rsidDel="00000000" w:rsidR="00000000" w:rsidRPr="00000000">
              <w:rPr>
                <w:rtl w:val="0"/>
              </w:rPr>
            </w:r>
          </w:p>
        </w:tc>
        <w:tc>
          <w:tcPr/>
          <w:p w:rsidR="00000000" w:rsidDel="00000000" w:rsidP="00000000" w:rsidRDefault="00000000" w:rsidRPr="00000000" w14:paraId="00000039">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Modo de falha</w:t>
            </w:r>
            <w:r w:rsidDel="00000000" w:rsidR="00000000" w:rsidRPr="00000000">
              <w:rPr>
                <w:rtl w:val="0"/>
              </w:rPr>
            </w:r>
          </w:p>
        </w:tc>
        <w:tc>
          <w:tcPr/>
          <w:p w:rsidR="00000000" w:rsidDel="00000000" w:rsidP="00000000" w:rsidRDefault="00000000" w:rsidRPr="00000000" w14:paraId="0000003A">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na literatura</w:t>
            </w:r>
            <w:r w:rsidDel="00000000" w:rsidR="00000000" w:rsidRPr="00000000">
              <w:rPr>
                <w:rtl w:val="0"/>
              </w:rPr>
            </w:r>
          </w:p>
        </w:tc>
        <w:tc>
          <w:tcPr/>
          <w:p w:rsidR="00000000" w:rsidDel="00000000" w:rsidP="00000000" w:rsidRDefault="00000000" w:rsidRPr="00000000" w14:paraId="0000003B">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Diretriz</w:t>
            </w:r>
            <w:r w:rsidDel="00000000" w:rsidR="00000000" w:rsidRPr="00000000">
              <w:rPr>
                <w:rtl w:val="0"/>
              </w:rPr>
            </w:r>
          </w:p>
        </w:tc>
        <w:tc>
          <w:tcPr/>
          <w:p w:rsidR="00000000" w:rsidDel="00000000" w:rsidP="00000000" w:rsidRDefault="00000000" w:rsidRPr="00000000" w14:paraId="0000003C">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mecanismo</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Conflito de requisitos e bajulação</w:t>
            </w:r>
          </w:p>
        </w:tc>
        <w:tc>
          <w:tcPr/>
          <w:p w:rsidR="00000000" w:rsidDel="00000000" w:rsidP="00000000" w:rsidRDefault="00000000" w:rsidRPr="00000000" w14:paraId="0000003E">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Consenso fabricado: o assistente registra como decisão do pesquisador uma escolha que ele nunca fez</w:t>
            </w:r>
          </w:p>
        </w:tc>
        <w:tc>
          <w:tcPr/>
          <w:p w:rsidR="00000000" w:rsidDel="00000000" w:rsidP="00000000" w:rsidRDefault="00000000" w:rsidRPr="00000000" w14:paraId="0000003F">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Conflito com requisitos (LIU et al., 2026); bajulação (SHARMA et al., 2023), por analogia</w:t>
            </w:r>
          </w:p>
        </w:tc>
        <w:tc>
          <w:tcPr/>
          <w:p w:rsidR="00000000" w:rsidDel="00000000" w:rsidP="00000000" w:rsidRDefault="00000000" w:rsidRPr="00000000" w14:paraId="00000040">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Atribuição honesta: só se registra decisão do pesquisador após resposta explícita; aceitação de recomendação do assistente é registrada como tal</w:t>
            </w:r>
          </w:p>
        </w:tc>
        <w:tc>
          <w:tcPr/>
          <w:p w:rsidR="00000000" w:rsidDel="00000000" w:rsidP="00000000" w:rsidRDefault="00000000" w:rsidRPr="00000000" w14:paraId="00000041">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Misto: o validador confere se os identificadores de </w:t>
            </w:r>
            <w:r w:rsidDel="00000000" w:rsidR="00000000" w:rsidRPr="00000000">
              <w:rPr>
                <w:rFonts w:ascii="Courier New" w:cs="Courier New" w:eastAsia="Courier New" w:hAnsi="Courier New"/>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existem no registro de decisões e se não há </w:t>
            </w:r>
            <w:r w:rsidDel="00000000" w:rsidR="00000000" w:rsidRPr="00000000">
              <w:rPr>
                <w:rFonts w:ascii="Courier New" w:cs="Courier New" w:eastAsia="Courier New" w:hAnsi="Courier New"/>
                <w:sz w:val="24"/>
                <w:szCs w:val="24"/>
                <w:rtl w:val="0"/>
              </w:rPr>
              <w:t xml:space="preserve">[DECISION NEEDED]</w:t>
            </w:r>
            <w:r w:rsidDel="00000000" w:rsidR="00000000" w:rsidRPr="00000000">
              <w:rPr>
                <w:rFonts w:ascii="Times New Roman" w:cs="Times New Roman" w:eastAsia="Times New Roman" w:hAnsi="Times New Roman"/>
                <w:sz w:val="24"/>
                <w:szCs w:val="24"/>
                <w:rtl w:val="0"/>
              </w:rPr>
              <w:t xml:space="preserve">; confirmar que o pesquisador de fato decidiu é procedimental</w:t>
            </w:r>
          </w:p>
        </w:tc>
      </w:tr>
      <w:tr>
        <w:trPr>
          <w:cantSplit w:val="0"/>
          <w:tblHeader w:val="0"/>
        </w:trPr>
        <w:tc>
          <w:tcPr/>
          <w:p w:rsidR="00000000" w:rsidDel="00000000" w:rsidP="00000000" w:rsidRDefault="00000000" w:rsidRPr="00000000" w14:paraId="00000042">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043">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Viés narrativo: o relato se ajusta à narrativa canônica e omite anomalias empíricas</w:t>
            </w:r>
          </w:p>
        </w:tc>
        <w:tc>
          <w:tcPr/>
          <w:p w:rsidR="00000000" w:rsidDel="00000000" w:rsidP="00000000" w:rsidRDefault="00000000" w:rsidRPr="00000000" w14:paraId="00000044">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Hipótese de transferência da bajulação (SHARMA et al., 2023), sem previsão direta na fonte</w:t>
            </w:r>
          </w:p>
        </w:tc>
        <w:tc>
          <w:tcPr/>
          <w:p w:rsidR="00000000" w:rsidDel="00000000" w:rsidP="00000000" w:rsidRDefault="00000000" w:rsidRPr="00000000" w14:paraId="00000045">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Relato neutro e nota de revisão no próprio texto formal</w:t>
            </w:r>
          </w:p>
        </w:tc>
        <w:tc>
          <w:tcPr/>
          <w:p w:rsidR="00000000" w:rsidDel="00000000" w:rsidP="00000000" w:rsidRDefault="00000000" w:rsidRPr="00000000" w14:paraId="00000046">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Misto: a contagem de grupos, inclusive os pequenos, é calculada por código; que o texto não oculte anomalias é procedimental</w:t>
            </w:r>
          </w:p>
        </w:tc>
      </w:tr>
      <w:tr>
        <w:trPr>
          <w:cantSplit w:val="0"/>
          <w:tblHeader w:val="0"/>
        </w:trPr>
        <w:tc>
          <w:tcPr/>
          <w:p w:rsidR="00000000" w:rsidDel="00000000" w:rsidP="00000000" w:rsidRDefault="00000000" w:rsidRPr="00000000" w14:paraId="00000047">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Especificação gamificada</w:t>
            </w:r>
          </w:p>
        </w:tc>
        <w:tc>
          <w:tcPr/>
          <w:p w:rsidR="00000000" w:rsidDel="00000000" w:rsidP="00000000" w:rsidRDefault="00000000" w:rsidRPr="00000000" w14:paraId="00000048">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Autoaprovação: o assistente move tarefas para concluídas sem aprovação</w:t>
            </w:r>
          </w:p>
        </w:tc>
        <w:tc>
          <w:tcPr/>
          <w:p w:rsidR="00000000" w:rsidDel="00000000" w:rsidP="00000000" w:rsidRDefault="00000000" w:rsidRPr="00000000" w14:paraId="00000049">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Especificação gamificada (KRAKOVNA et al., 2020); complacência (PARASURAMAN; RILEY, 1997)</w:t>
            </w:r>
          </w:p>
        </w:tc>
        <w:tc>
          <w:tcPr/>
          <w:p w:rsidR="00000000" w:rsidDel="00000000" w:rsidP="00000000" w:rsidRDefault="00000000" w:rsidRPr="00000000" w14:paraId="0000004A">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Portão de revisão humana e aprovação explícita antes da conclusão</w:t>
            </w:r>
          </w:p>
        </w:tc>
        <w:tc>
          <w:tcPr/>
          <w:p w:rsidR="00000000" w:rsidDel="00000000" w:rsidP="00000000" w:rsidRDefault="00000000" w:rsidRPr="00000000" w14:paraId="0000004B">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Procedimental, com apoio parcial da ferramenta de tarefas, que registra o aprovador informado na linha de comando sem autenticá-lo nem exigir confirmação interativa</w:t>
            </w:r>
          </w:p>
        </w:tc>
      </w:tr>
      <w:tr>
        <w:trPr>
          <w:cantSplit w:val="0"/>
          <w:tblHeader w:val="0"/>
        </w:trPr>
        <w:tc>
          <w:tcPr/>
          <w:p w:rsidR="00000000" w:rsidDel="00000000" w:rsidP="00000000" w:rsidRDefault="00000000" w:rsidRPr="00000000" w14:paraId="0000004C">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p w:rsidR="00000000" w:rsidDel="00000000" w:rsidP="00000000" w:rsidRDefault="00000000" w:rsidRPr="00000000" w14:paraId="0000004D">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Conclusão fantasma: tarefa marcada como feita antes de o arquivo existir</w:t>
            </w:r>
          </w:p>
        </w:tc>
        <w:tc>
          <w:tcPr/>
          <w:p w:rsidR="00000000" w:rsidDel="00000000" w:rsidP="00000000" w:rsidRDefault="00000000" w:rsidRPr="00000000" w14:paraId="0000004E">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Especificação gamificada (KRAKOVNA et al., 2020)</w:t>
            </w:r>
          </w:p>
        </w:tc>
        <w:tc>
          <w:tcPr/>
          <w:p w:rsidR="00000000" w:rsidDel="00000000" w:rsidP="00000000" w:rsidRDefault="00000000" w:rsidRPr="00000000" w14:paraId="0000004F">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Conclusão somente por ferramenta de linha de comando que verifica a evidência em disco</w:t>
            </w:r>
          </w:p>
        </w:tc>
        <w:tc>
          <w:tcPr/>
          <w:p w:rsidR="00000000" w:rsidDel="00000000" w:rsidP="00000000" w:rsidRDefault="00000000" w:rsidRPr="00000000" w14:paraId="00000050">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Verificável por programa</w:t>
            </w:r>
          </w:p>
        </w:tc>
      </w:tr>
      <w:tr>
        <w:trPr>
          <w:cantSplit w:val="0"/>
          <w:tblHeader w:val="0"/>
        </w:trPr>
        <w:tc>
          <w:tcPr/>
          <w:p w:rsidR="00000000" w:rsidDel="00000000" w:rsidP="00000000" w:rsidRDefault="00000000" w:rsidRPr="00000000" w14:paraId="00000051">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p w:rsidR="00000000" w:rsidDel="00000000" w:rsidP="00000000" w:rsidRDefault="00000000" w:rsidRPr="00000000" w14:paraId="00000052">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Armadilha do lote: várias etapas dependentes produzidas em um único turno</w:t>
            </w:r>
          </w:p>
        </w:tc>
        <w:tc>
          <w:tcPr/>
          <w:p w:rsidR="00000000" w:rsidDel="00000000" w:rsidP="00000000" w:rsidRDefault="00000000" w:rsidRPr="00000000" w14:paraId="00000053">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Revisão iterativa do código (VANHÉE et al., 2025)</w:t>
            </w:r>
          </w:p>
        </w:tc>
        <w:tc>
          <w:tcPr/>
          <w:p w:rsidR="00000000" w:rsidDel="00000000" w:rsidP="00000000" w:rsidRDefault="00000000" w:rsidRPr="00000000" w14:paraId="00000054">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Pontos de verificação atômicos, com relatório padronizado e espera por aprovação</w:t>
            </w:r>
          </w:p>
        </w:tc>
        <w:tc>
          <w:tcPr/>
          <w:p w:rsidR="00000000" w:rsidDel="00000000" w:rsidP="00000000" w:rsidRDefault="00000000" w:rsidRPr="00000000" w14:paraId="00000055">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Instrução em linguagem natural</w:t>
            </w:r>
          </w:p>
        </w:tc>
      </w:tr>
      <w:tr>
        <w:trPr>
          <w:cantSplit w:val="0"/>
          <w:tblHeader w:val="0"/>
        </w:trPr>
        <w:tc>
          <w:tcPr/>
          <w:p w:rsidR="00000000" w:rsidDel="00000000" w:rsidP="00000000" w:rsidRDefault="00000000" w:rsidRPr="00000000" w14:paraId="00000056">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Inconsistência entre artefatos</w:t>
            </w:r>
          </w:p>
        </w:tc>
        <w:tc>
          <w:tcPr/>
          <w:p w:rsidR="00000000" w:rsidDel="00000000" w:rsidP="00000000" w:rsidRDefault="00000000" w:rsidRPr="00000000" w14:paraId="00000057">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Deriva entre configuração e execução: parâmetros declarados que o código ignora</w:t>
            </w:r>
          </w:p>
        </w:tc>
        <w:tc>
          <w:tcPr/>
          <w:p w:rsidR="00000000" w:rsidDel="00000000" w:rsidP="00000000" w:rsidRDefault="00000000" w:rsidRPr="00000000" w14:paraId="00000058">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Conflito com o contexto do projeto (ZHANG et al., 2024); inconsistência de código (LIU et al., 2026)</w:t>
            </w:r>
          </w:p>
        </w:tc>
        <w:tc>
          <w:tcPr/>
          <w:p w:rsidR="00000000" w:rsidDel="00000000" w:rsidP="00000000" w:rsidRDefault="00000000" w:rsidRPr="00000000" w14:paraId="00000059">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Verificação de que os parâmetros da configuração são consumidos pelo código</w:t>
            </w:r>
          </w:p>
        </w:tc>
        <w:tc>
          <w:tcPr/>
          <w:p w:rsidR="00000000" w:rsidDel="00000000" w:rsidP="00000000" w:rsidRDefault="00000000" w:rsidRPr="00000000" w14:paraId="0000005A">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Misto: testes de determinismo e de sensibilidade a parâmetros são automáticos; o consumo integral da configuração é conferido por revisão</w:t>
            </w:r>
          </w:p>
        </w:tc>
      </w:tr>
      <w:tr>
        <w:trPr>
          <w:cantSplit w:val="0"/>
          <w:tblHeader w:val="0"/>
        </w:trPr>
        <w:tc>
          <w:tcPr/>
          <w:p w:rsidR="00000000" w:rsidDel="00000000" w:rsidP="00000000" w:rsidRDefault="00000000" w:rsidRPr="00000000" w14:paraId="0000005B">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p w:rsidR="00000000" w:rsidDel="00000000" w:rsidP="00000000" w:rsidRDefault="00000000" w:rsidRPr="00000000" w14:paraId="0000005C">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Inconsistência de faixas entre ODD, configuração, código e testes</w:t>
            </w:r>
          </w:p>
        </w:tc>
        <w:tc>
          <w:tcPr/>
          <w:p w:rsidR="00000000" w:rsidDel="00000000" w:rsidP="00000000" w:rsidRDefault="00000000" w:rsidRPr="00000000" w14:paraId="0000005D">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Conflito de contexto (ZHANG et al., 2024); distinção entre verificação e validação (SARGENT, 2013)</w:t>
            </w:r>
          </w:p>
        </w:tc>
        <w:tc>
          <w:tcPr/>
          <w:p w:rsidR="00000000" w:rsidDel="00000000" w:rsidP="00000000" w:rsidRDefault="00000000" w:rsidRPr="00000000" w14:paraId="0000005E">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Uniformidade de faixas nas quatro camadas</w:t>
            </w:r>
          </w:p>
        </w:tc>
        <w:tc>
          <w:tcPr/>
          <w:p w:rsidR="00000000" w:rsidDel="00000000" w:rsidP="00000000" w:rsidRDefault="00000000" w:rsidRPr="00000000" w14:paraId="0000005F">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Misto: os testes rejeitam violações das faixas no código; a correspondência entre ODD e configuração é conferida por revisão</w:t>
            </w:r>
          </w:p>
        </w:tc>
      </w:tr>
      <w:tr>
        <w:trPr>
          <w:cantSplit w:val="0"/>
          <w:tblHeader w:val="0"/>
        </w:trPr>
        <w:tc>
          <w:tcPr/>
          <w:p w:rsidR="00000000" w:rsidDel="00000000" w:rsidP="00000000" w:rsidRDefault="00000000" w:rsidRPr="00000000" w14:paraId="00000060">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Deriva de ambiente</w:t>
            </w:r>
          </w:p>
        </w:tc>
        <w:tc>
          <w:tcPr/>
          <w:p w:rsidR="00000000" w:rsidDel="00000000" w:rsidP="00000000" w:rsidRDefault="00000000" w:rsidRPr="00000000" w14:paraId="00000061">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Adaptações silenciosas de bibliotecas e interfaces</w:t>
            </w:r>
          </w:p>
        </w:tc>
        <w:tc>
          <w:tcPr/>
          <w:p w:rsidR="00000000" w:rsidDel="00000000" w:rsidP="00000000" w:rsidRDefault="00000000" w:rsidRPr="00000000" w14:paraId="00000062">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Reprodutibilidade em modelagem com modelos de linguagem (FACHADA et al., 2026)</w:t>
            </w:r>
          </w:p>
        </w:tc>
        <w:tc>
          <w:tcPr/>
          <w:p w:rsidR="00000000" w:rsidDel="00000000" w:rsidP="00000000" w:rsidRDefault="00000000" w:rsidRPr="00000000" w14:paraId="00000063">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das decisões técnicas do assistente, com versões fixadas</w:t>
            </w:r>
          </w:p>
        </w:tc>
        <w:tc>
          <w:tcPr/>
          <w:p w:rsidR="00000000" w:rsidDel="00000000" w:rsidP="00000000" w:rsidRDefault="00000000" w:rsidRPr="00000000" w14:paraId="00000064">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Misto: incompatibilidades de interface fazem os testes falharem; registrar a correção no registro de decisões é procedimental</w:t>
            </w:r>
          </w:p>
        </w:tc>
      </w:tr>
    </w:tbl>
    <w:p w:rsidR="00000000" w:rsidDel="00000000" w:rsidP="00000000" w:rsidRDefault="00000000" w:rsidRPr="00000000" w14:paraId="00000065">
      <w:pPr>
        <w:spacing w:after="240" w:before="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pelos autores.</w:t>
      </w:r>
    </w:p>
    <w:p w:rsidR="00000000" w:rsidDel="00000000" w:rsidP="00000000" w:rsidRDefault="00000000" w:rsidRPr="00000000" w14:paraId="00000066">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diretrizes se organizam em seis princípios. O primeiro determina que nenhuma regra comportamental seja inventada em silêncio. Pontos sem decisão recebem a marca </w:t>
      </w:r>
      <w:r w:rsidDel="00000000" w:rsidR="00000000" w:rsidRPr="00000000">
        <w:rPr>
          <w:rFonts w:ascii="Courier New" w:cs="Courier New" w:eastAsia="Courier New" w:hAnsi="Courier New"/>
          <w:sz w:val="21"/>
          <w:szCs w:val="21"/>
          <w:rtl w:val="0"/>
        </w:rPr>
        <w:t xml:space="preserve">[DECISION NEEDED]</w:t>
      </w:r>
      <w:r w:rsidDel="00000000" w:rsidR="00000000" w:rsidRPr="00000000">
        <w:rPr>
          <w:rFonts w:ascii="Times New Roman" w:cs="Times New Roman" w:eastAsia="Times New Roman" w:hAnsi="Times New Roman"/>
          <w:sz w:val="24"/>
          <w:szCs w:val="24"/>
          <w:rtl w:val="0"/>
        </w:rPr>
        <w:t xml:space="preserve"> e bloqueiam a implementação dependente, e escolhas provisórias aceitas recebem a marca </w:t>
      </w:r>
      <w:r w:rsidDel="00000000" w:rsidR="00000000" w:rsidRPr="00000000">
        <w:rPr>
          <w:rFonts w:ascii="Courier New" w:cs="Courier New" w:eastAsia="Courier New" w:hAnsi="Courier New"/>
          <w:sz w:val="21"/>
          <w:szCs w:val="21"/>
          <w:rtl w:val="0"/>
        </w:rPr>
        <w:t xml:space="preserve">[ASSUMPTION]</w:t>
      </w:r>
      <w:r w:rsidDel="00000000" w:rsidR="00000000" w:rsidRPr="00000000">
        <w:rPr>
          <w:rFonts w:ascii="Times New Roman" w:cs="Times New Roman" w:eastAsia="Times New Roman" w:hAnsi="Times New Roman"/>
          <w:sz w:val="24"/>
          <w:szCs w:val="24"/>
          <w:rtl w:val="0"/>
        </w:rPr>
        <w:t xml:space="preserve">, ligada ao registro de decisões. O segundo ancora toda a implementação no ODD, com anotações que apontam para as seções. O terceiro impõe pontos de verificação atômicos, cada um com um relatório que informa o que foi feito, quem decidiu, o que não foi feito, a evidência e o próximo passo. O quarto condiciona a conclusão de tarefas a evidência em disco, verificada pela ferramenta, e à aprovação humana, exigida por instrução ao assistente; a proibição de editar a lista de tarefas diretamente também é procedimental. O quinto exige correspondência entre as quatro camadas (ODD, configuração, código e testes), verificada em parte pelos testes e em parte por revisão. O sexto exige relato neutro dos resultados, com notas de revisão preservando o percurso das mudanças.</w:t>
      </w:r>
    </w:p>
    <w:p w:rsidR="00000000" w:rsidDel="00000000" w:rsidP="00000000" w:rsidRDefault="00000000" w:rsidRPr="00000000" w14:paraId="00000067">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Instanciação no modelo de referência</w:t>
      </w:r>
      <w:r w:rsidDel="00000000" w:rsidR="00000000" w:rsidRPr="00000000">
        <w:rPr>
          <w:rtl w:val="0"/>
        </w:rPr>
      </w:r>
    </w:p>
    <w:p w:rsidR="00000000" w:rsidDel="00000000" w:rsidP="00000000" w:rsidRDefault="00000000" w:rsidRPr="00000000" w14:paraId="00000068">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 exemplo do repositório reúne a especificação, o ODD, o registro de decisões, a configuração de experimentos, a implementação, um relatório de verificação e oito testes automatizados de invariantes (V1 a V8). Segundo o repositório, os testes cobrem a execução do modelo, o determinismo por semente, a sensibilidade a sementes diferentes, as invariantes de estado, a conservação da população, a conexão dos parâmetros, a coleta de saídas e casos-limite. Em particular, o teste V4 verifica que as opiniões permanecem em [0, 1] sem recorrer a truncamento artificial. A justificativa é que a atualização é uma combinação convexa de valores já contidos em [0, 1], com μ ∈ (0; 0,5], o que garante a permanência no intervalo. O truncamento esconderia, e não detectaria, um eventual erro numérico. Essa é uma escolha de verificação coerente com a distinção de Sargent (2013).</w:t>
      </w:r>
    </w:p>
    <w:p w:rsidR="00000000" w:rsidDel="00000000" w:rsidP="00000000" w:rsidRDefault="00000000" w:rsidRPr="00000000" w14:paraId="00000069">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cenário-base (ε = 0,2), a simulação produziu três grupos de opinião, com 414, 5 e 581 agentes. A narrativa canônica descreve esse valor como bipolarização em dois grupos (DEFFUANT et al., 2000). O repositório preserva o grupo pequeno, com uma nota de revisão e uma decisão registrada, em vez de filtrá-lo. Esse caso ilustra o princípio do relato neutro. Ele não constitui validação do modelo, porque não houve comparação sistemática com dados empíricos nem análise estatística da frequência desse grupo. Também fica em aberto como definir formalmente um grupo, por exemplo com um tamanho mínimo, o que é uma decisão teórica a cargo do pesquisador.</w:t>
      </w:r>
    </w:p>
    <w:p w:rsidR="00000000" w:rsidDel="00000000" w:rsidP="00000000" w:rsidRDefault="00000000" w:rsidRPr="00000000" w14:paraId="0000006A">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Discussão</w:t>
      </w:r>
      <w:r w:rsidDel="00000000" w:rsidR="00000000" w:rsidRPr="00000000">
        <w:rPr>
          <w:rtl w:val="0"/>
        </w:rPr>
      </w:r>
    </w:p>
    <w:p w:rsidR="00000000" w:rsidDel="00000000" w:rsidP="00000000" w:rsidRDefault="00000000" w:rsidRPr="00000000" w14:paraId="0000006B">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relação à literatura, a proposta complementa, e não substitui, os estudos de desempenho. Fachada et al. (2026) mostram, com uma avaliação comparativa, o quanto modelos de linguagem acertam ao implementar um ODD dado. Este trabalho assume que o assistente pode errar e propõe regras sobre o processo que cercam o erro. As recomendações de Vanhée et al. (2025) sobre tratar o código como rascunho e revisá-lo a cada iteração aparecem aqui como pontos de verificação com relatório padronizado. A verificação entre camadas, em parte automatizada e em parte por revisão, responde à preocupação de Zhang et al. (2024) com a divergência entre arquivos do mesmo repositório.</w:t>
      </w:r>
    </w:p>
    <w:p w:rsidR="00000000" w:rsidDel="00000000" w:rsidP="00000000" w:rsidRDefault="00000000" w:rsidRPr="00000000" w14:paraId="0000006C">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mecanismos não têm o mesmo peso. As diretrizes em linguagem natural, como as marcações de pendência, a atribuição honesta, os pontos de verificação e a aprovação humana, dependem de o assistente cumpri-las. Os mecanismos verificáveis por programa, como a conclusão condicionada a evidência em disco, a validação estática do ODD e os testes automatizados de invariantes, detectam a violação sem depender da cooperação do assistente. Entre os dois extremos há mecanismos mistos, como a correspondência entre camadas, em que os testes cobrem o código e a conferência entre ODD e configuração fica a cargo de revisão. Por isso, consideramos que os mecanismos verificáveis por programa são a contribuição mais defensável da proposta, e a avaliação deve medir os três tipos separadamente. A aprovação humana, em particular, é registrada pela ferramenta de tarefas, mas não é verificada por ela, o que é uma limitação reconhecida.</w:t>
      </w:r>
    </w:p>
    <w:p w:rsidR="00000000" w:rsidDel="00000000" w:rsidP="00000000" w:rsidRDefault="00000000" w:rsidRPr="00000000" w14:paraId="0000006D">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 limitações de projeto que devem ser reconhecidas. Primeiro, as regras em linguagem natural são frágeis diante de contextos longos e de mudanças de modelo, e mesmo as ferramentas só detectam as violações previstas em seus critérios. Segundo, o atrito procedimental pode exigir tempo do pesquisador, e o custo-benefício não foi medido. Terceiro, a atribuição honesta de decisões não impede que o pesquisador aprove sem inspecionar. Nesse ponto, o risco descrito por Parasuraman e Riley (1997) continua presente, e as diretrizes apenas criam pontos de parada para que a inspeção ocorra. Além disso, a ferramenta de tarefas aceita o </w:t>
      </w:r>
      <w:r w:rsidDel="00000000" w:rsidR="00000000" w:rsidRPr="00000000">
        <w:rPr>
          <w:rFonts w:ascii="Times New Roman" w:cs="Times New Roman" w:eastAsia="Times New Roman" w:hAnsi="Times New Roman"/>
          <w:sz w:val="24"/>
          <w:szCs w:val="24"/>
          <w:rtl w:val="0"/>
        </w:rPr>
        <w:t xml:space="preserve">aprovador</w:t>
      </w:r>
      <w:r w:rsidDel="00000000" w:rsidR="00000000" w:rsidRPr="00000000">
        <w:rPr>
          <w:rFonts w:ascii="Times New Roman" w:cs="Times New Roman" w:eastAsia="Times New Roman" w:hAnsi="Times New Roman"/>
          <w:sz w:val="24"/>
          <w:szCs w:val="24"/>
          <w:rtl w:val="0"/>
        </w:rPr>
        <w:t xml:space="preserve"> informado na linha de comando sem autenticá-lo, de modo que o registro documenta a aprovação, mas não a comprova.</w:t>
      </w:r>
    </w:p>
    <w:p w:rsidR="00000000" w:rsidDel="00000000" w:rsidP="00000000" w:rsidRDefault="00000000" w:rsidRPr="00000000" w14:paraId="0000006E">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 Ameaças à validade e protocolo de avaliação proposto</w:t>
      </w:r>
      <w:r w:rsidDel="00000000" w:rsidR="00000000" w:rsidRPr="00000000">
        <w:rPr>
          <w:rtl w:val="0"/>
        </w:rPr>
      </w:r>
    </w:p>
    <w:p w:rsidR="00000000" w:rsidDel="00000000" w:rsidP="00000000" w:rsidRDefault="00000000" w:rsidRPr="00000000" w14:paraId="0000006F">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ameaças principais são cinco. A evidência vem de um único modelo de simulação. A observação foi feita por quem projetou o artefato, o que introduz viés. Usou-se uma só ferramenta e uma só família de modelos de linguagem. Não há grupo de controle. Os modos de falha não foram contados de forma sistemática, de modo que nenhuma taxa pode ser afirmada.</w:t>
      </w:r>
    </w:p>
    <w:p w:rsidR="00000000" w:rsidDel="00000000" w:rsidP="00000000" w:rsidRDefault="00000000" w:rsidRPr="00000000" w14:paraId="00000070">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superar essas ameaças, propõe-se o protocolo do Quadro 2, que compara condições com e sem as diretrizes. Cada hipótese estabelece uma medida que pode ser auditada por avaliadores independentes, sem conhecimento da condição.</w:t>
      </w:r>
    </w:p>
    <w:p w:rsidR="00000000" w:rsidDel="00000000" w:rsidP="00000000" w:rsidRDefault="00000000" w:rsidRPr="00000000" w14:paraId="00000071">
      <w:pPr>
        <w:keepNext w:val="1"/>
        <w:spacing w:after="120" w:before="0" w:line="240" w:lineRule="auto"/>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4"/>
          <w:szCs w:val="24"/>
          <w:rtl w:val="0"/>
        </w:rPr>
        <w:t xml:space="preserve">Quadro 2 – Hipóteses e protocolo de avaliação proposto</w:t>
      </w:r>
      <w:r w:rsidDel="00000000" w:rsidR="00000000" w:rsidRPr="00000000">
        <w:rPr>
          <w:rtl w:val="0"/>
        </w:rPr>
      </w:r>
    </w:p>
    <w:tbl>
      <w:tblPr>
        <w:tblStyle w:val="Table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500"/>
        <w:gridCol w:w="2670"/>
        <w:tblGridChange w:id="0">
          <w:tblGrid>
            <w:gridCol w:w="2900"/>
            <w:gridCol w:w="3500"/>
            <w:gridCol w:w="2670"/>
          </w:tblGrid>
        </w:tblGridChange>
      </w:tblGrid>
      <w:tr>
        <w:trPr>
          <w:cantSplit w:val="0"/>
          <w:tblHeader w:val="1"/>
        </w:trPr>
        <w:tc>
          <w:tcPr/>
          <w:p w:rsidR="00000000" w:rsidDel="00000000" w:rsidP="00000000" w:rsidRDefault="00000000" w:rsidRPr="00000000" w14:paraId="00000072">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Hipótese</w:t>
            </w:r>
            <w:r w:rsidDel="00000000" w:rsidR="00000000" w:rsidRPr="00000000">
              <w:rPr>
                <w:rtl w:val="0"/>
              </w:rPr>
            </w:r>
          </w:p>
        </w:tc>
        <w:tc>
          <w:tcPr/>
          <w:p w:rsidR="00000000" w:rsidDel="00000000" w:rsidP="00000000" w:rsidRDefault="00000000" w:rsidRPr="00000000" w14:paraId="00000073">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 proposta</w:t>
            </w:r>
            <w:r w:rsidDel="00000000" w:rsidR="00000000" w:rsidRPr="00000000">
              <w:rPr>
                <w:rtl w:val="0"/>
              </w:rPr>
            </w:r>
          </w:p>
        </w:tc>
        <w:tc>
          <w:tcPr/>
          <w:p w:rsidR="00000000" w:rsidDel="00000000" w:rsidP="00000000" w:rsidRDefault="00000000" w:rsidRPr="00000000" w14:paraId="00000074">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Comparação</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A ancoragem no ODD e a marcação de pendências reduzem decisões teóricas não declaradas (modos 1 e 2)</w:t>
            </w:r>
          </w:p>
        </w:tc>
        <w:tc>
          <w:tcPr/>
          <w:p w:rsidR="00000000" w:rsidDel="00000000" w:rsidP="00000000" w:rsidRDefault="00000000" w:rsidRPr="00000000" w14:paraId="00000076">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regras comportamentais no código sem origem no ODD ou no registro de decisões, apurado por auditoria cega</w:t>
            </w:r>
          </w:p>
        </w:tc>
        <w:tc>
          <w:tcPr/>
          <w:p w:rsidR="00000000" w:rsidDel="00000000" w:rsidP="00000000" w:rsidRDefault="00000000" w:rsidRPr="00000000" w14:paraId="00000077">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 sem diretrizes; vários modelos de linguagem</w:t>
            </w:r>
          </w:p>
        </w:tc>
      </w:tr>
      <w:tr>
        <w:trPr>
          <w:cantSplit w:val="0"/>
          <w:tblHeader w:val="0"/>
        </w:trPr>
        <w:tc>
          <w:tcPr/>
          <w:p w:rsidR="00000000" w:rsidDel="00000000" w:rsidP="00000000" w:rsidRDefault="00000000" w:rsidRPr="00000000" w14:paraId="00000078">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Os pontos de verificação reduzem a propagação de erros de etapas iniciais (modo 5)</w:t>
            </w:r>
          </w:p>
        </w:tc>
        <w:tc>
          <w:tcPr/>
          <w:p w:rsidR="00000000" w:rsidDel="00000000" w:rsidP="00000000" w:rsidRDefault="00000000" w:rsidRPr="00000000" w14:paraId="00000079">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artefatos posteriores afetados por um erro inicial injetado</w:t>
            </w:r>
          </w:p>
        </w:tc>
        <w:tc>
          <w:tcPr/>
          <w:p w:rsidR="00000000" w:rsidDel="00000000" w:rsidP="00000000" w:rsidRDefault="00000000" w:rsidRPr="00000000" w14:paraId="0000007A">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 sem pontos de verificação</w:t>
            </w:r>
          </w:p>
        </w:tc>
      </w:tr>
      <w:tr>
        <w:trPr>
          <w:cantSplit w:val="0"/>
          <w:tblHeader w:val="0"/>
        </w:trPr>
        <w:tc>
          <w:tcPr/>
          <w:p w:rsidR="00000000" w:rsidDel="00000000" w:rsidP="00000000" w:rsidRDefault="00000000" w:rsidRPr="00000000" w14:paraId="0000007B">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O portão de evidência reduz tarefas dadas como concluídas sem artefato (modos 3 e 4)</w:t>
            </w:r>
          </w:p>
        </w:tc>
        <w:tc>
          <w:tcPr/>
          <w:p w:rsidR="00000000" w:rsidDel="00000000" w:rsidP="00000000" w:rsidRDefault="00000000" w:rsidRPr="00000000" w14:paraId="0000007C">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Proporção de tarefas concluídas sem o arquivo ou a execução correspondente</w:t>
            </w:r>
          </w:p>
        </w:tc>
        <w:tc>
          <w:tcPr/>
          <w:p w:rsidR="00000000" w:rsidDel="00000000" w:rsidP="00000000" w:rsidRDefault="00000000" w:rsidRPr="00000000" w14:paraId="0000007D">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 sem a ferramenta de tarefas</w:t>
            </w:r>
          </w:p>
        </w:tc>
      </w:tr>
      <w:tr>
        <w:trPr>
          <w:cantSplit w:val="0"/>
          <w:tblHeader w:val="0"/>
        </w:trPr>
        <w:tc>
          <w:tcPr/>
          <w:p w:rsidR="00000000" w:rsidDel="00000000" w:rsidP="00000000" w:rsidRDefault="00000000" w:rsidRPr="00000000" w14:paraId="0000007E">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 As verificações de correspondência reduzem divergências entre camadas (modos 6 e 7)</w:t>
            </w:r>
          </w:p>
        </w:tc>
        <w:tc>
          <w:tcPr/>
          <w:p w:rsidR="00000000" w:rsidDel="00000000" w:rsidP="00000000" w:rsidRDefault="00000000" w:rsidRPr="00000000" w14:paraId="0000007F">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divergências entre ODD, configuração, código e testes detectadas pelos testes e pela revisão</w:t>
            </w:r>
          </w:p>
        </w:tc>
        <w:tc>
          <w:tcPr/>
          <w:p w:rsidR="00000000" w:rsidDel="00000000" w:rsidP="00000000" w:rsidRDefault="00000000" w:rsidRPr="00000000" w14:paraId="00000080">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 sem as verificações</w:t>
            </w:r>
          </w:p>
        </w:tc>
      </w:tr>
      <w:tr>
        <w:trPr>
          <w:cantSplit w:val="0"/>
          <w:tblHeader w:val="0"/>
        </w:trPr>
        <w:tc>
          <w:tcPr/>
          <w:p w:rsidR="00000000" w:rsidDel="00000000" w:rsidP="00000000" w:rsidRDefault="00000000" w:rsidRPr="00000000" w14:paraId="00000081">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H5. O relato neutro e o registro técnico reduzem a omissão de anomalias e a deriva de ambiente (modos 2 e 8)</w:t>
            </w:r>
          </w:p>
        </w:tc>
        <w:tc>
          <w:tcPr/>
          <w:p w:rsidR="00000000" w:rsidDel="00000000" w:rsidP="00000000" w:rsidRDefault="00000000" w:rsidRPr="00000000" w14:paraId="00000082">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Anomalias presentes nos dados e ausentes no relato; mudanças de dependência sem registro</w:t>
            </w:r>
          </w:p>
        </w:tc>
        <w:tc>
          <w:tcPr/>
          <w:p w:rsidR="00000000" w:rsidDel="00000000" w:rsidP="00000000" w:rsidRDefault="00000000" w:rsidRPr="00000000" w14:paraId="00000083">
            <w:pPr>
              <w:spacing w:after="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 sem as diretrizes</w:t>
            </w:r>
          </w:p>
        </w:tc>
      </w:tr>
    </w:tbl>
    <w:p w:rsidR="00000000" w:rsidDel="00000000" w:rsidP="00000000" w:rsidRDefault="00000000" w:rsidRPr="00000000" w14:paraId="00000084">
      <w:pPr>
        <w:spacing w:after="240" w:before="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pelos autores.</w:t>
      </w:r>
    </w:p>
    <w:p w:rsidR="00000000" w:rsidDel="00000000" w:rsidP="00000000" w:rsidRDefault="00000000" w:rsidRPr="00000000" w14:paraId="00000085">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protocolo deve comparar três condições (sem diretrizes, apenas instruções em linguagem natural, e instruções com ferramentas de verificação) e incluir pelo menos três modelos de linguagem, mais de um modelo de simulação (por exemplo, um modelo espacial e um modelo em rede, além do de opiniões), várias sementes e usuários independentes. Também deve medir o custo para o pesquisador, como o tempo e o número de interrupções. Uma referência de método é o desenho de Fachada et al. (2026), que compara várias implementações com uma linha de base validada.</w:t>
      </w:r>
    </w:p>
    <w:p w:rsidR="00000000" w:rsidDel="00000000" w:rsidP="00000000" w:rsidRDefault="00000000" w:rsidRPr="00000000" w14:paraId="0000008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CONCLUSÕES</w:t>
      </w:r>
      <w:r w:rsidDel="00000000" w:rsidR="00000000" w:rsidRPr="00000000">
        <w:rPr>
          <w:rtl w:val="0"/>
        </w:rPr>
      </w:r>
    </w:p>
    <w:p w:rsidR="00000000" w:rsidDel="00000000" w:rsidP="00000000" w:rsidRDefault="00000000" w:rsidRPr="00000000" w14:paraId="00000088">
      <w:pPr>
        <w:spacing w:after="0" w:before="0" w:line="360" w:lineRule="auto"/>
        <w:ind w:left="113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 trabalho propõe, como posicionamento metodológico, uma divisão de papéis em que o pesquisador decide a teoria e o assistente implementa.</w:t>
      </w:r>
    </w:p>
    <w:p w:rsidR="00000000" w:rsidDel="00000000" w:rsidP="00000000" w:rsidRDefault="00000000" w:rsidRPr="00000000" w14:paraId="00000089">
      <w:pPr>
        <w:spacing w:after="0" w:before="0" w:line="360" w:lineRule="auto"/>
        <w:ind w:left="113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Os modos de falha são organizados em quatro categorias e oito modos, relacionados à literatura, em parte por analogia e por hipótese de transferência.</w:t>
      </w:r>
    </w:p>
    <w:p w:rsidR="00000000" w:rsidDel="00000000" w:rsidP="00000000" w:rsidRDefault="00000000" w:rsidRPr="00000000" w14:paraId="0000008A">
      <w:pPr>
        <w:spacing w:after="0" w:before="0" w:line="360" w:lineRule="auto"/>
        <w:ind w:left="113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Os mecanismos verificáveis por programa (evidência em disco, validação estática do ODD e testes automatizados de invariantes) são a parte mais defensável da proposta, enquanto a aprovação humana e a correspondência entre ODD e configuração permanecem procedimentais.</w:t>
      </w:r>
    </w:p>
    <w:p w:rsidR="00000000" w:rsidDel="00000000" w:rsidP="00000000" w:rsidRDefault="00000000" w:rsidRPr="00000000" w14:paraId="0000008B">
      <w:pPr>
        <w:spacing w:after="0" w:before="0" w:line="360" w:lineRule="auto"/>
        <w:ind w:left="113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 modelo de Deffuant é um caso de referência escolhido de forma deliberada, e sua instanciação é demonstrativa, não uma avaliação empírica.</w:t>
      </w:r>
    </w:p>
    <w:p w:rsidR="00000000" w:rsidDel="00000000" w:rsidP="00000000" w:rsidRDefault="00000000" w:rsidRPr="00000000" w14:paraId="0000008C">
      <w:pPr>
        <w:spacing w:after="0" w:before="0" w:line="360" w:lineRule="auto"/>
        <w:ind w:left="113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eficácia permanece como hipótese, e o protocolo proposto, que compara condições com e sem diretrizes e com e sem ferramentas, define o próximo passo.</w:t>
      </w:r>
    </w:p>
    <w:p w:rsidR="00000000" w:rsidDel="00000000" w:rsidP="00000000" w:rsidRDefault="00000000" w:rsidRPr="00000000" w14:paraId="0000008D">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Declaração sobre o uso de inteligência artificial</w:t>
      </w:r>
      <w:r w:rsidDel="00000000" w:rsidR="00000000" w:rsidRPr="00000000">
        <w:rPr>
          <w:rtl w:val="0"/>
        </w:rPr>
      </w:r>
    </w:p>
    <w:p w:rsidR="00000000" w:rsidDel="00000000" w:rsidP="00000000" w:rsidRDefault="00000000" w:rsidRPr="00000000" w14:paraId="0000008F">
      <w:pPr>
        <w:spacing w:after="0" w:before="0" w:line="360" w:lineRule="auto"/>
        <w:ind w:left="0" w:firstLine="1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repositório, o exemplo e as notas de preparação foram desenvolvidos com o apoio de um assistente de IA agêntico, sob as restrições procedimentais descritas neste trabalho. O uso de IA no repositório teve, principalmente, a finalidade de testar como o próprio assistente seguia as regras que o repositório propõe. Os autores mantiveram a titularidade das decisões teóricas e a responsabilidade pelo conteúdo.</w:t>
      </w:r>
    </w:p>
    <w:p w:rsidR="00000000" w:rsidDel="00000000" w:rsidP="00000000" w:rsidRDefault="00000000" w:rsidRPr="00000000" w14:paraId="00000090">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keepNext w:val="1"/>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092">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DEFFUANT, G.; NEAU, D.; AMBLARD, F.; WEISBUCH, G. Mixing beliefs among interacting agents. </w:t>
      </w:r>
      <w:r w:rsidDel="00000000" w:rsidR="00000000" w:rsidRPr="00000000">
        <w:rPr>
          <w:rFonts w:ascii="Times New Roman" w:cs="Times New Roman" w:eastAsia="Times New Roman" w:hAnsi="Times New Roman"/>
          <w:b w:val="1"/>
          <w:bCs w:val="1"/>
          <w:sz w:val="24"/>
          <w:szCs w:val="24"/>
          <w:rtl w:val="0"/>
        </w:rPr>
        <w:t xml:space="preserve">Advances in Complex Systems</w:t>
      </w:r>
      <w:r w:rsidDel="00000000" w:rsidR="00000000" w:rsidRPr="00000000">
        <w:rPr>
          <w:rFonts w:ascii="Times New Roman" w:cs="Times New Roman" w:eastAsia="Times New Roman" w:hAnsi="Times New Roman"/>
          <w:sz w:val="24"/>
          <w:szCs w:val="24"/>
          <w:rtl w:val="0"/>
        </w:rPr>
        <w:t xml:space="preserve">, v. 3, n. 1-4, p. 87-98, 2000.</w:t>
      </w:r>
    </w:p>
    <w:p w:rsidR="00000000" w:rsidDel="00000000" w:rsidP="00000000" w:rsidRDefault="00000000" w:rsidRPr="00000000" w14:paraId="00000093">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EDMONDS, B.; MOSS, S. From KISS to KIDS: an anti-simplistic modelling approach. In: DAVIDSSON, P.; LOGAN, B.; TAKADAMA, K. (ed.). </w:t>
      </w:r>
      <w:r w:rsidDel="00000000" w:rsidR="00000000" w:rsidRPr="00000000">
        <w:rPr>
          <w:rFonts w:ascii="Times New Roman" w:cs="Times New Roman" w:eastAsia="Times New Roman" w:hAnsi="Times New Roman"/>
          <w:b w:val="1"/>
          <w:bCs w:val="1"/>
          <w:sz w:val="24"/>
          <w:szCs w:val="24"/>
          <w:rtl w:val="0"/>
        </w:rPr>
        <w:t xml:space="preserve">Multi-agent and multi-agent-based simulation</w:t>
      </w:r>
      <w:r w:rsidDel="00000000" w:rsidR="00000000" w:rsidRPr="00000000">
        <w:rPr>
          <w:rFonts w:ascii="Times New Roman" w:cs="Times New Roman" w:eastAsia="Times New Roman" w:hAnsi="Times New Roman"/>
          <w:sz w:val="24"/>
          <w:szCs w:val="24"/>
          <w:rtl w:val="0"/>
        </w:rPr>
        <w:t xml:space="preserve">: joint workshop MABS 2004, New York, NY, USA, July 19, 2004, revised selected papers. Berlin; Heidelberg: Springer, 2005. p. 130-144. (Lecture Notes in Computer Science, v. 3415).</w:t>
      </w:r>
    </w:p>
    <w:p w:rsidR="00000000" w:rsidDel="00000000" w:rsidP="00000000" w:rsidRDefault="00000000" w:rsidRPr="00000000" w14:paraId="00000094">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EDMONDS, B.; POLHILL, J. G. Combining constraint-based and imperative programming in MABS for more reliable modelling. In: </w:t>
      </w:r>
      <w:r w:rsidDel="00000000" w:rsidR="00000000" w:rsidRPr="00000000">
        <w:rPr>
          <w:rFonts w:ascii="Times New Roman" w:cs="Times New Roman" w:eastAsia="Times New Roman" w:hAnsi="Times New Roman"/>
          <w:b w:val="1"/>
          <w:bCs w:val="1"/>
          <w:sz w:val="24"/>
          <w:szCs w:val="24"/>
          <w:rtl w:val="0"/>
        </w:rPr>
        <w:t xml:space="preserve">Multi-Agent-Based Simulation XXIV</w:t>
      </w:r>
      <w:r w:rsidDel="00000000" w:rsidR="00000000" w:rsidRPr="00000000">
        <w:rPr>
          <w:rFonts w:ascii="Times New Roman" w:cs="Times New Roman" w:eastAsia="Times New Roman" w:hAnsi="Times New Roman"/>
          <w:sz w:val="24"/>
          <w:szCs w:val="24"/>
          <w:rtl w:val="0"/>
        </w:rPr>
        <w:t xml:space="preserve">: 24th International Workshop, MABS 2023, London, UK, May 29–June 2, 2023, revised selected papers. Cham: Springer, 2024. p. 46-57.</w:t>
      </w:r>
    </w:p>
    <w:p w:rsidR="00000000" w:rsidDel="00000000" w:rsidP="00000000" w:rsidRDefault="00000000" w:rsidRPr="00000000" w14:paraId="00000095">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FACHADA, N.; FERNANDES, D.; FERNANDES, C. M.; MATOS-CARVALHO, J. P. Can large language models implement agent-based models? An ODD-based replication study. </w:t>
      </w:r>
      <w:r w:rsidDel="00000000" w:rsidR="00000000" w:rsidRPr="00000000">
        <w:rPr>
          <w:rFonts w:ascii="Times New Roman" w:cs="Times New Roman" w:eastAsia="Times New Roman" w:hAnsi="Times New Roman"/>
          <w:b w:val="1"/>
          <w:bCs w:val="1"/>
          <w:sz w:val="24"/>
          <w:szCs w:val="24"/>
          <w:rtl w:val="0"/>
        </w:rPr>
        <w:t xml:space="preserve">Ecological Modelling</w:t>
      </w:r>
      <w:r w:rsidDel="00000000" w:rsidR="00000000" w:rsidRPr="00000000">
        <w:rPr>
          <w:rFonts w:ascii="Times New Roman" w:cs="Times New Roman" w:eastAsia="Times New Roman" w:hAnsi="Times New Roman"/>
          <w:sz w:val="24"/>
          <w:szCs w:val="24"/>
          <w:rtl w:val="0"/>
        </w:rPr>
        <w:t xml:space="preserve">, v. 517, art. 111624, 2026. DOI: 10.1016/j.ecolmodel.2026.111624.</w:t>
      </w:r>
    </w:p>
    <w:p w:rsidR="00000000" w:rsidDel="00000000" w:rsidP="00000000" w:rsidRDefault="00000000" w:rsidRPr="00000000" w14:paraId="00000096">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FAGIOLO, G.; MONETA, A.; WINDRUM, P. A critical guide to empirical validation of agent-based models in economics: methodologies, procedures, and open problems. </w:t>
      </w:r>
      <w:r w:rsidDel="00000000" w:rsidR="00000000" w:rsidRPr="00000000">
        <w:rPr>
          <w:rFonts w:ascii="Times New Roman" w:cs="Times New Roman" w:eastAsia="Times New Roman" w:hAnsi="Times New Roman"/>
          <w:b w:val="1"/>
          <w:bCs w:val="1"/>
          <w:sz w:val="24"/>
          <w:szCs w:val="24"/>
          <w:rtl w:val="0"/>
        </w:rPr>
        <w:t xml:space="preserve">Computational Economics</w:t>
      </w:r>
      <w:r w:rsidDel="00000000" w:rsidR="00000000" w:rsidRPr="00000000">
        <w:rPr>
          <w:rFonts w:ascii="Times New Roman" w:cs="Times New Roman" w:eastAsia="Times New Roman" w:hAnsi="Times New Roman"/>
          <w:sz w:val="24"/>
          <w:szCs w:val="24"/>
          <w:rtl w:val="0"/>
        </w:rPr>
        <w:t xml:space="preserve">, v. 30, p. 195-226, 2007. DOI: 10.1007/s10614-007-9104-4.</w:t>
      </w:r>
    </w:p>
    <w:p w:rsidR="00000000" w:rsidDel="00000000" w:rsidP="00000000" w:rsidRDefault="00000000" w:rsidRPr="00000000" w14:paraId="00000097">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GRIMM, V. et al. A standard protocol for describing individual-based and agent-based models. </w:t>
      </w:r>
      <w:r w:rsidDel="00000000" w:rsidR="00000000" w:rsidRPr="00000000">
        <w:rPr>
          <w:rFonts w:ascii="Times New Roman" w:cs="Times New Roman" w:eastAsia="Times New Roman" w:hAnsi="Times New Roman"/>
          <w:b w:val="1"/>
          <w:bCs w:val="1"/>
          <w:sz w:val="24"/>
          <w:szCs w:val="24"/>
          <w:rtl w:val="0"/>
        </w:rPr>
        <w:t xml:space="preserve">Ecological Modelling</w:t>
      </w:r>
      <w:r w:rsidDel="00000000" w:rsidR="00000000" w:rsidRPr="00000000">
        <w:rPr>
          <w:rFonts w:ascii="Times New Roman" w:cs="Times New Roman" w:eastAsia="Times New Roman" w:hAnsi="Times New Roman"/>
          <w:sz w:val="24"/>
          <w:szCs w:val="24"/>
          <w:rtl w:val="0"/>
        </w:rPr>
        <w:t xml:space="preserve">, v. 198, n. 1-2, p. 115-126, 2006.</w:t>
      </w:r>
    </w:p>
    <w:p w:rsidR="00000000" w:rsidDel="00000000" w:rsidP="00000000" w:rsidRDefault="00000000" w:rsidRPr="00000000" w14:paraId="00000098">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GRIMM, V. et al. The ODD protocol for describing agent-based and other simulation models: a second update to improve clarity, replication, and utility. </w:t>
      </w:r>
      <w:r w:rsidDel="00000000" w:rsidR="00000000" w:rsidRPr="00000000">
        <w:rPr>
          <w:rFonts w:ascii="Times New Roman" w:cs="Times New Roman" w:eastAsia="Times New Roman" w:hAnsi="Times New Roman"/>
          <w:b w:val="1"/>
          <w:bCs w:val="1"/>
          <w:sz w:val="24"/>
          <w:szCs w:val="24"/>
          <w:rtl w:val="0"/>
        </w:rPr>
        <w:t xml:space="preserve">Journal of Artificial Societies and Social Simulation</w:t>
      </w:r>
      <w:r w:rsidDel="00000000" w:rsidR="00000000" w:rsidRPr="00000000">
        <w:rPr>
          <w:rFonts w:ascii="Times New Roman" w:cs="Times New Roman" w:eastAsia="Times New Roman" w:hAnsi="Times New Roman"/>
          <w:sz w:val="24"/>
          <w:szCs w:val="24"/>
          <w:rtl w:val="0"/>
        </w:rPr>
        <w:t xml:space="preserve">, v. 23, n. 2, art. 7, 2020. DOI: 10.18564/jasss.4259.</w:t>
      </w:r>
    </w:p>
    <w:p w:rsidR="00000000" w:rsidDel="00000000" w:rsidP="00000000" w:rsidRDefault="00000000" w:rsidRPr="00000000" w14:paraId="00000099">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HEVNER, A. R.; MARCH, S. T.; PARK, J.; RAM, S. Design science in information systems research. </w:t>
      </w:r>
      <w:r w:rsidDel="00000000" w:rsidR="00000000" w:rsidRPr="00000000">
        <w:rPr>
          <w:rFonts w:ascii="Times New Roman" w:cs="Times New Roman" w:eastAsia="Times New Roman" w:hAnsi="Times New Roman"/>
          <w:b w:val="1"/>
          <w:bCs w:val="1"/>
          <w:sz w:val="24"/>
          <w:szCs w:val="24"/>
          <w:rtl w:val="0"/>
        </w:rPr>
        <w:t xml:space="preserve">MIS Quarterly</w:t>
      </w:r>
      <w:r w:rsidDel="00000000" w:rsidR="00000000" w:rsidRPr="00000000">
        <w:rPr>
          <w:rFonts w:ascii="Times New Roman" w:cs="Times New Roman" w:eastAsia="Times New Roman" w:hAnsi="Times New Roman"/>
          <w:sz w:val="24"/>
          <w:szCs w:val="24"/>
          <w:rtl w:val="0"/>
        </w:rPr>
        <w:t xml:space="preserve">, v. 28, n. 1, p. 75-105, 2004.</w:t>
      </w:r>
    </w:p>
    <w:p w:rsidR="00000000" w:rsidDel="00000000" w:rsidP="00000000" w:rsidRDefault="00000000" w:rsidRPr="00000000" w14:paraId="0000009A">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KAZIL, J.; MASAD, D.; CROOKS, A. Utilizing Python for agent-based modeling: the Mesa framework. In: THOMSON, R. et al. (org.). </w:t>
      </w:r>
      <w:r w:rsidDel="00000000" w:rsidR="00000000" w:rsidRPr="00000000">
        <w:rPr>
          <w:rFonts w:ascii="Times New Roman" w:cs="Times New Roman" w:eastAsia="Times New Roman" w:hAnsi="Times New Roman"/>
          <w:b w:val="1"/>
          <w:bCs w:val="1"/>
          <w:sz w:val="24"/>
          <w:szCs w:val="24"/>
          <w:rtl w:val="0"/>
        </w:rPr>
        <w:t xml:space="preserve">Social, cultural, and behavioral modeling</w:t>
      </w:r>
      <w:r w:rsidDel="00000000" w:rsidR="00000000" w:rsidRPr="00000000">
        <w:rPr>
          <w:rFonts w:ascii="Times New Roman" w:cs="Times New Roman" w:eastAsia="Times New Roman" w:hAnsi="Times New Roman"/>
          <w:sz w:val="24"/>
          <w:szCs w:val="24"/>
          <w:rtl w:val="0"/>
        </w:rPr>
        <w:t xml:space="preserve">: 13th International Conference, SBP-BRiMS 2020, proceedings. Cham: Springer, 2020. p. 308-317. (Lecture Notes in Computer Science, v. 12268).</w:t>
      </w:r>
    </w:p>
    <w:p w:rsidR="00000000" w:rsidDel="00000000" w:rsidP="00000000" w:rsidRDefault="00000000" w:rsidRPr="00000000" w14:paraId="0000009B">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KHATAMI, S.; FRANTZ, C. From concepts to model: automating feature extraction of agent-based models using large language models. </w:t>
      </w:r>
      <w:r w:rsidDel="00000000" w:rsidR="00000000" w:rsidRPr="00000000">
        <w:rPr>
          <w:rFonts w:ascii="Times New Roman" w:cs="Times New Roman" w:eastAsia="Times New Roman" w:hAnsi="Times New Roman"/>
          <w:b w:val="1"/>
          <w:bCs w:val="1"/>
          <w:sz w:val="24"/>
          <w:szCs w:val="24"/>
          <w:rtl w:val="0"/>
        </w:rPr>
        <w:t xml:space="preserve">Journal of Artificial Societies and Social Simulation</w:t>
      </w:r>
      <w:r w:rsidDel="00000000" w:rsidR="00000000" w:rsidRPr="00000000">
        <w:rPr>
          <w:rFonts w:ascii="Times New Roman" w:cs="Times New Roman" w:eastAsia="Times New Roman" w:hAnsi="Times New Roman"/>
          <w:sz w:val="24"/>
          <w:szCs w:val="24"/>
          <w:rtl w:val="0"/>
        </w:rPr>
        <w:t xml:space="preserve">, v. 28, n. 3, art. 9, 2025.</w:t>
      </w:r>
    </w:p>
    <w:p w:rsidR="00000000" w:rsidDel="00000000" w:rsidP="00000000" w:rsidRDefault="00000000" w:rsidRPr="00000000" w14:paraId="0000009C">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KRAKOVNA, V. et al. </w:t>
      </w:r>
      <w:r w:rsidDel="00000000" w:rsidR="00000000" w:rsidRPr="00000000">
        <w:rPr>
          <w:rFonts w:ascii="Times New Roman" w:cs="Times New Roman" w:eastAsia="Times New Roman" w:hAnsi="Times New Roman"/>
          <w:b w:val="1"/>
          <w:bCs w:val="1"/>
          <w:sz w:val="24"/>
          <w:szCs w:val="24"/>
          <w:rtl w:val="0"/>
        </w:rPr>
        <w:t xml:space="preserve">Specification gaming: the flip side of AI ingenuity</w:t>
      </w:r>
      <w:r w:rsidDel="00000000" w:rsidR="00000000" w:rsidRPr="00000000">
        <w:rPr>
          <w:rFonts w:ascii="Times New Roman" w:cs="Times New Roman" w:eastAsia="Times New Roman" w:hAnsi="Times New Roman"/>
          <w:sz w:val="24"/>
          <w:szCs w:val="24"/>
          <w:rtl w:val="0"/>
        </w:rPr>
        <w:t xml:space="preserve">. DeepMind Safety Research, 2020. Disponível em: https://deepmind.google/discover/blog/specification-gaming-the-flip-side-of-ai-ingenuity/. Acesso em: 23 out. 2026.</w:t>
      </w:r>
    </w:p>
    <w:p w:rsidR="00000000" w:rsidDel="00000000" w:rsidP="00000000" w:rsidRDefault="00000000" w:rsidRPr="00000000" w14:paraId="0000009D">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LAROOIJ, M.; TÖRNBERG, P. Validation is the central challenge for generative social simulation: a critical review of LLMs in agent-based modeling. </w:t>
      </w:r>
      <w:r w:rsidDel="00000000" w:rsidR="00000000" w:rsidRPr="00000000">
        <w:rPr>
          <w:rFonts w:ascii="Times New Roman" w:cs="Times New Roman" w:eastAsia="Times New Roman" w:hAnsi="Times New Roman"/>
          <w:b w:val="1"/>
          <w:bCs w:val="1"/>
          <w:sz w:val="24"/>
          <w:szCs w:val="24"/>
          <w:rtl w:val="0"/>
        </w:rPr>
        <w:t xml:space="preserve">Artificial Intelligence Review</w:t>
      </w:r>
      <w:r w:rsidDel="00000000" w:rsidR="00000000" w:rsidRPr="00000000">
        <w:rPr>
          <w:rFonts w:ascii="Times New Roman" w:cs="Times New Roman" w:eastAsia="Times New Roman" w:hAnsi="Times New Roman"/>
          <w:sz w:val="24"/>
          <w:szCs w:val="24"/>
          <w:rtl w:val="0"/>
        </w:rPr>
        <w:t xml:space="preserve">, v. 59, n. 1, art. 15, 2026. DOI: 10.1007/s10462-025-11412-6.</w:t>
      </w:r>
    </w:p>
    <w:p w:rsidR="00000000" w:rsidDel="00000000" w:rsidP="00000000" w:rsidRDefault="00000000" w:rsidRPr="00000000" w14:paraId="0000009E">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F. et al. Beyond functional correctness: exploring hallucinations in LLM-generated code. </w:t>
      </w:r>
      <w:r w:rsidDel="00000000" w:rsidR="00000000" w:rsidRPr="00000000">
        <w:rPr>
          <w:rFonts w:ascii="Times New Roman" w:cs="Times New Roman" w:eastAsia="Times New Roman" w:hAnsi="Times New Roman"/>
          <w:b w:val="1"/>
          <w:bCs w:val="1"/>
          <w:sz w:val="24"/>
          <w:szCs w:val="24"/>
          <w:rtl w:val="0"/>
        </w:rPr>
        <w:t xml:space="preserve">IEEE Transactions on Software Engineering</w:t>
      </w:r>
      <w:r w:rsidDel="00000000" w:rsidR="00000000" w:rsidRPr="00000000">
        <w:rPr>
          <w:rFonts w:ascii="Times New Roman" w:cs="Times New Roman" w:eastAsia="Times New Roman" w:hAnsi="Times New Roman"/>
          <w:sz w:val="24"/>
          <w:szCs w:val="24"/>
          <w:rtl w:val="0"/>
        </w:rPr>
        <w:t xml:space="preserve">, v. 52, p. 1037-1055, 2026. DOI: 10.1109/TSE.2026.3657432.</w:t>
      </w:r>
    </w:p>
    <w:p w:rsidR="00000000" w:rsidDel="00000000" w:rsidP="00000000" w:rsidRDefault="00000000" w:rsidRPr="00000000" w14:paraId="0000009F">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PARASURAMAN, R.; RILEY, V. Humans and automation: use, misuse, disuse, abuse. </w:t>
      </w:r>
      <w:r w:rsidDel="00000000" w:rsidR="00000000" w:rsidRPr="00000000">
        <w:rPr>
          <w:rFonts w:ascii="Times New Roman" w:cs="Times New Roman" w:eastAsia="Times New Roman" w:hAnsi="Times New Roman"/>
          <w:b w:val="1"/>
          <w:bCs w:val="1"/>
          <w:sz w:val="24"/>
          <w:szCs w:val="24"/>
          <w:rtl w:val="0"/>
        </w:rPr>
        <w:t xml:space="preserve">Human Factors</w:t>
      </w:r>
      <w:r w:rsidDel="00000000" w:rsidR="00000000" w:rsidRPr="00000000">
        <w:rPr>
          <w:rFonts w:ascii="Times New Roman" w:cs="Times New Roman" w:eastAsia="Times New Roman" w:hAnsi="Times New Roman"/>
          <w:sz w:val="24"/>
          <w:szCs w:val="24"/>
          <w:rtl w:val="0"/>
        </w:rPr>
        <w:t xml:space="preserve">, v. 39, n. 2, p. 230-253, 1997.</w:t>
      </w:r>
    </w:p>
    <w:p w:rsidR="00000000" w:rsidDel="00000000" w:rsidP="00000000" w:rsidRDefault="00000000" w:rsidRPr="00000000" w14:paraId="000000A0">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SARGENT, R. G. Verification and validation of simulation models. </w:t>
      </w:r>
      <w:r w:rsidDel="00000000" w:rsidR="00000000" w:rsidRPr="00000000">
        <w:rPr>
          <w:rFonts w:ascii="Times New Roman" w:cs="Times New Roman" w:eastAsia="Times New Roman" w:hAnsi="Times New Roman"/>
          <w:b w:val="1"/>
          <w:bCs w:val="1"/>
          <w:sz w:val="24"/>
          <w:szCs w:val="24"/>
          <w:rtl w:val="0"/>
        </w:rPr>
        <w:t xml:space="preserve">Journal of Simulation</w:t>
      </w:r>
      <w:r w:rsidDel="00000000" w:rsidR="00000000" w:rsidRPr="00000000">
        <w:rPr>
          <w:rFonts w:ascii="Times New Roman" w:cs="Times New Roman" w:eastAsia="Times New Roman" w:hAnsi="Times New Roman"/>
          <w:sz w:val="24"/>
          <w:szCs w:val="24"/>
          <w:rtl w:val="0"/>
        </w:rPr>
        <w:t xml:space="preserve">, v. 7, n. 1, p. 12-24, 2013.</w:t>
      </w:r>
    </w:p>
    <w:p w:rsidR="00000000" w:rsidDel="00000000" w:rsidP="00000000" w:rsidRDefault="00000000" w:rsidRPr="00000000" w14:paraId="000000A1">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M. et al. </w:t>
      </w:r>
      <w:r w:rsidDel="00000000" w:rsidR="00000000" w:rsidRPr="00000000">
        <w:rPr>
          <w:rFonts w:ascii="Times New Roman" w:cs="Times New Roman" w:eastAsia="Times New Roman" w:hAnsi="Times New Roman"/>
          <w:b w:val="1"/>
          <w:bCs w:val="1"/>
          <w:sz w:val="24"/>
          <w:szCs w:val="24"/>
          <w:rtl w:val="0"/>
        </w:rPr>
        <w:t xml:space="preserve">Towards understanding sycophancy in language models</w:t>
      </w:r>
      <w:r w:rsidDel="00000000" w:rsidR="00000000" w:rsidRPr="00000000">
        <w:rPr>
          <w:rFonts w:ascii="Times New Roman" w:cs="Times New Roman" w:eastAsia="Times New Roman" w:hAnsi="Times New Roman"/>
          <w:sz w:val="24"/>
          <w:szCs w:val="24"/>
          <w:rtl w:val="0"/>
        </w:rPr>
        <w:t xml:space="preserve">. arXiv:2310.13548, 2023.</w:t>
      </w:r>
    </w:p>
    <w:p w:rsidR="00000000" w:rsidDel="00000000" w:rsidP="00000000" w:rsidRDefault="00000000" w:rsidRPr="00000000" w14:paraId="000000A2">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SQUAZZONI, F. et al. Computational models that matter during a global pandemic outbreak: a call to action. </w:t>
      </w:r>
      <w:r w:rsidDel="00000000" w:rsidR="00000000" w:rsidRPr="00000000">
        <w:rPr>
          <w:rFonts w:ascii="Times New Roman" w:cs="Times New Roman" w:eastAsia="Times New Roman" w:hAnsi="Times New Roman"/>
          <w:b w:val="1"/>
          <w:bCs w:val="1"/>
          <w:sz w:val="24"/>
          <w:szCs w:val="24"/>
          <w:rtl w:val="0"/>
        </w:rPr>
        <w:t xml:space="preserve">Journal of Artificial Societies and Social Simulation</w:t>
      </w:r>
      <w:r w:rsidDel="00000000" w:rsidR="00000000" w:rsidRPr="00000000">
        <w:rPr>
          <w:rFonts w:ascii="Times New Roman" w:cs="Times New Roman" w:eastAsia="Times New Roman" w:hAnsi="Times New Roman"/>
          <w:sz w:val="24"/>
          <w:szCs w:val="24"/>
          <w:rtl w:val="0"/>
        </w:rPr>
        <w:t xml:space="preserve">, v. 23, n. 2, art. 10, 2020. DOI: 10.18564/jasss.4298.</w:t>
      </w:r>
    </w:p>
    <w:p w:rsidR="00000000" w:rsidDel="00000000" w:rsidP="00000000" w:rsidRDefault="00000000" w:rsidRPr="00000000" w14:paraId="000000A3">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VANHÉE, L. et al. </w:t>
      </w:r>
      <w:r w:rsidDel="00000000" w:rsidR="00000000" w:rsidRPr="00000000">
        <w:rPr>
          <w:rFonts w:ascii="Times New Roman" w:cs="Times New Roman" w:eastAsia="Times New Roman" w:hAnsi="Times New Roman"/>
          <w:b w:val="1"/>
          <w:bCs w:val="1"/>
          <w:sz w:val="24"/>
          <w:szCs w:val="24"/>
          <w:rtl w:val="0"/>
        </w:rPr>
        <w:t xml:space="preserve">Large language models for agent-based modelling: current and possible uses across the modelling cycle</w:t>
      </w:r>
      <w:r w:rsidDel="00000000" w:rsidR="00000000" w:rsidRPr="00000000">
        <w:rPr>
          <w:rFonts w:ascii="Times New Roman" w:cs="Times New Roman" w:eastAsia="Times New Roman" w:hAnsi="Times New Roman"/>
          <w:sz w:val="24"/>
          <w:szCs w:val="24"/>
          <w:rtl w:val="0"/>
        </w:rPr>
        <w:t xml:space="preserve">. arXiv:2507.05723, 2025.</w:t>
      </w:r>
    </w:p>
    <w:p w:rsidR="00000000" w:rsidDel="00000000" w:rsidP="00000000" w:rsidRDefault="00000000" w:rsidRPr="00000000" w14:paraId="000000A4">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WINDRUM, P.; FAGIOLO, G.; MONETA, A. Empirical validation of agent-based models: alternatives and prospects. </w:t>
      </w:r>
      <w:r w:rsidDel="00000000" w:rsidR="00000000" w:rsidRPr="00000000">
        <w:rPr>
          <w:rFonts w:ascii="Times New Roman" w:cs="Times New Roman" w:eastAsia="Times New Roman" w:hAnsi="Times New Roman"/>
          <w:b w:val="1"/>
          <w:bCs w:val="1"/>
          <w:sz w:val="24"/>
          <w:szCs w:val="24"/>
          <w:rtl w:val="0"/>
        </w:rPr>
        <w:t xml:space="preserve">Journal of Artificial Societies and Social Simulation</w:t>
      </w:r>
      <w:r w:rsidDel="00000000" w:rsidR="00000000" w:rsidRPr="00000000">
        <w:rPr>
          <w:rFonts w:ascii="Times New Roman" w:cs="Times New Roman" w:eastAsia="Times New Roman" w:hAnsi="Times New Roman"/>
          <w:sz w:val="24"/>
          <w:szCs w:val="24"/>
          <w:rtl w:val="0"/>
        </w:rPr>
        <w:t xml:space="preserve">, v. 10, n. 2, art. 8, 2007.</w:t>
      </w:r>
    </w:p>
    <w:p w:rsidR="00000000" w:rsidDel="00000000" w:rsidP="00000000" w:rsidRDefault="00000000" w:rsidRPr="00000000" w14:paraId="000000A5">
      <w:pPr>
        <w:spacing w:after="240" w:before="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Z.; WANG, Y.; WANG, C.; CHEN, J.; ZHENG, Z. </w:t>
      </w:r>
      <w:r w:rsidDel="00000000" w:rsidR="00000000" w:rsidRPr="00000000">
        <w:rPr>
          <w:rFonts w:ascii="Times New Roman" w:cs="Times New Roman" w:eastAsia="Times New Roman" w:hAnsi="Times New Roman"/>
          <w:b w:val="1"/>
          <w:bCs w:val="1"/>
          <w:sz w:val="24"/>
          <w:szCs w:val="24"/>
          <w:rtl w:val="0"/>
        </w:rPr>
        <w:t xml:space="preserve">LLM hallucinations in practical code generation: phenomena, mechanism, and mitigation</w:t>
      </w:r>
      <w:r w:rsidDel="00000000" w:rsidR="00000000" w:rsidRPr="00000000">
        <w:rPr>
          <w:rFonts w:ascii="Times New Roman" w:cs="Times New Roman" w:eastAsia="Times New Roman" w:hAnsi="Times New Roman"/>
          <w:sz w:val="24"/>
          <w:szCs w:val="24"/>
          <w:rtl w:val="0"/>
        </w:rPr>
        <w:t xml:space="preserve">. arXiv:2409.20550, 2024.</w:t>
      </w:r>
    </w:p>
    <w:sectPr>
      <w:pgSz w:h="16838" w:w="11906"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