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1952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canal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menos rentable en términos de margen operativo porcentual (35.6% promedio), mientras que el canal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resulta ser el más rentable (46.4% promedio).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por Canal de Venta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Método de Venta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Transacciones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Unidades Totales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Prom. Unidades / Transacción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Margen Promedio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Margen Mediano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Rango de Margen (Mín - Máx)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In-store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1,740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689,990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396.5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35.6%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15.0% - 65.0%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3,019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849,778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39.5%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10.0% - 72.0%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4,889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939,093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46.4%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21.0% - 80.0%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Hallazgos Clave del Análisis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In-store (Menor margen porcentual):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Concentra las transacciones con mayor número de unidades por orden (promedio de 396.5 unidades), pero genera el menor retorno relativo debido a los altos costos fijos asociados al mantenimiento del punto de venta físico.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 (Canal más eficiente):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 pedidos más pequeños por transacción (192.1 unidades en promedio), pero alcanza márgenes de hasta el 80% al minimizar costos intermedios y de infraestructura física.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 (Canal con mayor variabilidad):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Aunque su margen promedio (39.5%) es superior al canal físico tradicional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In-store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concentra los valores atípicos más bajos de todo el dataset (caídas hasta del 10%), reflejando operaciones puntuales de liquidación masiva de inventario a precio de remate.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