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B57"/>
          <w:sz w:val="56"/>
          <w:szCs w:val="56"/>
        </w:rPr>
        <w:t xml:space="preserve">Informe de Análisis de Ventas</w:t>
      </w:r>
    </w:p>
    <w:p>
      <w:pPr>
        <w:spacing w:after="400"/>
        <w:jc w:val="center"/>
      </w:pPr>
      <w:r>
        <w:rPr>
          <w:color w:val="5A6472"/>
          <w:sz w:val="26"/>
          <w:szCs w:val="26"/>
        </w:rPr>
        <w:t xml:space="preserve">Tendencia, estacionalidad, outliers, proyección y factores macroeconómicos</w:t>
      </w:r>
    </w:p>
    <w:p>
      <w:pPr>
        <w:spacing w:after="60"/>
        <w:jc w:val="center"/>
      </w:pPr>
      <w:r>
        <w:rPr>
          <w:color w:val="5A6472"/>
          <w:sz w:val="22"/>
          <w:szCs w:val="22"/>
        </w:rPr>
        <w:t xml:space="preserve">Preparado para Henry</w:t>
      </w:r>
    </w:p>
    <w:p>
      <w:pPr>
        <w:spacing w:after="1200"/>
        <w:jc w:val="center"/>
      </w:pPr>
      <w:r>
        <w:rPr>
          <w:color w:val="5A6472"/>
          <w:sz w:val="22"/>
          <w:szCs w:val="22"/>
        </w:rPr>
        <w:t xml:space="preserve">Agosto 2026</w:t>
      </w:r>
    </w:p>
    <w:p>
      <w:r>
        <w:br w:type="page"/>
      </w:r>
    </w:p>
    <w:p>
      <w:pPr>
        <w:pStyle w:val="Heading1"/>
        <w:spacing w:after="200" w:before="400"/>
      </w:pPr>
      <w:r>
        <w:t xml:space="preserve">Resumen ejecutivo</w:t>
      </w:r>
    </w:p>
    <w:p>
      <w:pPr>
        <w:spacing w:after="160" w:line="300"/>
      </w:pPr>
      <w:r>
        <w:t xml:space="preserve">Este informe consolida tres análisis realizados sobre los datos de ventas semanales: (1) tendencia, estacionalidad y outliers de la Tienda 1 en el período 2010-2012; (2) proyección de ventas a 3 meses para el conjunto de 45 tiendas usando los últimos 24 meses disponibles; y (3) evaluación de qué variables macroeconómicas (temperatura, precio del combustible, CPI, desempleo) se correlacionan con las ventas y cuáles de esas correlaciones son razonablemente causales.</w:t>
      </w:r>
    </w:p>
    <w:p>
      <w:pPr>
        <w:pStyle w:val="ListParagraph"/>
        <w:numPr>
          <w:ilvl w:val="0"/>
          <w:numId w:val="1"/>
        </w:numPr>
        <w:spacing w:after="90"/>
      </w:pPr>
      <w:r>
        <w:t xml:space="preserve">La Tienda 1 muestra una tendencia de crecimiento leve (~$808 adicionales por semana) y una estacionalidad navideña muy marcada.</w:t>
      </w:r>
    </w:p>
    <w:p>
      <w:pPr>
        <w:pStyle w:val="ListParagraph"/>
        <w:numPr>
          <w:ilvl w:val="0"/>
          <w:numId w:val="1"/>
        </w:numPr>
        <w:spacing w:after="90"/>
      </w:pPr>
      <w:r>
        <w:t xml:space="preserve">El agregado de las 45 tiendas proyecta ventas de $245.79M para diciembre de 2012 (escenario esperado), impulsado por el efecto navideño.</w:t>
      </w:r>
    </w:p>
    <w:p>
      <w:pPr>
        <w:pStyle w:val="ListParagraph"/>
        <w:numPr>
          <w:ilvl w:val="0"/>
          <w:numId w:val="1"/>
        </w:numPr>
        <w:spacing w:after="90"/>
      </w:pPr>
      <w:r>
        <w:t xml:space="preserve">Ninguna de las variables macro analizadas muestra una correlación fuerte con las ventas; CPI y desempleo resultan ser artefactos del paso del tiempo, no señales causales.</w:t>
      </w:r>
    </w:p>
    <w:p>
      <w:pPr>
        <w:pBdr>
          <w:bottom w:val="single" w:color="CCCCCC" w:sz="6" w:space="1"/>
        </w:pBdr>
        <w:spacing w:after="200"/>
      </w:pPr>
    </w:p>
    <w:p>
      <w:pPr>
        <w:pStyle w:val="Heading1"/>
        <w:spacing w:after="200" w:before="400"/>
      </w:pPr>
      <w:r>
        <w:t xml:space="preserve">1. Tienda 1 — Tendencia, estacionalidad y outliers (2010–2012)</w:t>
      </w:r>
    </w:p>
    <w:p>
      <w:pPr>
        <w:spacing w:after="160" w:line="300"/>
      </w:pPr>
      <w:r>
        <w:t xml:space="preserve">Se analizaron 143 semanas de ventas de la Tienda 1, desde el 5 de febrero de 2010 hasta el 26 de octubre de 2012.</w:t>
      </w:r>
    </w:p>
    <w:p>
      <w:pPr>
        <w:pStyle w:val="Heading2"/>
        <w:spacing w:after="150" w:before="300"/>
      </w:pPr>
      <w:r>
        <w:t xml:space="preserve">1.1 Tendencia general</w:t>
      </w:r>
    </w:p>
    <w:p>
      <w:pPr>
        <w:spacing w:after="160" w:line="300"/>
      </w:pPr>
      <w:r>
        <w:t xml:space="preserve">Las ventas muestran una tendencia de crecimiento leve: la regresión lineal arroja una pendiente de $808 por semana, equivalente a un incremento acumulado de aproximadamente $115,519 a lo largo de todo el período. El promedio anual confirma esta tendencia: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shd w:fill="1F3B57" w:val="clear"/>
            <w:tcMar>
              <w:top w:type="dxa" w:w="80"/>
              <w:left w:type="dxa" w:w="120"/>
              <w:bottom w:type="dxa" w:w="80"/>
              <w:right w:type="dxa" w:w="120"/>
            </w:tcMar>
          </w:tcPr>
          <w:p>
            <w:pPr>
              <w:jc w:val="center"/>
            </w:pPr>
            <w:r>
              <w:rPr>
                <w:b/>
                <w:bCs/>
                <w:color w:val="FFFFFF"/>
              </w:rPr>
              <w:t xml:space="preserve">Año</w:t>
            </w:r>
          </w:p>
        </w:tc>
        <w:tc>
          <w:tcPr>
            <w:tcW w:type="dxa" w:w="4000"/>
            <w:shd w:fill="1F3B57" w:val="clear"/>
            <w:tcMar>
              <w:top w:type="dxa" w:w="80"/>
              <w:left w:type="dxa" w:w="120"/>
              <w:bottom w:type="dxa" w:w="80"/>
              <w:right w:type="dxa" w:w="120"/>
            </w:tcMar>
          </w:tcPr>
          <w:p>
            <w:pPr>
              <w:jc w:val="center"/>
            </w:pPr>
            <w:r>
              <w:rPr>
                <w:b/>
                <w:bCs/>
                <w:color w:val="FFFFFF"/>
              </w:rPr>
              <w:t xml:space="preserve">Venta semanal promedio</w:t>
            </w:r>
          </w:p>
        </w:tc>
      </w:tr>
      <w:tr>
        <w:tc>
          <w:tcPr>
            <w:tcW w:type="dxa" w:w="4000"/>
            <w:shd w:fill="FFFFFF" w:val="clear"/>
            <w:tcMar>
              <w:top w:type="dxa" w:w="80"/>
              <w:left w:type="dxa" w:w="120"/>
              <w:bottom w:type="dxa" w:w="80"/>
              <w:right w:type="dxa" w:w="120"/>
            </w:tcMar>
          </w:tcPr>
          <w:p>
            <w:pPr>
              <w:jc w:val="left"/>
            </w:pPr>
            <w:r>
              <w:rPr>
                <w:b w:val="false"/>
                <w:bCs w:val="false"/>
                <w:color w:val="000000"/>
              </w:rPr>
              <w:t xml:space="preserve">2010</w:t>
            </w:r>
          </w:p>
        </w:tc>
        <w:tc>
          <w:tcPr>
            <w:tcW w:type="dxa" w:w="4000"/>
            <w:shd w:fill="FFFFFF" w:val="clear"/>
            <w:tcMar>
              <w:top w:type="dxa" w:w="80"/>
              <w:left w:type="dxa" w:w="120"/>
              <w:bottom w:type="dxa" w:w="80"/>
              <w:right w:type="dxa" w:w="120"/>
            </w:tcMar>
          </w:tcPr>
          <w:p>
            <w:pPr>
              <w:jc w:val="center"/>
            </w:pPr>
            <w:r>
              <w:rPr>
                <w:b w:val="false"/>
                <w:bCs w:val="false"/>
                <w:color w:val="000000"/>
              </w:rPr>
              <w:t xml:space="preserve">$1,526,642</w:t>
            </w:r>
          </w:p>
        </w:tc>
      </w:tr>
      <w:tr>
        <w:tc>
          <w:tcPr>
            <w:tcW w:type="dxa" w:w="4000"/>
            <w:shd w:fill="EDF2F7" w:val="clear"/>
            <w:tcMar>
              <w:top w:type="dxa" w:w="80"/>
              <w:left w:type="dxa" w:w="120"/>
              <w:bottom w:type="dxa" w:w="80"/>
              <w:right w:type="dxa" w:w="120"/>
            </w:tcMar>
          </w:tcPr>
          <w:p>
            <w:pPr>
              <w:jc w:val="left"/>
            </w:pPr>
            <w:r>
              <w:rPr>
                <w:b w:val="false"/>
                <w:bCs w:val="false"/>
                <w:color w:val="000000"/>
              </w:rPr>
              <w:t xml:space="preserve">2011</w:t>
            </w:r>
          </w:p>
        </w:tc>
        <w:tc>
          <w:tcPr>
            <w:tcW w:type="dxa" w:w="4000"/>
            <w:shd w:fill="EDF2F7" w:val="clear"/>
            <w:tcMar>
              <w:top w:type="dxa" w:w="80"/>
              <w:left w:type="dxa" w:w="120"/>
              <w:bottom w:type="dxa" w:w="80"/>
              <w:right w:type="dxa" w:w="120"/>
            </w:tcMar>
          </w:tcPr>
          <w:p>
            <w:pPr>
              <w:jc w:val="center"/>
            </w:pPr>
            <w:r>
              <w:rPr>
                <w:b w:val="false"/>
                <w:bCs w:val="false"/>
                <w:color w:val="000000"/>
              </w:rPr>
              <w:t xml:space="preserve">$1,556,191</w:t>
            </w:r>
          </w:p>
        </w:tc>
      </w:tr>
      <w:tr>
        <w:tc>
          <w:tcPr>
            <w:tcW w:type="dxa" w:w="4000"/>
            <w:shd w:fill="FFFFFF" w:val="clear"/>
            <w:tcMar>
              <w:top w:type="dxa" w:w="80"/>
              <w:left w:type="dxa" w:w="120"/>
              <w:bottom w:type="dxa" w:w="80"/>
              <w:right w:type="dxa" w:w="120"/>
            </w:tcMar>
          </w:tcPr>
          <w:p>
            <w:pPr>
              <w:jc w:val="left"/>
            </w:pPr>
            <w:r>
              <w:rPr>
                <w:b w:val="false"/>
                <w:bCs w:val="false"/>
                <w:color w:val="000000"/>
              </w:rPr>
              <w:t xml:space="preserve">2012</w:t>
            </w:r>
          </w:p>
        </w:tc>
        <w:tc>
          <w:tcPr>
            <w:tcW w:type="dxa" w:w="4000"/>
            <w:shd w:fill="FFFFFF" w:val="clear"/>
            <w:tcMar>
              <w:top w:type="dxa" w:w="80"/>
              <w:left w:type="dxa" w:w="120"/>
              <w:bottom w:type="dxa" w:w="80"/>
              <w:right w:type="dxa" w:w="120"/>
            </w:tcMar>
          </w:tcPr>
          <w:p>
            <w:pPr>
              <w:jc w:val="center"/>
            </w:pPr>
            <w:r>
              <w:rPr>
                <w:b w:val="false"/>
                <w:bCs w:val="false"/>
                <w:color w:val="000000"/>
              </w:rPr>
              <w:t xml:space="preserve">$1,586,094</w:t>
            </w:r>
          </w:p>
        </w:tc>
      </w:tr>
    </w:tbl>
    <w:p>
      <w:pPr>
        <w:pStyle w:val="Heading2"/>
        <w:spacing w:after="150" w:before="300"/>
      </w:pPr>
      <w:r>
        <w:t xml:space="preserve">1.2 Estacionalidad</w:t>
      </w:r>
    </w:p>
    <w:p>
      <w:pPr>
        <w:spacing w:after="160" w:line="300"/>
      </w:pPr>
      <w:r>
        <w:t xml:space="preserve">Se identifica un patrón navideño muy marcado: las semanas de feriado (Holiday_Flag=1) venden en promedio $1,665,748 contra $1,546,957 en semanas normales — una diferencia de aproximadamente 8%. Además, se observa un patrón cíclico mensual: la primera semana de cada mes tiende a vender más que las siguientes, probablemente asociado a pagos de nómina/beneficios a inicio de mes.</w:t>
      </w:r>
    </w:p>
    <w:p>
      <w:pPr>
        <w:pStyle w:val="Heading2"/>
        <w:spacing w:after="150" w:before="300"/>
      </w:pPr>
      <w:r>
        <w:t xml:space="preserve">1.3 Outliers detectados (|z-score| &gt; 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1800"/>
      </w:tblGrid>
      <w:tr>
        <w:trPr>
          <w:tblHeader/>
        </w:trPr>
        <w:tc>
          <w:tcPr>
            <w:tcW w:type="dxa" w:w="2500"/>
            <w:shd w:fill="1F3B57" w:val="clear"/>
            <w:tcMar>
              <w:top w:type="dxa" w:w="80"/>
              <w:left w:type="dxa" w:w="120"/>
              <w:bottom w:type="dxa" w:w="80"/>
              <w:right w:type="dxa" w:w="120"/>
            </w:tcMar>
          </w:tcPr>
          <w:p>
            <w:pPr>
              <w:jc w:val="center"/>
            </w:pPr>
            <w:r>
              <w:rPr>
                <w:b/>
                <w:bCs/>
                <w:color w:val="FFFFFF"/>
              </w:rPr>
              <w:t xml:space="preserve">Fecha</w:t>
            </w:r>
          </w:p>
        </w:tc>
        <w:tc>
          <w:tcPr>
            <w:tcW w:type="dxa" w:w="2500"/>
            <w:shd w:fill="1F3B57" w:val="clear"/>
            <w:tcMar>
              <w:top w:type="dxa" w:w="80"/>
              <w:left w:type="dxa" w:w="120"/>
              <w:bottom w:type="dxa" w:w="80"/>
              <w:right w:type="dxa" w:w="120"/>
            </w:tcMar>
          </w:tcPr>
          <w:p>
            <w:pPr>
              <w:jc w:val="center"/>
            </w:pPr>
            <w:r>
              <w:rPr>
                <w:b/>
                <w:bCs/>
                <w:color w:val="FFFFFF"/>
              </w:rPr>
              <w:t xml:space="preserve">Ventas</w:t>
            </w:r>
          </w:p>
        </w:tc>
        <w:tc>
          <w:tcPr>
            <w:tcW w:type="dxa" w:w="1800"/>
            <w:shd w:fill="1F3B57" w:val="clear"/>
            <w:tcMar>
              <w:top w:type="dxa" w:w="80"/>
              <w:left w:type="dxa" w:w="120"/>
              <w:bottom w:type="dxa" w:w="80"/>
              <w:right w:type="dxa" w:w="120"/>
            </w:tcMar>
          </w:tcPr>
          <w:p>
            <w:pPr>
              <w:jc w:val="center"/>
            </w:pPr>
            <w:r>
              <w:rPr>
                <w:b/>
                <w:bCs/>
                <w:color w:val="FFFFFF"/>
              </w:rPr>
              <w:t xml:space="preserve">¿Feriado?</w:t>
            </w:r>
          </w:p>
        </w:tc>
        <w:tc>
          <w:tcPr>
            <w:tcW w:type="dxa" w:w="1800"/>
            <w:shd w:fill="1F3B57" w:val="clear"/>
            <w:tcMar>
              <w:top w:type="dxa" w:w="80"/>
              <w:left w:type="dxa" w:w="120"/>
              <w:bottom w:type="dxa" w:w="80"/>
              <w:right w:type="dxa" w:w="120"/>
            </w:tcMar>
          </w:tcPr>
          <w:p>
            <w:pPr>
              <w:jc w:val="center"/>
            </w:pPr>
            <w:r>
              <w:rPr>
                <w:b/>
                <w:bCs/>
                <w:color w:val="FFFFFF"/>
              </w:rPr>
              <w:t xml:space="preserve">Z-score</w:t>
            </w:r>
          </w:p>
        </w:tc>
      </w:tr>
      <w:tr>
        <w:tc>
          <w:tcPr>
            <w:tcW w:type="dxa" w:w="2500"/>
            <w:shd w:fill="FFFFFF" w:val="clear"/>
            <w:tcMar>
              <w:top w:type="dxa" w:w="80"/>
              <w:left w:type="dxa" w:w="120"/>
              <w:bottom w:type="dxa" w:w="80"/>
              <w:right w:type="dxa" w:w="120"/>
            </w:tcMar>
          </w:tcPr>
          <w:p>
            <w:pPr>
              <w:jc w:val="left"/>
            </w:pPr>
            <w:r>
              <w:rPr>
                <w:b w:val="false"/>
                <w:bCs w:val="false"/>
                <w:color w:val="000000"/>
              </w:rPr>
              <w:t xml:space="preserve">2010-12-24</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$2,387,950</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No</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5.36</w:t>
            </w:r>
          </w:p>
        </w:tc>
      </w:tr>
      <w:tr>
        <w:tc>
          <w:tcPr>
            <w:tcW w:type="dxa" w:w="2500"/>
            <w:shd w:fill="EDF2F7" w:val="clear"/>
            <w:tcMar>
              <w:top w:type="dxa" w:w="80"/>
              <w:left w:type="dxa" w:w="120"/>
              <w:bottom w:type="dxa" w:w="80"/>
              <w:right w:type="dxa" w:w="120"/>
            </w:tcMar>
          </w:tcPr>
          <w:p>
            <w:pPr>
              <w:jc w:val="left"/>
            </w:pPr>
            <w:r>
              <w:rPr>
                <w:b w:val="false"/>
                <w:bCs w:val="false"/>
                <w:color w:val="000000"/>
              </w:rPr>
              <w:t xml:space="preserve">2011-12-23</w:t>
            </w:r>
          </w:p>
        </w:tc>
        <w:tc>
          <w:tcPr>
            <w:tcW w:type="dxa" w:w="2500"/>
            <w:shd w:fill="EDF2F7" w:val="clear"/>
            <w:tcMar>
              <w:top w:type="dxa" w:w="80"/>
              <w:left w:type="dxa" w:w="120"/>
              <w:bottom w:type="dxa" w:w="80"/>
              <w:right w:type="dxa" w:w="120"/>
            </w:tcMar>
          </w:tcPr>
          <w:p>
            <w:pPr>
              <w:jc w:val="center"/>
            </w:pPr>
            <w:r>
              <w:rPr>
                <w:b w:val="false"/>
                <w:bCs w:val="false"/>
                <w:color w:val="000000"/>
              </w:rPr>
              <w:t xml:space="preserve">$2,270,189</w:t>
            </w:r>
          </w:p>
        </w:tc>
        <w:tc>
          <w:tcPr>
            <w:tcW w:type="dxa" w:w="1800"/>
            <w:shd w:fill="EDF2F7" w:val="clear"/>
            <w:tcMar>
              <w:top w:type="dxa" w:w="80"/>
              <w:left w:type="dxa" w:w="120"/>
              <w:bottom w:type="dxa" w:w="80"/>
              <w:right w:type="dxa" w:w="120"/>
            </w:tcMar>
          </w:tcPr>
          <w:p>
            <w:pPr>
              <w:jc w:val="center"/>
            </w:pPr>
            <w:r>
              <w:rPr>
                <w:b w:val="false"/>
                <w:bCs w:val="false"/>
                <w:color w:val="000000"/>
              </w:rPr>
              <w:t xml:space="preserve">No</w:t>
            </w:r>
          </w:p>
        </w:tc>
        <w:tc>
          <w:tcPr>
            <w:tcW w:type="dxa" w:w="1800"/>
            <w:shd w:fill="EDF2F7" w:val="clear"/>
            <w:tcMar>
              <w:top w:type="dxa" w:w="80"/>
              <w:left w:type="dxa" w:w="120"/>
              <w:bottom w:type="dxa" w:w="80"/>
              <w:right w:type="dxa" w:w="120"/>
            </w:tcMar>
          </w:tcPr>
          <w:p>
            <w:pPr>
              <w:jc w:val="center"/>
            </w:pPr>
            <w:r>
              <w:rPr>
                <w:b w:val="false"/>
                <w:bCs w:val="false"/>
                <w:color w:val="000000"/>
              </w:rPr>
              <w:t xml:space="preserve">4.60</w:t>
            </w:r>
          </w:p>
        </w:tc>
      </w:tr>
      <w:tr>
        <w:tc>
          <w:tcPr>
            <w:tcW w:type="dxa" w:w="2500"/>
            <w:shd w:fill="FFFFFF" w:val="clear"/>
            <w:tcMar>
              <w:top w:type="dxa" w:w="80"/>
              <w:left w:type="dxa" w:w="120"/>
              <w:bottom w:type="dxa" w:w="80"/>
              <w:right w:type="dxa" w:w="120"/>
            </w:tcMar>
          </w:tcPr>
          <w:p>
            <w:pPr>
              <w:jc w:val="left"/>
            </w:pPr>
            <w:r>
              <w:rPr>
                <w:b w:val="false"/>
                <w:bCs w:val="false"/>
                <w:color w:val="000000"/>
              </w:rPr>
              <w:t xml:space="preserve">2011-11-25</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$2,033,321</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Sí</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3.08</w:t>
            </w:r>
          </w:p>
        </w:tc>
      </w:tr>
      <w:tr>
        <w:tc>
          <w:tcPr>
            <w:tcW w:type="dxa" w:w="2500"/>
            <w:shd w:fill="EDF2F7" w:val="clear"/>
            <w:tcMar>
              <w:top w:type="dxa" w:w="80"/>
              <w:left w:type="dxa" w:w="120"/>
              <w:bottom w:type="dxa" w:w="80"/>
              <w:right w:type="dxa" w:w="120"/>
            </w:tcMar>
          </w:tcPr>
          <w:p>
            <w:pPr>
              <w:jc w:val="left"/>
            </w:pPr>
            <w:r>
              <w:rPr>
                <w:b w:val="false"/>
                <w:bCs w:val="false"/>
                <w:color w:val="000000"/>
              </w:rPr>
              <w:t xml:space="preserve">2010-11-26</w:t>
            </w:r>
          </w:p>
        </w:tc>
        <w:tc>
          <w:tcPr>
            <w:tcW w:type="dxa" w:w="2500"/>
            <w:shd w:fill="EDF2F7" w:val="clear"/>
            <w:tcMar>
              <w:top w:type="dxa" w:w="80"/>
              <w:left w:type="dxa" w:w="120"/>
              <w:bottom w:type="dxa" w:w="80"/>
              <w:right w:type="dxa" w:w="120"/>
            </w:tcMar>
          </w:tcPr>
          <w:p>
            <w:pPr>
              <w:jc w:val="center"/>
            </w:pPr>
            <w:r>
              <w:rPr>
                <w:b w:val="false"/>
                <w:bCs w:val="false"/>
                <w:color w:val="000000"/>
              </w:rPr>
              <w:t xml:space="preserve">$1,955,624</w:t>
            </w:r>
          </w:p>
        </w:tc>
        <w:tc>
          <w:tcPr>
            <w:tcW w:type="dxa" w:w="1800"/>
            <w:shd w:fill="EDF2F7" w:val="clear"/>
            <w:tcMar>
              <w:top w:type="dxa" w:w="80"/>
              <w:left w:type="dxa" w:w="120"/>
              <w:bottom w:type="dxa" w:w="80"/>
              <w:right w:type="dxa" w:w="120"/>
            </w:tcMar>
          </w:tcPr>
          <w:p>
            <w:pPr>
              <w:jc w:val="center"/>
            </w:pPr>
            <w:r>
              <w:rPr>
                <w:b w:val="false"/>
                <w:bCs w:val="false"/>
                <w:color w:val="000000"/>
              </w:rPr>
              <w:t xml:space="preserve">Sí</w:t>
            </w:r>
          </w:p>
        </w:tc>
        <w:tc>
          <w:tcPr>
            <w:tcW w:type="dxa" w:w="1800"/>
            <w:shd w:fill="EDF2F7" w:val="clear"/>
            <w:tcMar>
              <w:top w:type="dxa" w:w="80"/>
              <w:left w:type="dxa" w:w="120"/>
              <w:bottom w:type="dxa" w:w="80"/>
              <w:right w:type="dxa" w:w="120"/>
            </w:tcMar>
          </w:tcPr>
          <w:p>
            <w:pPr>
              <w:jc w:val="center"/>
            </w:pPr>
            <w:r>
              <w:rPr>
                <w:b w:val="false"/>
                <w:bCs w:val="false"/>
                <w:color w:val="000000"/>
              </w:rPr>
              <w:t xml:space="preserve">2.58</w:t>
            </w:r>
          </w:p>
        </w:tc>
      </w:tr>
      <w:tr>
        <w:tc>
          <w:tcPr>
            <w:tcW w:type="dxa" w:w="2500"/>
            <w:shd w:fill="FFFFFF" w:val="clear"/>
            <w:tcMar>
              <w:top w:type="dxa" w:w="80"/>
              <w:left w:type="dxa" w:w="120"/>
              <w:bottom w:type="dxa" w:w="80"/>
              <w:right w:type="dxa" w:w="120"/>
            </w:tcMar>
          </w:tcPr>
          <w:p>
            <w:pPr>
              <w:jc w:val="left"/>
            </w:pPr>
            <w:r>
              <w:rPr>
                <w:b w:val="false"/>
                <w:bCs w:val="false"/>
                <w:color w:val="000000"/>
              </w:rPr>
              <w:t xml:space="preserve">2012-04-06</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$1,899,677</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No</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2.22</w:t>
            </w:r>
          </w:p>
        </w:tc>
      </w:tr>
      <w:tr>
        <w:tc>
          <w:tcPr>
            <w:tcW w:type="dxa" w:w="2500"/>
            <w:shd w:fill="EDF2F7" w:val="clear"/>
            <w:tcMar>
              <w:top w:type="dxa" w:w="80"/>
              <w:left w:type="dxa" w:w="120"/>
              <w:bottom w:type="dxa" w:w="80"/>
              <w:right w:type="dxa" w:w="120"/>
            </w:tcMar>
          </w:tcPr>
          <w:p>
            <w:pPr>
              <w:jc w:val="left"/>
            </w:pPr>
            <w:r>
              <w:rPr>
                <w:b w:val="false"/>
                <w:bCs w:val="false"/>
                <w:color w:val="000000"/>
              </w:rPr>
              <w:t xml:space="preserve">2010-12-17</w:t>
            </w:r>
          </w:p>
        </w:tc>
        <w:tc>
          <w:tcPr>
            <w:tcW w:type="dxa" w:w="2500"/>
            <w:shd w:fill="EDF2F7" w:val="clear"/>
            <w:tcMar>
              <w:top w:type="dxa" w:w="80"/>
              <w:left w:type="dxa" w:w="120"/>
              <w:bottom w:type="dxa" w:w="80"/>
              <w:right w:type="dxa" w:w="120"/>
            </w:tcMar>
          </w:tcPr>
          <w:p>
            <w:pPr>
              <w:jc w:val="center"/>
            </w:pPr>
            <w:r>
              <w:rPr>
                <w:b w:val="false"/>
                <w:bCs w:val="false"/>
                <w:color w:val="000000"/>
              </w:rPr>
              <w:t xml:space="preserve">$1,891,035</w:t>
            </w:r>
          </w:p>
        </w:tc>
        <w:tc>
          <w:tcPr>
            <w:tcW w:type="dxa" w:w="1800"/>
            <w:shd w:fill="EDF2F7" w:val="clear"/>
            <w:tcMar>
              <w:top w:type="dxa" w:w="80"/>
              <w:left w:type="dxa" w:w="120"/>
              <w:bottom w:type="dxa" w:w="80"/>
              <w:right w:type="dxa" w:w="120"/>
            </w:tcMar>
          </w:tcPr>
          <w:p>
            <w:pPr>
              <w:jc w:val="center"/>
            </w:pPr>
            <w:r>
              <w:rPr>
                <w:b w:val="false"/>
                <w:bCs w:val="false"/>
                <w:color w:val="000000"/>
              </w:rPr>
              <w:t xml:space="preserve">No</w:t>
            </w:r>
          </w:p>
        </w:tc>
        <w:tc>
          <w:tcPr>
            <w:tcW w:type="dxa" w:w="1800"/>
            <w:shd w:fill="EDF2F7" w:val="clear"/>
            <w:tcMar>
              <w:top w:type="dxa" w:w="80"/>
              <w:left w:type="dxa" w:w="120"/>
              <w:bottom w:type="dxa" w:w="80"/>
              <w:right w:type="dxa" w:w="120"/>
            </w:tcMar>
          </w:tcPr>
          <w:p>
            <w:pPr>
              <w:jc w:val="center"/>
            </w:pPr>
            <w:r>
              <w:rPr>
                <w:b w:val="false"/>
                <w:bCs w:val="false"/>
                <w:color w:val="000000"/>
              </w:rPr>
              <w:t xml:space="preserve">2.16</w:t>
            </w:r>
          </w:p>
        </w:tc>
      </w:tr>
      <w:tr>
        <w:tc>
          <w:tcPr>
            <w:tcW w:type="dxa" w:w="2500"/>
            <w:shd w:fill="FFFFFF" w:val="clear"/>
            <w:tcMar>
              <w:top w:type="dxa" w:w="80"/>
              <w:left w:type="dxa" w:w="120"/>
              <w:bottom w:type="dxa" w:w="80"/>
              <w:right w:type="dxa" w:w="120"/>
            </w:tcMar>
          </w:tcPr>
          <w:p>
            <w:pPr>
              <w:jc w:val="left"/>
            </w:pPr>
            <w:r>
              <w:rPr>
                <w:b w:val="false"/>
                <w:bCs w:val="false"/>
                <w:color w:val="000000"/>
              </w:rPr>
              <w:t xml:space="preserve">2011-12-16</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$1,881,177</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No</w:t>
            </w:r>
          </w:p>
        </w:tc>
        <w:tc>
          <w:tcPr>
            <w:tcW w:type="dxa" w:w="1800"/>
            <w:shd w:fill="FFFFFF" w:val="clear"/>
            <w:tcMar>
              <w:top w:type="dxa" w:w="80"/>
              <w:left w:type="dxa" w:w="120"/>
              <w:bottom w:type="dxa" w:w="80"/>
              <w:right w:type="dxa" w:w="120"/>
            </w:tcMar>
          </w:tcPr>
          <w:p>
            <w:pPr>
              <w:jc w:val="center"/>
            </w:pPr>
            <w:r>
              <w:rPr>
                <w:b w:val="false"/>
                <w:bCs w:val="false"/>
                <w:color w:val="000000"/>
              </w:rPr>
              <w:t xml:space="preserve">2.10</w:t>
            </w:r>
          </w:p>
        </w:tc>
      </w:tr>
    </w:tbl>
    <w:p>
      <w:pPr>
        <w:spacing w:after="160" w:line="300"/>
      </w:pPr>
      <w:r>
        <w:t xml:space="preserve"/>
      </w:r>
    </w:p>
    <w:p>
      <w:pPr>
        <w:spacing w:after="160" w:line="300"/>
      </w:pPr>
      <w:r>
        <w:t xml:space="preserve">Los dos valores más extremos corresponden a la semana previa a Navidad (24-dic-2010 y 23-dic-2011), un patrón que se repite ambos años. El caso del 6 de abril de 2012 destaca como outlier genuino: no está marcado como feriado y no tiene equivalente en años anteriores en esa misma fecha — posiblemente una promoción puntual o el efecto de Semana Santa/Pascua, cuya fecha varía cada año. El 31 de diciembre de 2010 es la semana de feriado más baja del histórico, reflejando una 'resaca de consumo' inmediatamente después del pico navideño.</w:t>
      </w:r>
    </w:p>
    <w:p>
      <w:pPr>
        <w:spacing w:after="200" w:before="1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952750"/>
                    </a:xfrm>
                    <a:prstGeom prst="rect">
                      <a:avLst/>
                    </a:prstGeom>
                  </pic:spPr>
                </pic:pic>
              </a:graphicData>
            </a:graphic>
          </wp:inline>
        </w:drawing>
      </w:r>
    </w:p>
    <w:p>
      <w:pPr>
        <w:spacing w:after="300"/>
        <w:jc w:val="center"/>
      </w:pPr>
      <w:r>
        <w:rPr>
          <w:i/>
          <w:iCs/>
          <w:color w:val="5A6472"/>
          <w:sz w:val="18"/>
          <w:szCs w:val="18"/>
        </w:rPr>
        <w:t xml:space="preserve">Gráfico 1. Ventas semanales, tendencia lineal y outliers — Tienda 1 (2010–2012)</w:t>
      </w:r>
    </w:p>
    <w:p>
      <w:r>
        <w:br w:type="page"/>
      </w:r>
    </w:p>
    <w:p>
      <w:pPr>
        <w:pStyle w:val="Heading1"/>
        <w:spacing w:after="200" w:before="400"/>
      </w:pPr>
      <w:r>
        <w:t xml:space="preserve">2. Proyección de ventas a 3 meses (todas las tiendas)</w:t>
      </w:r>
    </w:p>
    <w:p>
      <w:pPr>
        <w:spacing w:after="160" w:line="300"/>
      </w:pPr>
      <w:r>
        <w:t xml:space="preserve">Se agregaron las ventas semanales de las 45 tiendas para los últimos 24 meses disponibles (octubre 2010 – octubre 2012) y se ajustó un modelo de tendencia lineal + estacionalidad aditiva por mes calendario sobre el promedio semanal mensual.</w:t>
      </w:r>
    </w:p>
    <w:p>
      <w:pPr>
        <w:pStyle w:val="Heading2"/>
        <w:spacing w:after="150" w:before="300"/>
      </w:pPr>
      <w:r>
        <w:t xml:space="preserve">2.1 Tendencia</w:t>
      </w:r>
    </w:p>
    <w:p>
      <w:pPr>
        <w:spacing w:after="160" w:line="300"/>
      </w:pPr>
      <w:r>
        <w:t xml:space="preserve">La pendiente estimada es de $-53,533 por mes en el promedio semanal, equivalente a un crecimiento anualizado de -1.34% — es decir, una tendencia prácticamente plana, con una leve inclinación negativa dentro del rango de ruido normal de un negocio maduro.</w:t>
      </w:r>
    </w:p>
    <w:p>
      <w:pPr>
        <w:pStyle w:val="Heading2"/>
        <w:spacing w:after="150" w:before="300"/>
      </w:pPr>
      <w:r>
        <w:t xml:space="preserve">2.2 Estacionalidad</w:t>
      </w:r>
    </w:p>
    <w:p>
      <w:pPr>
        <w:spacing w:after="160" w:line="300"/>
      </w:pPr>
      <w:r>
        <w:t xml:space="preserve">El índice estacional (desviación semanal promedio respecto a la tendencia) por mes calendario es el siguiente:</w:t>
      </w:r>
    </w:p>
    <w:p>
      <w:pPr>
        <w:spacing w:after="200" w:before="100"/>
        <w:jc w:val="center"/>
      </w:pPr>
      <w:r>
        <w:drawing>
          <wp:inline distT="0" distB="0" distL="0" distR="0">
            <wp:extent cx="5715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543175"/>
                    </a:xfrm>
                    <a:prstGeom prst="rect">
                      <a:avLst/>
                    </a:prstGeom>
                  </pic:spPr>
                </pic:pic>
              </a:graphicData>
            </a:graphic>
          </wp:inline>
        </w:drawing>
      </w:r>
    </w:p>
    <w:p>
      <w:pPr>
        <w:spacing w:after="300"/>
        <w:jc w:val="center"/>
      </w:pPr>
      <w:r>
        <w:rPr>
          <w:i/>
          <w:iCs/>
          <w:color w:val="5A6472"/>
          <w:sz w:val="18"/>
          <w:szCs w:val="18"/>
        </w:rPr>
        <w:t xml:space="preserve">Gráfico 2. Índice estacional mensual — desviación semanal promedio vs. tendencia</w:t>
      </w:r>
    </w:p>
    <w:p>
      <w:pPr>
        <w:spacing w:after="160" w:line="300"/>
      </w:pPr>
      <w:r>
        <w:t xml:space="preserve">Diciembre (+$10.1M/semana) y noviembre (+$4.0M/semana) son los meses más fuertes por el efecto de Black Friday y Navidad. Enero (-$6.0M/semana) y septiembre (-$2.5M/semana) son los más débiles, reflejando la 'resaca' post-fiestas y el bajón entre el regreso a clases y el inicio de la temporada navideña.</w:t>
      </w:r>
    </w:p>
    <w:p>
      <w:pPr>
        <w:pStyle w:val="Heading2"/>
        <w:spacing w:after="150" w:before="300"/>
      </w:pPr>
      <w:r>
        <w:t xml:space="preserve">2.3 Proyección — 3 escenarios</w:t>
      </w:r>
    </w:p>
    <w:p>
      <w:pPr>
        <w:spacing w:after="160" w:line="300"/>
      </w:pPr>
      <w:r>
        <w:t xml:space="preserve">Las bandas optimista/pesimista se calcularon sumando y restando la desviación estándar del error no explicado por el modelo (±$928,780/semana) al valor esperado — es decir, el rango que históricamente el modelo no logró predecir, en vez de un porcentaje arbitrario. El total mensual se obtiene multiplicando el promedio semanal proyectado por 4.33 semanas/mes (promedio histórico observado).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500"/>
      </w:tblGrid>
      <w:tr>
        <w:trPr>
          <w:tblHeader/>
        </w:trPr>
        <w:tc>
          <w:tcPr>
            <w:tcW w:type="dxa" w:w="3000"/>
            <w:shd w:fill="1F3B57" w:val="clear"/>
            <w:tcMar>
              <w:top w:type="dxa" w:w="80"/>
              <w:left w:type="dxa" w:w="120"/>
              <w:bottom w:type="dxa" w:w="80"/>
              <w:right w:type="dxa" w:w="120"/>
            </w:tcMar>
          </w:tcPr>
          <w:p>
            <w:pPr>
              <w:jc w:val="center"/>
            </w:pPr>
            <w:r>
              <w:rPr>
                <w:b/>
                <w:bCs/>
                <w:color w:val="FFFFFF"/>
              </w:rPr>
              <w:t xml:space="preserve">Mes</w:t>
            </w:r>
          </w:p>
        </w:tc>
        <w:tc>
          <w:tcPr>
            <w:tcW w:type="dxa" w:w="2500"/>
            <w:shd w:fill="1F3B57" w:val="clear"/>
            <w:tcMar>
              <w:top w:type="dxa" w:w="80"/>
              <w:left w:type="dxa" w:w="120"/>
              <w:bottom w:type="dxa" w:w="80"/>
              <w:right w:type="dxa" w:w="120"/>
            </w:tcMar>
          </w:tcPr>
          <w:p>
            <w:pPr>
              <w:jc w:val="center"/>
            </w:pPr>
            <w:r>
              <w:rPr>
                <w:b/>
                <w:bCs/>
                <w:color w:val="FFFFFF"/>
              </w:rPr>
              <w:t xml:space="preserve">Pesimista</w:t>
            </w:r>
          </w:p>
        </w:tc>
        <w:tc>
          <w:tcPr>
            <w:tcW w:type="dxa" w:w="2500"/>
            <w:shd w:fill="1F3B57" w:val="clear"/>
            <w:tcMar>
              <w:top w:type="dxa" w:w="80"/>
              <w:left w:type="dxa" w:w="120"/>
              <w:bottom w:type="dxa" w:w="80"/>
              <w:right w:type="dxa" w:w="120"/>
            </w:tcMar>
          </w:tcPr>
          <w:p>
            <w:pPr>
              <w:jc w:val="center"/>
            </w:pPr>
            <w:r>
              <w:rPr>
                <w:b/>
                <w:bCs/>
                <w:color w:val="FFFFFF"/>
              </w:rPr>
              <w:t xml:space="preserve">Esperado</w:t>
            </w:r>
          </w:p>
        </w:tc>
        <w:tc>
          <w:tcPr>
            <w:tcW w:type="dxa" w:w="2500"/>
            <w:shd w:fill="1F3B57" w:val="clear"/>
            <w:tcMar>
              <w:top w:type="dxa" w:w="80"/>
              <w:left w:type="dxa" w:w="120"/>
              <w:bottom w:type="dxa" w:w="80"/>
              <w:right w:type="dxa" w:w="120"/>
            </w:tcMar>
          </w:tcPr>
          <w:p>
            <w:pPr>
              <w:jc w:val="center"/>
            </w:pPr>
            <w:r>
              <w:rPr>
                <w:b/>
                <w:bCs/>
                <w:color w:val="FFFFFF"/>
              </w:rPr>
              <w:t xml:space="preserve">Optimista</w:t>
            </w:r>
          </w:p>
        </w:tc>
      </w:tr>
      <w:tr>
        <w:tc>
          <w:tcPr>
            <w:tcW w:type="dxa" w:w="3000"/>
            <w:shd w:fill="FFFFFF" w:val="clear"/>
            <w:tcMar>
              <w:top w:type="dxa" w:w="80"/>
              <w:left w:type="dxa" w:w="120"/>
              <w:bottom w:type="dxa" w:w="80"/>
              <w:right w:type="dxa" w:w="120"/>
            </w:tcMar>
          </w:tcPr>
          <w:p>
            <w:pPr>
              <w:jc w:val="left"/>
            </w:pPr>
            <w:r>
              <w:rPr>
                <w:b w:val="false"/>
                <w:bCs w:val="false"/>
                <w:color w:val="000000"/>
              </w:rPr>
              <w:t xml:space="preserve">Noviembre 2012</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$215.52M</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$219.54M</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$223.57M</w:t>
            </w:r>
          </w:p>
        </w:tc>
      </w:tr>
      <w:tr>
        <w:tc>
          <w:tcPr>
            <w:tcW w:type="dxa" w:w="3000"/>
            <w:shd w:fill="EDF2F7" w:val="clear"/>
            <w:tcMar>
              <w:top w:type="dxa" w:w="80"/>
              <w:left w:type="dxa" w:w="120"/>
              <w:bottom w:type="dxa" w:w="80"/>
              <w:right w:type="dxa" w:w="120"/>
            </w:tcMar>
          </w:tcPr>
          <w:p>
            <w:pPr>
              <w:jc w:val="left"/>
            </w:pPr>
            <w:r>
              <w:rPr>
                <w:b w:val="false"/>
                <w:bCs w:val="false"/>
                <w:color w:val="000000"/>
              </w:rPr>
              <w:t xml:space="preserve">Diciembre 2012</w:t>
            </w:r>
          </w:p>
        </w:tc>
        <w:tc>
          <w:tcPr>
            <w:tcW w:type="dxa" w:w="2500"/>
            <w:shd w:fill="EDF2F7" w:val="clear"/>
            <w:tcMar>
              <w:top w:type="dxa" w:w="80"/>
              <w:left w:type="dxa" w:w="120"/>
              <w:bottom w:type="dxa" w:w="80"/>
              <w:right w:type="dxa" w:w="120"/>
            </w:tcMar>
          </w:tcPr>
          <w:p>
            <w:pPr>
              <w:jc w:val="center"/>
            </w:pPr>
            <w:r>
              <w:rPr>
                <w:b w:val="false"/>
                <w:bCs w:val="false"/>
                <w:color w:val="000000"/>
              </w:rPr>
              <w:t xml:space="preserve">$241.76M</w:t>
            </w:r>
          </w:p>
        </w:tc>
        <w:tc>
          <w:tcPr>
            <w:tcW w:type="dxa" w:w="2500"/>
            <w:shd w:fill="EDF2F7" w:val="clear"/>
            <w:tcMar>
              <w:top w:type="dxa" w:w="80"/>
              <w:left w:type="dxa" w:w="120"/>
              <w:bottom w:type="dxa" w:w="80"/>
              <w:right w:type="dxa" w:w="120"/>
            </w:tcMar>
          </w:tcPr>
          <w:p>
            <w:pPr>
              <w:jc w:val="center"/>
            </w:pPr>
            <w:r>
              <w:rPr>
                <w:b w:val="false"/>
                <w:bCs w:val="false"/>
                <w:color w:val="000000"/>
              </w:rPr>
              <w:t xml:space="preserve">$245.79M</w:t>
            </w:r>
          </w:p>
        </w:tc>
        <w:tc>
          <w:tcPr>
            <w:tcW w:type="dxa" w:w="2500"/>
            <w:shd w:fill="EDF2F7" w:val="clear"/>
            <w:tcMar>
              <w:top w:type="dxa" w:w="80"/>
              <w:left w:type="dxa" w:w="120"/>
              <w:bottom w:type="dxa" w:w="80"/>
              <w:right w:type="dxa" w:w="120"/>
            </w:tcMar>
          </w:tcPr>
          <w:p>
            <w:pPr>
              <w:jc w:val="center"/>
            </w:pPr>
            <w:r>
              <w:rPr>
                <w:b w:val="false"/>
                <w:bCs w:val="false"/>
                <w:color w:val="000000"/>
              </w:rPr>
              <w:t xml:space="preserve">$249.81M</w:t>
            </w:r>
          </w:p>
        </w:tc>
      </w:tr>
      <w:tr>
        <w:tc>
          <w:tcPr>
            <w:tcW w:type="dxa" w:w="3000"/>
            <w:shd w:fill="FFFFFF" w:val="clear"/>
            <w:tcMar>
              <w:top w:type="dxa" w:w="80"/>
              <w:left w:type="dxa" w:w="120"/>
              <w:bottom w:type="dxa" w:w="80"/>
              <w:right w:type="dxa" w:w="120"/>
            </w:tcMar>
          </w:tcPr>
          <w:p>
            <w:pPr>
              <w:jc w:val="left"/>
            </w:pPr>
            <w:r>
              <w:rPr>
                <w:b w:val="false"/>
                <w:bCs w:val="false"/>
                <w:color w:val="000000"/>
              </w:rPr>
              <w:t xml:space="preserve">Enero 2013</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$171.96M</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$175.98M</w:t>
            </w:r>
          </w:p>
        </w:tc>
        <w:tc>
          <w:tcPr>
            <w:tcW w:type="dxa" w:w="2500"/>
            <w:shd w:fill="FFFFFF" w:val="clear"/>
            <w:tcMar>
              <w:top w:type="dxa" w:w="80"/>
              <w:left w:type="dxa" w:w="120"/>
              <w:bottom w:type="dxa" w:w="80"/>
              <w:right w:type="dxa" w:w="120"/>
            </w:tcMar>
          </w:tcPr>
          <w:p>
            <w:pPr>
              <w:jc w:val="center"/>
            </w:pPr>
            <w:r>
              <w:rPr>
                <w:b w:val="false"/>
                <w:bCs w:val="false"/>
                <w:color w:val="000000"/>
              </w:rPr>
              <w:t xml:space="preserve">$180.01M</w:t>
            </w:r>
          </w:p>
        </w:tc>
      </w:tr>
    </w:tbl>
    <w:p>
      <w:pPr>
        <w:spacing w:after="160" w:line="300"/>
      </w:pPr>
      <w:r>
        <w:t xml:space="preserve"/>
      </w:r>
    </w:p>
    <w:p>
      <w:pPr>
        <w:spacing w:after="200" w:before="100"/>
        <w:jc w:val="center"/>
      </w:pPr>
      <w:r>
        <w:drawing>
          <wp:inline distT="0" distB="0" distL="0" distR="0">
            <wp:extent cx="5905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05125"/>
                    </a:xfrm>
                    <a:prstGeom prst="rect">
                      <a:avLst/>
                    </a:prstGeom>
                  </pic:spPr>
                </pic:pic>
              </a:graphicData>
            </a:graphic>
          </wp:inline>
        </w:drawing>
      </w:r>
    </w:p>
    <w:p>
      <w:pPr>
        <w:spacing w:after="300"/>
        <w:jc w:val="center"/>
      </w:pPr>
      <w:r>
        <w:rPr>
          <w:i/>
          <w:iCs/>
          <w:color w:val="5A6472"/>
          <w:sz w:val="18"/>
          <w:szCs w:val="18"/>
        </w:rPr>
        <w:t xml:space="preserve">Gráfico 3. Ventas mensuales totales — histórico y proyección a 3 meses en 3 escenarios</w:t>
      </w:r>
    </w:p>
    <w:p>
      <w:pPr>
        <w:pStyle w:val="Heading2"/>
        <w:spacing w:after="150" w:before="300"/>
      </w:pPr>
      <w:r>
        <w:t xml:space="preserve">2.4 Supuestos y limitaciones</w:t>
      </w:r>
    </w:p>
    <w:p>
      <w:pPr>
        <w:pStyle w:val="ListParagraph"/>
        <w:numPr>
          <w:ilvl w:val="0"/>
          <w:numId w:val="1"/>
        </w:numPr>
        <w:spacing w:after="90"/>
      </w:pPr>
      <w:r>
        <w:t xml:space="preserve">Modelo de tendencia lineal + estacionalidad aditiva por mes calendario, ajustado sobre 24 meses reales (se excluyó octubre 2010 por tener solo 1 semana de datos).</w:t>
      </w:r>
    </w:p>
    <w:p>
      <w:pPr>
        <w:pStyle w:val="ListParagraph"/>
        <w:numPr>
          <w:ilvl w:val="0"/>
          <w:numId w:val="1"/>
        </w:numPr>
        <w:spacing w:after="90"/>
      </w:pPr>
      <w:r>
        <w:t xml:space="preserve">Las bandas de escenario reflejan la desviación estándar histórica del error del modelo, no un supuesto de negocio arbitrario.</w:t>
      </w:r>
    </w:p>
    <w:p>
      <w:pPr>
        <w:pStyle w:val="ListParagraph"/>
        <w:numPr>
          <w:ilvl w:val="0"/>
          <w:numId w:val="1"/>
        </w:numPr>
        <w:spacing w:after="90"/>
      </w:pPr>
      <w:r>
        <w:t xml:space="preserve">La conversión semana → mes usa el promedio histórico de 4.33 semanas/mes, no el calendario exacto de cada mes futuro.</w:t>
      </w:r>
    </w:p>
    <w:p>
      <w:pPr>
        <w:pStyle w:val="ListParagraph"/>
        <w:numPr>
          <w:ilvl w:val="0"/>
          <w:numId w:val="1"/>
        </w:numPr>
        <w:spacing w:after="90"/>
      </w:pPr>
      <w:r>
        <w:t xml:space="preserve">Con solo 2 ciclos anuales completos, el índice estacional es una estimación con incertidumbre considerable, especialmente para diciembre y enero — un tercer año de datos mejoraría la fiabilidad.</w:t>
      </w:r>
    </w:p>
    <w:p>
      <w:r>
        <w:br w:type="page"/>
      </w:r>
    </w:p>
    <w:p>
      <w:pPr>
        <w:pStyle w:val="Heading1"/>
        <w:spacing w:after="200" w:before="400"/>
      </w:pPr>
      <w:r>
        <w:t xml:space="preserve">3. Correlación de ventas con variables macroeconómicas</w:t>
      </w:r>
    </w:p>
    <w:p>
      <w:pPr>
        <w:spacing w:after="160" w:line="300"/>
      </w:pPr>
      <w:r>
        <w:t xml:space="preserve">Se evaluó la correlación entre ventas semanales y cuatro variables disponibles (temperatura, precio del combustible, CPI, desempleo) usando tres métodos: correlación 'pooled' ingenua (todas las filas mezcladas), correlación promedio calculada dentro de cada tienda (controla por el nivel base de cada tienda), y correlación sobre la serie agregada semanal (suma de las 45 tiendas).</w:t>
      </w:r>
    </w:p>
    <w:p>
      <w:pPr>
        <w:spacing w:after="200" w:before="100"/>
        <w:jc w:val="center"/>
      </w:pPr>
      <w:r>
        <w:drawing>
          <wp:inline distT="0" distB="0" distL="0" distR="0">
            <wp:extent cx="5715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33675"/>
                    </a:xfrm>
                    <a:prstGeom prst="rect">
                      <a:avLst/>
                    </a:prstGeom>
                  </pic:spPr>
                </pic:pic>
              </a:graphicData>
            </a:graphic>
          </wp:inline>
        </w:drawing>
      </w:r>
    </w:p>
    <w:p>
      <w:pPr>
        <w:spacing w:after="300"/>
        <w:jc w:val="center"/>
      </w:pPr>
      <w:r>
        <w:rPr>
          <w:i/>
          <w:iCs/>
          <w:color w:val="5A6472"/>
          <w:sz w:val="18"/>
          <w:szCs w:val="18"/>
        </w:rPr>
        <w:t xml:space="preserve">Gráfico 4. Correlación entre ventas y variables macro, por método de cálculo</w:t>
      </w:r>
    </w:p>
    <w:p>
      <w:pPr>
        <w:pStyle w:val="Heading2"/>
        <w:spacing w:after="150" w:before="300"/>
      </w:pPr>
      <w:r>
        <w:t xml:space="preserve">3.1 Resultado por variable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1F3B57" w:val="clear"/>
            <w:tcMar>
              <w:top w:type="dxa" w:w="80"/>
              <w:left w:type="dxa" w:w="120"/>
              <w:bottom w:type="dxa" w:w="80"/>
              <w:right w:type="dxa" w:w="120"/>
            </w:tcMar>
          </w:tcPr>
          <w:p>
            <w:pPr>
              <w:jc w:val="center"/>
            </w:pPr>
            <w:r>
              <w:rPr>
                <w:b/>
                <w:bCs/>
                <w:color w:val="FFFFFF"/>
              </w:rPr>
              <w:t xml:space="preserve">Variable</w:t>
            </w:r>
          </w:p>
        </w:tc>
        <w:tc>
          <w:tcPr>
            <w:tcW w:type="dxa" w:w="3200"/>
            <w:shd w:fill="1F3B57" w:val="clear"/>
            <w:tcMar>
              <w:top w:type="dxa" w:w="80"/>
              <w:left w:type="dxa" w:w="120"/>
              <w:bottom w:type="dxa" w:w="80"/>
              <w:right w:type="dxa" w:w="120"/>
            </w:tcMar>
          </w:tcPr>
          <w:p>
            <w:pPr>
              <w:jc w:val="center"/>
            </w:pPr>
            <w:r>
              <w:rPr>
                <w:b/>
                <w:bCs/>
                <w:color w:val="FFFFFF"/>
              </w:rPr>
              <w:t xml:space="preserve">Correlación</w:t>
            </w:r>
          </w:p>
        </w:tc>
        <w:tc>
          <w:tcPr>
            <w:tcW w:type="dxa" w:w="3600"/>
            <w:shd w:fill="1F3B57" w:val="clear"/>
            <w:tcMar>
              <w:top w:type="dxa" w:w="80"/>
              <w:left w:type="dxa" w:w="120"/>
              <w:bottom w:type="dxa" w:w="80"/>
              <w:right w:type="dxa" w:w="120"/>
            </w:tcMar>
          </w:tcPr>
          <w:p>
            <w:pPr>
              <w:jc w:val="center"/>
            </w:pPr>
            <w:r>
              <w:rPr>
                <w:b/>
                <w:bCs/>
                <w:color w:val="FFFFFF"/>
              </w:rPr>
              <w:t xml:space="preserve">¿Causal?</w:t>
            </w:r>
          </w:p>
        </w:tc>
      </w:tr>
      <w:tr>
        <w:tc>
          <w:tcPr>
            <w:tcW w:type="dxa" w:w="3200"/>
            <w:shd w:fill="FFFFFF" w:val="clear"/>
            <w:tcMar>
              <w:top w:type="dxa" w:w="80"/>
              <w:left w:type="dxa" w:w="120"/>
              <w:bottom w:type="dxa" w:w="80"/>
              <w:right w:type="dxa" w:w="120"/>
            </w:tcMar>
          </w:tcPr>
          <w:p>
            <w:pPr>
              <w:jc w:val="left"/>
            </w:pPr>
            <w:r>
              <w:rPr>
                <w:b w:val="false"/>
                <w:bCs w:val="false"/>
                <w:color w:val="000000"/>
              </w:rPr>
              <w:t xml:space="preserve">Temperatura</w:t>
            </w:r>
          </w:p>
        </w:tc>
        <w:tc>
          <w:tcPr>
            <w:tcW w:type="dxa" w:w="3200"/>
            <w:shd w:fill="FFFFFF" w:val="clear"/>
            <w:tcMar>
              <w:top w:type="dxa" w:w="80"/>
              <w:left w:type="dxa" w:w="120"/>
              <w:bottom w:type="dxa" w:w="80"/>
              <w:right w:type="dxa" w:w="120"/>
            </w:tcMar>
          </w:tcPr>
          <w:p>
            <w:pPr>
              <w:jc w:val="center"/>
            </w:pPr>
            <w:r>
              <w:rPr>
                <w:b w:val="false"/>
                <w:bCs w:val="false"/>
                <w:color w:val="000000"/>
              </w:rPr>
              <w:t xml:space="preserve">Débil, negativa</w:t>
            </w:r>
          </w:p>
        </w:tc>
        <w:tc>
          <w:tcPr>
            <w:tcW w:type="dxa" w:w="3600"/>
            <w:shd w:fill="FFFFFF" w:val="clear"/>
            <w:tcMar>
              <w:top w:type="dxa" w:w="80"/>
              <w:left w:type="dxa" w:w="120"/>
              <w:bottom w:type="dxa" w:w="80"/>
              <w:right w:type="dxa" w:w="120"/>
            </w:tcMar>
          </w:tcPr>
          <w:p>
            <w:pPr>
              <w:jc w:val="center"/>
            </w:pPr>
            <w:r>
              <w:rPr>
                <w:b w:val="false"/>
                <w:bCs w:val="false"/>
                <w:color w:val="000000"/>
              </w:rPr>
              <w:t xml:space="preserve">No — coincidencia de calendario</w:t>
            </w:r>
          </w:p>
        </w:tc>
      </w:tr>
      <w:tr>
        <w:tc>
          <w:tcPr>
            <w:tcW w:type="dxa" w:w="3200"/>
            <w:shd w:fill="EDF2F7" w:val="clear"/>
            <w:tcMar>
              <w:top w:type="dxa" w:w="80"/>
              <w:left w:type="dxa" w:w="120"/>
              <w:bottom w:type="dxa" w:w="80"/>
              <w:right w:type="dxa" w:w="120"/>
            </w:tcMar>
          </w:tcPr>
          <w:p>
            <w:pPr>
              <w:jc w:val="left"/>
            </w:pPr>
            <w:r>
              <w:rPr>
                <w:b w:val="false"/>
                <w:bCs w:val="false"/>
                <w:color w:val="000000"/>
              </w:rPr>
              <w:t xml:space="preserve">Precio combustible</w:t>
            </w:r>
          </w:p>
        </w:tc>
        <w:tc>
          <w:tcPr>
            <w:tcW w:type="dxa" w:w="3200"/>
            <w:shd w:fill="EDF2F7" w:val="clear"/>
            <w:tcMar>
              <w:top w:type="dxa" w:w="80"/>
              <w:left w:type="dxa" w:w="120"/>
              <w:bottom w:type="dxa" w:w="80"/>
              <w:right w:type="dxa" w:w="120"/>
            </w:tcMar>
          </w:tcPr>
          <w:p>
            <w:pPr>
              <w:jc w:val="center"/>
            </w:pPr>
            <w:r>
              <w:rPr>
                <w:b w:val="false"/>
                <w:bCs w:val="false"/>
                <w:color w:val="000000"/>
              </w:rPr>
              <w:t xml:space="preserve">Débil-moderada, negativa</w:t>
            </w:r>
          </w:p>
        </w:tc>
        <w:tc>
          <w:tcPr>
            <w:tcW w:type="dxa" w:w="3600"/>
            <w:shd w:fill="EDF2F7" w:val="clear"/>
            <w:tcMar>
              <w:top w:type="dxa" w:w="80"/>
              <w:left w:type="dxa" w:w="120"/>
              <w:bottom w:type="dxa" w:w="80"/>
              <w:right w:type="dxa" w:w="120"/>
            </w:tcMar>
          </w:tcPr>
          <w:p>
            <w:pPr>
              <w:jc w:val="center"/>
            </w:pPr>
            <w:r>
              <w:rPr>
                <w:b w:val="false"/>
                <w:bCs w:val="false"/>
                <w:color w:val="000000"/>
              </w:rPr>
              <w:t xml:space="preserve">Posible, pero confundida con tendencia temporal</w:t>
            </w:r>
          </w:p>
        </w:tc>
      </w:tr>
      <w:tr>
        <w:tc>
          <w:tcPr>
            <w:tcW w:type="dxa" w:w="3200"/>
            <w:shd w:fill="FFFFFF" w:val="clear"/>
            <w:tcMar>
              <w:top w:type="dxa" w:w="80"/>
              <w:left w:type="dxa" w:w="120"/>
              <w:bottom w:type="dxa" w:w="80"/>
              <w:right w:type="dxa" w:w="120"/>
            </w:tcMar>
          </w:tcPr>
          <w:p>
            <w:pPr>
              <w:jc w:val="left"/>
            </w:pPr>
            <w:r>
              <w:rPr>
                <w:b w:val="false"/>
                <w:bCs w:val="false"/>
                <w:color w:val="000000"/>
              </w:rPr>
              <w:t xml:space="preserve">CPI</w:t>
            </w:r>
          </w:p>
        </w:tc>
        <w:tc>
          <w:tcPr>
            <w:tcW w:type="dxa" w:w="3200"/>
            <w:shd w:fill="FFFFFF" w:val="clear"/>
            <w:tcMar>
              <w:top w:type="dxa" w:w="80"/>
              <w:left w:type="dxa" w:w="120"/>
              <w:bottom w:type="dxa" w:w="80"/>
              <w:right w:type="dxa" w:w="120"/>
            </w:tcMar>
          </w:tcPr>
          <w:p>
            <w:pPr>
              <w:jc w:val="center"/>
            </w:pPr>
            <w:r>
              <w:rPr>
                <w:b w:val="false"/>
                <w:bCs w:val="false"/>
                <w:color w:val="000000"/>
              </w:rPr>
              <w:t xml:space="preserve">≈ nula</w:t>
            </w:r>
          </w:p>
        </w:tc>
        <w:tc>
          <w:tcPr>
            <w:tcW w:type="dxa" w:w="3600"/>
            <w:shd w:fill="FFFFFF" w:val="clear"/>
            <w:tcMar>
              <w:top w:type="dxa" w:w="80"/>
              <w:left w:type="dxa" w:w="120"/>
              <w:bottom w:type="dxa" w:w="80"/>
              <w:right w:type="dxa" w:w="120"/>
            </w:tcMar>
          </w:tcPr>
          <w:p>
            <w:pPr>
              <w:jc w:val="center"/>
            </w:pPr>
            <w:r>
              <w:rPr>
                <w:b w:val="false"/>
                <w:bCs w:val="false"/>
                <w:color w:val="000000"/>
              </w:rPr>
              <w:t xml:space="preserve">No — solo refleja el paso del tiempo</w:t>
            </w:r>
          </w:p>
        </w:tc>
      </w:tr>
      <w:tr>
        <w:tc>
          <w:tcPr>
            <w:tcW w:type="dxa" w:w="3200"/>
            <w:shd w:fill="EDF2F7" w:val="clear"/>
            <w:tcMar>
              <w:top w:type="dxa" w:w="80"/>
              <w:left w:type="dxa" w:w="120"/>
              <w:bottom w:type="dxa" w:w="80"/>
              <w:right w:type="dxa" w:w="120"/>
            </w:tcMar>
          </w:tcPr>
          <w:p>
            <w:pPr>
              <w:jc w:val="left"/>
            </w:pPr>
            <w:r>
              <w:rPr>
                <w:b w:val="false"/>
                <w:bCs w:val="false"/>
                <w:color w:val="000000"/>
              </w:rPr>
              <w:t xml:space="preserve">Desempleo</w:t>
            </w:r>
          </w:p>
        </w:tc>
        <w:tc>
          <w:tcPr>
            <w:tcW w:type="dxa" w:w="3200"/>
            <w:shd w:fill="EDF2F7" w:val="clear"/>
            <w:tcMar>
              <w:top w:type="dxa" w:w="80"/>
              <w:left w:type="dxa" w:w="120"/>
              <w:bottom w:type="dxa" w:w="80"/>
              <w:right w:type="dxa" w:w="120"/>
            </w:tcMar>
          </w:tcPr>
          <w:p>
            <w:pPr>
              <w:jc w:val="center"/>
            </w:pPr>
            <w:r>
              <w:rPr>
                <w:b w:val="false"/>
                <w:bCs w:val="false"/>
                <w:color w:val="000000"/>
              </w:rPr>
              <w:t xml:space="preserve">≈ nula, inconsistente</w:t>
            </w:r>
          </w:p>
        </w:tc>
        <w:tc>
          <w:tcPr>
            <w:tcW w:type="dxa" w:w="3600"/>
            <w:shd w:fill="EDF2F7" w:val="clear"/>
            <w:tcMar>
              <w:top w:type="dxa" w:w="80"/>
              <w:left w:type="dxa" w:w="120"/>
              <w:bottom w:type="dxa" w:w="80"/>
              <w:right w:type="dxa" w:w="120"/>
            </w:tcMar>
          </w:tcPr>
          <w:p>
            <w:pPr>
              <w:jc w:val="center"/>
            </w:pPr>
            <w:r>
              <w:rPr>
                <w:b w:val="false"/>
                <w:bCs w:val="false"/>
                <w:color w:val="000000"/>
              </w:rPr>
              <w:t xml:space="preserve">No — mismo problema, sin dirección clara</w:t>
            </w:r>
          </w:p>
        </w:tc>
      </w:tr>
    </w:tbl>
    <w:p>
      <w:pPr>
        <w:spacing w:after="160" w:line="300"/>
      </w:pPr>
      <w:r>
        <w:t xml:space="preserve"/>
      </w:r>
    </w:p>
    <w:p>
      <w:pPr>
        <w:spacing w:after="160" w:line="300"/>
      </w:pPr>
      <w:r>
        <w:rPr>
          <w:b/>
          <w:bCs/>
        </w:rPr>
        <w:t xml:space="preserve">Temperatura</w:t>
      </w:r>
    </w:p>
    <w:p>
      <w:pPr>
        <w:spacing w:after="160" w:line="300"/>
      </w:pPr>
      <w:r>
        <w:t xml:space="preserve">Correlación débil y negativa (r ≈ -0.12 dentro de tienda). Casi con certeza no es causal: las ventas más altas del año ocurren en noviembre-diciembre (meses fríos, por Black Friday y Navidad) y las más bajas relativas en enero (también frío), mientras los meses más calurosos tienen ventas intermedias. La correlación negativa es un subproducto de que ambas variables siguen un ciclo anual por razones completamente distintas — no evidencia de que el clima impulse las compras.</w:t>
      </w:r>
    </w:p>
    <w:p>
      <w:pPr>
        <w:spacing w:after="160" w:line="300"/>
      </w:pPr>
      <w:r>
        <w:rPr>
          <w:b/>
          <w:bCs/>
        </w:rPr>
        <w:t xml:space="preserve">Precio del combustible</w:t>
      </w:r>
    </w:p>
    <w:p>
      <w:pPr>
        <w:spacing w:after="160" w:line="300"/>
      </w:pPr>
      <w:r>
        <w:t xml:space="preserve">Es la variable con el canal causal más plausible (r entre -0.14 y -0.24): combustible más caro reduce el ingreso disponible y puede desincentivar viajes a la tienda. Sin embargo, el precio del combustible subió de forma casi monótona en el período (correlación con el tiempo = 0.58), por lo que parte de esta correlación podría deberse a que ambas series simplemente tienden con el tiempo. Se califica como posiblemente causal, pero débil y no concluyente.</w:t>
      </w:r>
    </w:p>
    <w:p>
      <w:pPr>
        <w:spacing w:after="160" w:line="300"/>
      </w:pPr>
      <w:r>
        <w:rPr>
          <w:b/>
          <w:bCs/>
        </w:rPr>
        <w:t xml:space="preserve">CPI (inflación)</w:t>
      </w:r>
    </w:p>
    <w:p>
      <w:pPr>
        <w:spacing w:after="160" w:line="300"/>
      </w:pPr>
      <w:r>
        <w:t xml:space="preserve">Correlación prácticamente nula con las ventas (r ≈ -0.07), pese a tener una correlación de 0.987 con el simple paso del tiempo. Este es el caso más claro de variable oculta: si el CPI realmente impulsara o deprimiera las ventas, se esperaría una correlación sustancial; en cambio, es casi cero. Cualquier correlación aparente entre CPI y ventas en análisis menos cuidadosos sería un artefacto de que ambas variables tienen tendencia en el tiempo, no una relación real entre ellas.</w:t>
      </w:r>
    </w:p>
    <w:p>
      <w:pPr>
        <w:spacing w:after="160" w:line="300"/>
      </w:pPr>
      <w:r>
        <w:rPr>
          <w:b/>
          <w:bCs/>
        </w:rPr>
        <w:t xml:space="preserve">Desempleo</w:t>
      </w:r>
    </w:p>
    <w:p>
      <w:pPr>
        <w:spacing w:after="160" w:line="300"/>
      </w:pPr>
      <w:r>
        <w:t xml:space="preserve">Mismo problema, en espejo: el desempleo está correlacionado en -0.973 con el CPI y en -0.982 con el tiempo (bajó de forma casi lineal, reflejando la recuperación económica post-2008). Con una correlación cercana a cero con las ventas, y que cambia de signo según el método de cálculo, no hay evidencia de una relación real en esta ventana de datos. Económicamente se esperaría que más desempleo reduzca el gasto minorista, pero eso no se refleja aquí — probablemente porque a nivel semana-tienda el ruido de la demanda local domina sobre cualquier efecto macro que solo se mueve mes a mes.</w:t>
      </w:r>
    </w:p>
    <w:p>
      <w:pPr>
        <w:pStyle w:val="Heading2"/>
        <w:spacing w:after="150" w:before="300"/>
      </w:pPr>
      <w:r>
        <w:t xml:space="preserve">3.2 Conclusión</w:t>
      </w:r>
    </w:p>
    <w:p>
      <w:pPr>
        <w:spacing w:after="160" w:line="300"/>
      </w:pPr>
      <w:r>
        <w:t xml:space="preserve">La variable oculta común a CPI y desempleo es simplemente el tiempo / ciclo económico 2010-2012: ambas describen la recuperación post-recesión y por eso están correlacionadas casi perfectamente entre sí, pero ninguna explica realmente la variación semana a semana en ventas. Esa variación la explica mucho mejor el indicador de feriado (Holiday_Flag) y el mes del año, como se documentó en la Sección 1 y 2 de este informe.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3B57"/>
      <w:sz w:val="32"/>
      <w:szCs w:val="32"/>
    </w:rPr>
  </w:style>
  <w:style w:type="paragraph" w:styleId="Heading2">
    <w:name w:val="Heading 2"/>
    <w:basedOn w:val="Normal"/>
    <w:next w:val="Normal"/>
    <w:qFormat/>
    <w:pPr>
      <w:spacing w:after="120" w:before="250"/>
    </w:pPr>
    <w:rPr>
      <w:rFonts w:ascii="Calibri" w:cs="Calibri" w:eastAsia="Calibri" w:hAnsi="Calibri"/>
      <w:b/>
      <w:bCs/>
      <w:color w:val="D9822B"/>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200970fd2adbc9faf6099c8fb17ba5708308451.png"/><Relationship Id="rId8" Type="http://schemas.openxmlformats.org/officeDocument/2006/relationships/image" Target="media/d7191d710fd0b9c296a743f573e47a4e6f759edb.png"/><Relationship Id="rId9" Type="http://schemas.openxmlformats.org/officeDocument/2006/relationships/image" Target="media/3a21063c586201def126c29a80820309d4b207d3.png"/><Relationship Id="rId10" Type="http://schemas.openxmlformats.org/officeDocument/2006/relationships/image" Target="media/c54471e0962167138b4abc3a36a7907efde09a8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2026-08-26T20:41:06.482Z</dcterms:created>
  <dcterms:modified xsi:type="dcterms:W3CDTF">2026-08-26T20:41:06.482Z</dcterms:modified>
</cp:coreProperties>
</file>

<file path=docProps/custom.xml><?xml version="1.0" encoding="utf-8"?>
<Properties xmlns="http://schemas.openxmlformats.org/officeDocument/2006/custom-properties" xmlns:vt="http://schemas.openxmlformats.org/officeDocument/2006/docPropsVTypes"/>
</file>