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666666"/>
          <w:sz w:val="20"/>
          <w:szCs w:val="20"/>
        </w:rPr>
        <w:t xml:space="preserve">Informe Confidencial — Uso Interno</w:t>
      </w:r>
    </w:p>
    <w:p>
      <w:pPr>
        <w:spacing w:after="80" w:before="200"/>
      </w:pPr>
      <w:r>
        <w:rPr>
          <w:b/>
          <w:bCs/>
          <w:color w:val="1F1F1F"/>
          <w:sz w:val="36"/>
          <w:szCs w:val="36"/>
        </w:rPr>
        <w:t xml:space="preserve">ESTIMACIÓN DE GASTOS ADMINISTRATIVOS</w:t>
      </w:r>
    </w:p>
    <w:p>
      <w:pPr>
        <w:spacing w:after="60"/>
      </w:pPr>
      <w:r>
        <w:rPr>
          <w:i/>
          <w:iCs/>
          <w:color w:val="666666"/>
          <w:sz w:val="22"/>
          <w:szCs w:val="22"/>
        </w:rPr>
        <w:t xml:space="preserve">Empresa de Logística — Proyección del Trimestre Próximo</w:t>
      </w:r>
    </w:p>
    <w:p>
      <w:pPr>
        <w:spacing w:after="20"/>
      </w:pPr>
      <w:r>
        <w:rPr>
          <w:b/>
          <w:bCs/>
          <w:sz w:val="20"/>
          <w:szCs w:val="20"/>
        </w:rPr>
        <w:t xml:space="preserve">Preparado por: </w:t>
      </w:r>
      <w:r>
        <w:rPr>
          <w:sz w:val="20"/>
          <w:szCs w:val="20"/>
        </w:rPr>
        <w:t xml:space="preserve">Análisis Financiero Senior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Fecha: </w:t>
      </w:r>
      <w:r>
        <w:rPr>
          <w:sz w:val="20"/>
          <w:szCs w:val="20"/>
        </w:rPr>
        <w:t xml:space="preserve">19 de agosto de 2026</w:t>
      </w:r>
    </w:p>
    <w:p>
      <w:pPr>
        <w:pStyle w:val="Heading1"/>
        <w:spacing w:after="150" w:before="300"/>
      </w:pPr>
      <w:r>
        <w:rPr>
          <w:b/>
          <w:bCs/>
          <w:color w:val="2F5496"/>
          <w:sz w:val="28"/>
          <w:szCs w:val="28"/>
        </w:rPr>
        <w:t xml:space="preserve">1. Resumen Ejecutivo</w:t>
      </w:r>
    </w:p>
    <w:p>
      <w:pPr>
        <w:spacing w:after="160" w:line="276"/>
      </w:pPr>
      <w:r>
        <w:rPr>
          <w:i w:val="false"/>
          <w:iCs w:val="false"/>
          <w:color w:val="1F1F1F"/>
          <w:sz w:val="22"/>
          <w:szCs w:val="22"/>
        </w:rPr>
        <w:t xml:space="preserve">La proyección de gastos administrativos para el próximo trimestre evidencia un incremento moderado y controlado en la mayoría de las categorías, con dos focos de atención principales: personal administrativo y seguros de carga. Estas dos categorías concentran el mayor efecto sobre el presupuesto operativo del área y requieren seguimiento cercano durante el periodo. En contraste, los servicios profesionales muestran una tendencia a la baja que representa una oportunidad de eficiencia sostenida.</w:t>
      </w:r>
    </w:p>
    <w:p>
      <w:pPr>
        <w:pStyle w:val="Heading1"/>
        <w:spacing w:after="150" w:before="300"/>
      </w:pPr>
      <w:r>
        <w:rPr>
          <w:b/>
          <w:bCs/>
          <w:color w:val="2F5496"/>
          <w:sz w:val="28"/>
          <w:szCs w:val="28"/>
        </w:rPr>
        <w:t xml:space="preserve">2. Estimación de Gastos por Categoría</w:t>
      </w:r>
    </w:p>
    <w:p>
      <w:pPr>
        <w:spacing w:after="160" w:line="276"/>
      </w:pPr>
      <w:r>
        <w:rPr>
          <w:i w:val="false"/>
          <w:iCs w:val="false"/>
          <w:color w:val="1F1F1F"/>
          <w:sz w:val="22"/>
          <w:szCs w:val="22"/>
        </w:rPr>
        <w:t xml:space="preserve">La siguiente tabla resume las principales categorías de gasto administrativo proyectadas para el trimestre, su variación respecto al periodo anterior, el nivel de prioridad de seguimiento y observaciones relevantes.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2200"/>
        <w:gridCol w:w="1600"/>
        <w:gridCol w:w="3300"/>
      </w:tblGrid>
      <w:tr>
        <w:trPr>
          <w:tblHeader/>
        </w:trPr>
        <w:tc>
          <w:tcPr>
            <w:tcW w:type="dxa" w:w="2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2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Gasto Estimado (Trimestral)</w:t>
            </w:r>
          </w:p>
        </w:tc>
        <w:tc>
          <w:tcPr>
            <w:tcW w:type="dxa" w:w="1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33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Observación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Personal Administrativo</w:t>
            </w:r>
          </w:p>
        </w:tc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$48.500 (+5% vs. trimestre anterior)</w:t>
            </w:r>
          </w:p>
        </w:tc>
        <w:tc>
          <w:tcPr>
            <w:tcW w:type="dxa" w:w="1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Alta</w:t>
            </w:r>
          </w:p>
        </w:tc>
        <w:tc>
          <w:tcPr>
            <w:tcW w:type="dxa" w:w="3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Incremento asociado a la incorporación de un analista de operaciones y ajustes salariales menores.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Arrendamiento de Bodegas y Oficinas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$36.200 (+3% vs. trimestre anterior)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Alta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Renovación de contrato en el centro de distribución principal con ajuste por IPC.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Seguros y Pólizas de Carga</w:t>
            </w:r>
          </w:p>
        </w:tc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$14.800 (+9% vs. trimestre anterior)</w:t>
            </w:r>
          </w:p>
        </w:tc>
        <w:tc>
          <w:tcPr>
            <w:tcW w:type="dxa" w:w="1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Media</w:t>
            </w:r>
          </w:p>
        </w:tc>
        <w:tc>
          <w:tcPr>
            <w:tcW w:type="dxa" w:w="3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Aumento en primas por expansión de la flota y mayor volumen de mercancía asegurada.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Tecnología Administrativa (ERP / TMS)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$9.300 (estable)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Media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Sin variaciones relevantes; licencias vigentes hasta el próximo semestre.</w:t>
            </w:r>
          </w:p>
        </w:tc>
      </w:tr>
      <w:tr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Servicios Profesionales (Contables / Legales)</w:t>
            </w:r>
          </w:p>
        </w:tc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$6.100 (-4% vs. trimestre anterior)</w:t>
            </w:r>
          </w:p>
        </w:tc>
        <w:tc>
          <w:tcPr>
            <w:tcW w:type="dxa" w:w="1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Baja</w:t>
            </w:r>
          </w:p>
        </w:tc>
        <w:tc>
          <w:tcPr>
            <w:tcW w:type="dxa" w:w="3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Disminución por internalización parcial de tareas de conciliación contable.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2F5496"/>
          <w:sz w:val="28"/>
          <w:szCs w:val="28"/>
        </w:rPr>
        <w:t xml:space="preserve">3. Análisis por Categoría</w:t>
      </w:r>
    </w:p>
    <w:p>
      <w:pPr>
        <w:pStyle w:val="Heading2"/>
        <w:spacing w:after="120" w:before="240"/>
      </w:pPr>
      <w:r>
        <w:rPr>
          <w:b/>
          <w:bCs/>
          <w:color w:val="1F1F1F"/>
          <w:sz w:val="24"/>
          <w:szCs w:val="24"/>
        </w:rPr>
        <w:t xml:space="preserve">Personal Administrativo (+5%)</w:t>
      </w:r>
    </w:p>
    <w:p>
      <w:pPr>
        <w:spacing w:after="160" w:line="276"/>
      </w:pPr>
      <w:r>
        <w:rPr>
          <w:i w:val="false"/>
          <w:iCs w:val="false"/>
          <w:color w:val="1F1F1F"/>
          <w:sz w:val="22"/>
          <w:szCs w:val="22"/>
        </w:rPr>
        <w:t xml:space="preserve">El incremento proyectado responde a la incorporación de un analista de operaciones adicional para soportar el crecimiento del volumen de despachos, junto con ajustes salariales menores alineados a la política interna de compensación. Se recomienda evaluar la carga operativa real antes de sumar nuevas posiciones adicionales en el trimestre.</w:t>
      </w:r>
    </w:p>
    <w:p>
      <w:pPr>
        <w:pStyle w:val="Heading2"/>
        <w:spacing w:after="120" w:before="240"/>
      </w:pPr>
      <w:r>
        <w:rPr>
          <w:b/>
          <w:bCs/>
          <w:color w:val="1F1F1F"/>
          <w:sz w:val="24"/>
          <w:szCs w:val="24"/>
        </w:rPr>
        <w:t xml:space="preserve">Arrendamiento de Bodegas y Oficinas (+3%)</w:t>
      </w:r>
    </w:p>
    <w:p>
      <w:pPr>
        <w:spacing w:after="160" w:line="276"/>
      </w:pPr>
      <w:r>
        <w:rPr>
          <w:i w:val="false"/>
          <w:iCs w:val="false"/>
          <w:color w:val="1F1F1F"/>
          <w:sz w:val="22"/>
          <w:szCs w:val="22"/>
        </w:rPr>
        <w:t xml:space="preserve">El ajuste corresponde a la renovación contractual del centro de distribución principal, con incremento indexado al IPC. No se proyectan nuevas incorporaciones de espacio en el corto plazo.</w:t>
      </w:r>
    </w:p>
    <w:p>
      <w:pPr>
        <w:pStyle w:val="Heading2"/>
        <w:spacing w:after="120" w:before="240"/>
      </w:pPr>
      <w:r>
        <w:rPr>
          <w:b/>
          <w:bCs/>
          <w:color w:val="1F1F1F"/>
          <w:sz w:val="24"/>
          <w:szCs w:val="24"/>
        </w:rPr>
        <w:t xml:space="preserve">Seguros y Pólizas de Carga (+9%)</w:t>
      </w:r>
    </w:p>
    <w:p>
      <w:pPr>
        <w:spacing w:after="160" w:line="276"/>
      </w:pPr>
      <w:r>
        <w:rPr>
          <w:i w:val="false"/>
          <w:iCs w:val="false"/>
          <w:color w:val="1F1F1F"/>
          <w:sz w:val="22"/>
          <w:szCs w:val="22"/>
        </w:rPr>
        <w:t xml:space="preserve">La variación más significativa del periodo. Refleja el aumento en las primas asociadas a la expansión de la flota vehicular y a un mayor volumen de mercancía asegurada por operación. Se sugiere solicitar cotizaciones comparativas con al menos dos aseguradoras adicionales antes de la renovación de póliza.</w:t>
      </w:r>
    </w:p>
    <w:p>
      <w:pPr>
        <w:pStyle w:val="Heading2"/>
        <w:spacing w:after="120" w:before="240"/>
      </w:pPr>
      <w:r>
        <w:rPr>
          <w:b/>
          <w:bCs/>
          <w:color w:val="1F1F1F"/>
          <w:sz w:val="24"/>
          <w:szCs w:val="24"/>
        </w:rPr>
        <w:t xml:space="preserve">Tecnología Administrativa — ERP / TMS (estable)</w:t>
      </w:r>
    </w:p>
    <w:p>
      <w:pPr>
        <w:spacing w:after="160" w:line="276"/>
      </w:pPr>
      <w:r>
        <w:rPr>
          <w:i w:val="false"/>
          <w:iCs w:val="false"/>
          <w:color w:val="1F1F1F"/>
          <w:sz w:val="22"/>
          <w:szCs w:val="22"/>
        </w:rPr>
        <w:t xml:space="preserve">Sin variaciones relevantes respecto al trimestre anterior. Las licencias vigentes cubren la operación hasta el próximo semestre, por lo que no se proyectan desembolsos adicionales en el corto plazo.</w:t>
      </w:r>
    </w:p>
    <w:p>
      <w:pPr>
        <w:pStyle w:val="Heading2"/>
        <w:spacing w:after="120" w:before="240"/>
      </w:pPr>
      <w:r>
        <w:rPr>
          <w:b/>
          <w:bCs/>
          <w:color w:val="1F1F1F"/>
          <w:sz w:val="24"/>
          <w:szCs w:val="24"/>
        </w:rPr>
        <w:t xml:space="preserve">Servicios Profesionales — Contables y Legales (-4%)</w:t>
      </w:r>
    </w:p>
    <w:p>
      <w:pPr>
        <w:spacing w:after="160" w:line="276"/>
      </w:pPr>
      <w:r>
        <w:rPr>
          <w:i w:val="false"/>
          <w:iCs w:val="false"/>
          <w:color w:val="1F1F1F"/>
          <w:sz w:val="22"/>
          <w:szCs w:val="22"/>
        </w:rPr>
        <w:t xml:space="preserve">Única categoría con proyección a la baja. La disminución obedece a la internalización parcial de tareas de conciliación contable, previamente tercerizadas. El ahorro puede sostenerse en la medida que se mantenga la capacidad interna actual.</w:t>
      </w:r>
    </w:p>
    <w:p>
      <w:pPr>
        <w:pStyle w:val="Heading1"/>
        <w:spacing w:after="150" w:before="300"/>
      </w:pPr>
      <w:r>
        <w:rPr>
          <w:b/>
          <w:bCs/>
          <w:color w:val="2F5496"/>
          <w:sz w:val="28"/>
          <w:szCs w:val="28"/>
        </w:rPr>
        <w:t xml:space="preserve">4. Recomendaciones Generales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Priorizar el seguimiento de personal administrativo y seguros de carga por su mayor efecto acumulado sobre el gasto proyectado.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Solicitar cotizaciones comparativas de pólizas de seguro antes de la renovación contractual.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Postergar nuevas incorporaciones de personal administrativo hasta validar la carga operativa del trimestre en curso.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Mantener la internalización de tareas contables como práctica sostenida, sujeta a evaluación de capacidad interna.</w:t>
      </w:r>
    </w:p>
    <w:p>
      <w:pPr>
        <w:pStyle w:val="Heading1"/>
        <w:spacing w:after="150" w:before="300"/>
      </w:pPr>
      <w:r>
        <w:rPr>
          <w:b/>
          <w:bCs/>
          <w:color w:val="2F5496"/>
          <w:sz w:val="28"/>
          <w:szCs w:val="28"/>
        </w:rPr>
        <w:t xml:space="preserve">5. Nota Metodológica</w:t>
      </w:r>
    </w:p>
    <w:p>
      <w:pPr>
        <w:spacing w:after="160" w:line="276"/>
      </w:pPr>
      <w:r>
        <w:rPr>
          <w:i/>
          <w:iCs/>
          <w:color w:val="666666"/>
          <w:sz w:val="22"/>
          <w:szCs w:val="22"/>
        </w:rPr>
        <w:t xml:space="preserve">Este informe se basa en un modelo ilustrativo de gastos administrativos típicos del sector logístico, presentado a modo de referencia. Para un análisis con validez financiera plena, se recomienda sustituir las cifras aquí presentadas por los datos reales del sistema de planificación presupuestaria de la compañía.</w:t>
      </w:r>
    </w:p>
    <w:sectPr>
      <w:headerReference w:type="default" r:id="rId7"/>
      <w:footerReference w:type="default" r:id="rId8"/>
      <w:pgSz w:w="12240" w:h="15840" w:orient="portrait"/>
      <w:pgMar w:top="1300" w:right="12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Informe Confidencial — Uso Interno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2026-08-18T23:19:20.589Z</dcterms:created>
  <dcterms:modified xsi:type="dcterms:W3CDTF">2026-08-18T23:19:20.601Z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