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30"/>
          <w:szCs w:val="30"/>
        </w:rPr>
        <w:t xml:space="preserve">INFORME DE ANÁLISIS DE PROCESO</w:t>
      </w:r>
    </w:p>
    <w:p>
      <w:pPr>
        <w:spacing w:after="100"/>
        <w:jc w:val="center"/>
      </w:pPr>
      <w:r>
        <w:rPr>
          <w:b/>
          <w:bCs/>
          <w:color w:val="444441"/>
          <w:sz w:val="26"/>
          <w:szCs w:val="26"/>
        </w:rPr>
        <w:t xml:space="preserve">Agente de IA para la gestión de beneficios y servicios contractuales de colaboradores</w:t>
      </w:r>
    </w:p>
    <w:p>
      <w:pPr>
        <w:spacing w:after="400"/>
        <w:jc w:val="center"/>
      </w:pPr>
      <w:r>
        <w:rPr>
          <w:i/>
          <w:iCs/>
          <w:color w:val="888880"/>
          <w:sz w:val="20"/>
          <w:szCs w:val="20"/>
        </w:rPr>
        <w:t xml:space="preserve">Entidad Financiera · Área de Recursos Humanos y Transformación Digital</w:t>
      </w:r>
    </w:p>
    <w:p>
      <w:pPr>
        <w:spacing w:after="40"/>
        <w:jc w:val="center"/>
      </w:pPr>
      <w:r>
        <w:rPr>
          <w:color w:val="444441"/>
          <w:sz w:val="20"/>
          <w:szCs w:val="20"/>
        </w:rPr>
        <w:t xml:space="preserve">Preparado por: Analista de Procesos de Negocio</w:t>
      </w:r>
    </w:p>
    <w:p>
      <w:pPr>
        <w:spacing w:after="400"/>
        <w:jc w:val="center"/>
      </w:pPr>
      <w:r>
        <w:rPr>
          <w:color w:val="444441"/>
          <w:sz w:val="20"/>
          <w:szCs w:val="20"/>
        </w:rPr>
        <w:t xml:space="preserve">Fecha: 19 de agosto de 2026</w:t>
      </w:r>
    </w:p>
    <w:p>
      <w:pPr>
        <w:pStyle w:val="Heading1"/>
        <w:pBdr>
          <w:bottom w:val="single" w:color="1F3864" w:sz="6" w:space="4"/>
        </w:pBdr>
        <w:spacing w:after="200" w:before="400"/>
      </w:pPr>
      <w:r>
        <w:rPr>
          <w:b/>
          <w:bCs/>
          <w:color w:val="1F3864"/>
        </w:rPr>
        <w:t xml:space="preserve">1. </w:t>
      </w:r>
      <w:r>
        <w:rPr>
          <w:b/>
          <w:bCs/>
          <w:color w:val="1F3864"/>
        </w:rPr>
        <w:t xml:space="preserve">Resumen ejecutivo</w:t>
      </w:r>
    </w:p>
    <w:p>
      <w:pPr>
        <w:spacing w:after="160" w:line="300"/>
      </w:pPr>
      <w:r>
        <w:rPr>
          <w:color w:val="444441"/>
        </w:rPr>
        <w:t xml:space="preserve">Este informe define el proceso operativo de un Agente de Inteligencia Artificial orientado a que los colaboradores de la entidad financiera gestionen de forma autónoma sus beneficios (seguro de vida, seguro médico complementario, fondo de pensión voluntario, créditos preferenciales) y sus servicios contractuales (certificados laborales, constancias de ingresos, actualización de datos). El diseño busca reducir la dependencia de gestión manual con el área de Recursos Humanos, garantizando trazabilidad, seguridad de la información y cumplimiento regulatorio en cada interacción.</w:t>
      </w:r>
    </w:p>
    <w:p>
      <w:pPr>
        <w:spacing w:after="160" w:line="300"/>
      </w:pPr>
      <w:r>
        <w:rPr>
          <w:color w:val="444441"/>
        </w:rPr>
        <w:t xml:space="preserve">El proceso combina resolución automática para casos de baja complejidad con escalamiento controlado a un analista humano para casos sensibles o de excepción, apoyado en autenticación robusta y reglas de negocio claras.</w:t>
      </w:r>
    </w:p>
    <w:p>
      <w:pPr>
        <w:pStyle w:val="Heading1"/>
        <w:pBdr>
          <w:bottom w:val="single" w:color="1F3864" w:sz="6" w:space="4"/>
        </w:pBdr>
        <w:spacing w:after="200" w:before="400"/>
      </w:pPr>
      <w:r>
        <w:rPr>
          <w:b/>
          <w:bCs/>
          <w:color w:val="1F3864"/>
        </w:rPr>
        <w:t xml:space="preserve">2. </w:t>
      </w:r>
      <w:r>
        <w:rPr>
          <w:b/>
          <w:bCs/>
          <w:color w:val="1F3864"/>
        </w:rPr>
        <w:t xml:space="preserve">Objetivo y alcance</w:t>
      </w:r>
    </w:p>
    <w:p>
      <w:pPr>
        <w:pStyle w:val="Heading2"/>
        <w:spacing w:after="120" w:before="240"/>
      </w:pPr>
      <w:r>
        <w:rPr>
          <w:b/>
          <w:bCs/>
          <w:color w:val="1F3864"/>
        </w:rPr>
        <w:t xml:space="preserve">2.1 Objetivo</w:t>
      </w:r>
    </w:p>
    <w:p>
      <w:pPr>
        <w:spacing w:after="160" w:line="300"/>
      </w:pPr>
      <w:r>
        <w:rPr>
          <w:color w:val="444441"/>
        </w:rPr>
        <w:t xml:space="preserve">Permitir que los colaboradores consulten, soliciten, modifiquen o den seguimiento a sus beneficios y servicios contractuales mediante un Agente de IA conversacional, disponible las 24 horas, sin depender de gestión manual con RRHH salvo en casos de excepción.</w:t>
      </w:r>
    </w:p>
    <w:p>
      <w:pPr>
        <w:pStyle w:val="Heading2"/>
        <w:spacing w:after="120" w:before="240"/>
      </w:pPr>
      <w:r>
        <w:rPr>
          <w:b/>
          <w:bCs/>
          <w:color w:val="1F3864"/>
        </w:rPr>
        <w:t xml:space="preserve">2.2 Fuera de alcance</w:t>
      </w:r>
    </w:p>
    <w:p>
      <w:pPr>
        <w:pStyle w:val="ListParagraph"/>
        <w:numPr>
          <w:ilvl w:val="0"/>
          <w:numId w:val="2"/>
        </w:numPr>
        <w:spacing w:after="80" w:line="280"/>
      </w:pPr>
      <w:r>
        <w:rPr>
          <w:color w:val="444441"/>
        </w:rPr>
        <w:t xml:space="preserve">Negociación salarial o revisión de compensación variable.</w:t>
      </w:r>
    </w:p>
    <w:p>
      <w:pPr>
        <w:pStyle w:val="ListParagraph"/>
        <w:numPr>
          <w:ilvl w:val="0"/>
          <w:numId w:val="2"/>
        </w:numPr>
        <w:spacing w:after="80" w:line="280"/>
      </w:pPr>
      <w:r>
        <w:rPr>
          <w:color w:val="444441"/>
        </w:rPr>
        <w:t xml:space="preserve">Procesos disciplinarios o de gestión del desempeño.</w:t>
      </w:r>
    </w:p>
    <w:p>
      <w:pPr>
        <w:pStyle w:val="ListParagraph"/>
        <w:numPr>
          <w:ilvl w:val="0"/>
          <w:numId w:val="2"/>
        </w:numPr>
        <w:spacing w:after="80" w:line="280"/>
      </w:pPr>
      <w:r>
        <w:rPr>
          <w:color w:val="444441"/>
        </w:rPr>
        <w:t xml:space="preserve">Trámites que requieran firma legal presencial no digitalizable.</w:t>
      </w:r>
    </w:p>
    <w:p>
      <w:pPr>
        <w:pStyle w:val="Heading1"/>
        <w:pBdr>
          <w:bottom w:val="single" w:color="1F3864" w:sz="6" w:space="4"/>
        </w:pBdr>
        <w:spacing w:after="200" w:before="400"/>
      </w:pPr>
      <w:r>
        <w:rPr>
          <w:b/>
          <w:bCs/>
          <w:color w:val="1F3864"/>
        </w:rPr>
        <w:t xml:space="preserve">3. </w:t>
      </w:r>
      <w:r>
        <w:rPr>
          <w:b/>
          <w:bCs/>
          <w:color w:val="1F3864"/>
        </w:rPr>
        <w:t xml:space="preserve">Actores del proceso</w:t>
      </w:r>
    </w:p>
    <w:p>
      <w:pPr>
        <w:spacing w:after="160" w:line="300"/>
      </w:pPr>
      <w:r>
        <w:rPr>
          <w:color w:val="444441"/>
        </w:rPr>
        <w:t xml:space="preserve">A continuación se detallan los actores que participan en el proceso y su rol específico.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color="1F3864" w:val="clear"/>
            <w:tcMar>
              <w:top w:type="dxa" w:w="100"/>
              <w:left w:type="dxa" w:w="120"/>
              <w:bottom w:type="dxa" w:w="100"/>
              <w:right w:type="dxa" w:w="120"/>
            </w:tcMar>
            <w:vAlign w:val="center"/>
          </w:tcPr>
          <w:p>
            <w:r>
              <w:rPr>
                <w:b/>
                <w:bCs/>
                <w:color w:val="FFFFFF"/>
                <w:sz w:val="20"/>
                <w:szCs w:val="20"/>
              </w:rPr>
              <w:t xml:space="preserve">Actor</w:t>
            </w:r>
          </w:p>
        </w:tc>
        <w:tc>
          <w:tcPr>
            <w:tcW w:type="dxa" w:w="6550"/>
            <w:shd w:fill="1F3864" w:color="1F3864" w:val="clear"/>
            <w:tcMar>
              <w:top w:type="dxa" w:w="100"/>
              <w:left w:type="dxa" w:w="120"/>
              <w:bottom w:type="dxa" w:w="100"/>
              <w:right w:type="dxa" w:w="120"/>
            </w:tcMar>
            <w:vAlign w:val="center"/>
          </w:tcPr>
          <w:p>
            <w:r>
              <w:rPr>
                <w:b/>
                <w:bCs/>
                <w:color w:val="FFFFFF"/>
                <w:sz w:val="20"/>
                <w:szCs w:val="20"/>
              </w:rPr>
              <w:t xml:space="preserve">Rol en el proceso</w:t>
            </w:r>
          </w:p>
        </w:tc>
      </w:tr>
      <w:tr>
        <w:tc>
          <w:tcPr>
            <w:tcW w:type="dxa" w:w="2800"/>
            <w:tcMar>
              <w:top w:type="dxa" w:w="100"/>
              <w:left w:type="dxa" w:w="120"/>
              <w:bottom w:type="dxa" w:w="100"/>
              <w:right w:type="dxa" w:w="120"/>
            </w:tcMar>
            <w:vAlign w:val="center"/>
          </w:tcPr>
          <w:p>
            <w:r>
              <w:rPr>
                <w:b/>
                <w:bCs/>
                <w:color w:val="444441"/>
                <w:sz w:val="20"/>
                <w:szCs w:val="20"/>
              </w:rPr>
              <w:t xml:space="preserve">Colaborador</w:t>
            </w:r>
          </w:p>
        </w:tc>
        <w:tc>
          <w:tcPr>
            <w:tcW w:type="dxa" w:w="6550"/>
            <w:tcMar>
              <w:top w:type="dxa" w:w="100"/>
              <w:left w:type="dxa" w:w="120"/>
              <w:bottom w:type="dxa" w:w="100"/>
              <w:right w:type="dxa" w:w="120"/>
            </w:tcMar>
            <w:vAlign w:val="center"/>
          </w:tcPr>
          <w:p>
            <w:r>
              <w:rPr>
                <w:b w:val="false"/>
                <w:bCs w:val="false"/>
                <w:color w:val="444441"/>
                <w:sz w:val="20"/>
                <w:szCs w:val="20"/>
              </w:rPr>
              <w:t xml:space="preserve">Usuario final que consulta o solicita gestión de sus beneficios y servicios contractuales.</w:t>
            </w:r>
          </w:p>
        </w:tc>
      </w:tr>
      <w:tr>
        <w:tc>
          <w:tcPr>
            <w:tcW w:type="dxa" w:w="2800"/>
            <w:shd w:fill="F2F2F2" w:color="F2F2F2" w:val="clear"/>
            <w:tcMar>
              <w:top w:type="dxa" w:w="100"/>
              <w:left w:type="dxa" w:w="120"/>
              <w:bottom w:type="dxa" w:w="100"/>
              <w:right w:type="dxa" w:w="120"/>
            </w:tcMar>
            <w:vAlign w:val="center"/>
          </w:tcPr>
          <w:p>
            <w:r>
              <w:rPr>
                <w:b/>
                <w:bCs/>
                <w:color w:val="444441"/>
                <w:sz w:val="20"/>
                <w:szCs w:val="20"/>
              </w:rPr>
              <w:t xml:space="preserve">Agente de IA</w:t>
            </w:r>
          </w:p>
        </w:tc>
        <w:tc>
          <w:tcPr>
            <w:tcW w:type="dxa" w:w="6550"/>
            <w:shd w:fill="F2F2F2" w:color="F2F2F2" w:val="clear"/>
            <w:tcMar>
              <w:top w:type="dxa" w:w="100"/>
              <w:left w:type="dxa" w:w="120"/>
              <w:bottom w:type="dxa" w:w="100"/>
              <w:right w:type="dxa" w:w="120"/>
            </w:tcMar>
            <w:vAlign w:val="center"/>
          </w:tcPr>
          <w:p>
            <w:r>
              <w:rPr>
                <w:b w:val="false"/>
                <w:bCs w:val="false"/>
                <w:color w:val="444441"/>
                <w:sz w:val="20"/>
                <w:szCs w:val="20"/>
              </w:rPr>
              <w:t xml:space="preserve">Orquesta la conversación, valida identidad, detecta intención, ejecuta o escala el caso.</w:t>
            </w:r>
          </w:p>
        </w:tc>
      </w:tr>
      <w:tr>
        <w:tc>
          <w:tcPr>
            <w:tcW w:type="dxa" w:w="2800"/>
            <w:tcMar>
              <w:top w:type="dxa" w:w="100"/>
              <w:left w:type="dxa" w:w="120"/>
              <w:bottom w:type="dxa" w:w="100"/>
              <w:right w:type="dxa" w:w="120"/>
            </w:tcMar>
            <w:vAlign w:val="center"/>
          </w:tcPr>
          <w:p>
            <w:r>
              <w:rPr>
                <w:b/>
                <w:bCs/>
                <w:color w:val="444441"/>
                <w:sz w:val="20"/>
                <w:szCs w:val="20"/>
              </w:rPr>
              <w:t xml:space="preserve">Sistema Core RRHH (HRIS)</w:t>
            </w:r>
          </w:p>
        </w:tc>
        <w:tc>
          <w:tcPr>
            <w:tcW w:type="dxa" w:w="6550"/>
            <w:tcMar>
              <w:top w:type="dxa" w:w="100"/>
              <w:left w:type="dxa" w:w="120"/>
              <w:bottom w:type="dxa" w:w="100"/>
              <w:right w:type="dxa" w:w="120"/>
            </w:tcMar>
            <w:vAlign w:val="center"/>
          </w:tcPr>
          <w:p>
            <w:r>
              <w:rPr>
                <w:b w:val="false"/>
                <w:bCs w:val="false"/>
                <w:color w:val="444441"/>
                <w:sz w:val="20"/>
                <w:szCs w:val="20"/>
              </w:rPr>
              <w:t xml:space="preserve">Fuente de verdad de los datos contractuales y de beneficios del colaborador.</w:t>
            </w:r>
          </w:p>
        </w:tc>
      </w:tr>
      <w:tr>
        <w:tc>
          <w:tcPr>
            <w:tcW w:type="dxa" w:w="2800"/>
            <w:shd w:fill="F2F2F2" w:color="F2F2F2" w:val="clear"/>
            <w:tcMar>
              <w:top w:type="dxa" w:w="100"/>
              <w:left w:type="dxa" w:w="120"/>
              <w:bottom w:type="dxa" w:w="100"/>
              <w:right w:type="dxa" w:w="120"/>
            </w:tcMar>
            <w:vAlign w:val="center"/>
          </w:tcPr>
          <w:p>
            <w:r>
              <w:rPr>
                <w:b/>
                <w:bCs/>
                <w:color w:val="444441"/>
                <w:sz w:val="20"/>
                <w:szCs w:val="20"/>
              </w:rPr>
              <w:t xml:space="preserve">Proveedor de beneficios</w:t>
            </w:r>
          </w:p>
        </w:tc>
        <w:tc>
          <w:tcPr>
            <w:tcW w:type="dxa" w:w="6550"/>
            <w:shd w:fill="F2F2F2" w:color="F2F2F2" w:val="clear"/>
            <w:tcMar>
              <w:top w:type="dxa" w:w="100"/>
              <w:left w:type="dxa" w:w="120"/>
              <w:bottom w:type="dxa" w:w="100"/>
              <w:right w:type="dxa" w:w="120"/>
            </w:tcMar>
            <w:vAlign w:val="center"/>
          </w:tcPr>
          <w:p>
            <w:r>
              <w:rPr>
                <w:b w:val="false"/>
                <w:bCs w:val="false"/>
                <w:color w:val="444441"/>
                <w:sz w:val="20"/>
                <w:szCs w:val="20"/>
              </w:rPr>
              <w:t xml:space="preserve">Sistema externo (aseguradora, AFP, banco) con el que se integra el agente.</w:t>
            </w:r>
          </w:p>
        </w:tc>
      </w:tr>
      <w:tr>
        <w:tc>
          <w:tcPr>
            <w:tcW w:type="dxa" w:w="2800"/>
            <w:tcMar>
              <w:top w:type="dxa" w:w="100"/>
              <w:left w:type="dxa" w:w="120"/>
              <w:bottom w:type="dxa" w:w="100"/>
              <w:right w:type="dxa" w:w="120"/>
            </w:tcMar>
            <w:vAlign w:val="center"/>
          </w:tcPr>
          <w:p>
            <w:r>
              <w:rPr>
                <w:b/>
                <w:bCs/>
                <w:color w:val="444441"/>
                <w:sz w:val="20"/>
                <w:szCs w:val="20"/>
              </w:rPr>
              <w:t xml:space="preserve">Analista de RRHH</w:t>
            </w:r>
          </w:p>
        </w:tc>
        <w:tc>
          <w:tcPr>
            <w:tcW w:type="dxa" w:w="6550"/>
            <w:tcMar>
              <w:top w:type="dxa" w:w="100"/>
              <w:left w:type="dxa" w:w="120"/>
              <w:bottom w:type="dxa" w:w="100"/>
              <w:right w:type="dxa" w:w="120"/>
            </w:tcMar>
            <w:vAlign w:val="center"/>
          </w:tcPr>
          <w:p>
            <w:r>
              <w:rPr>
                <w:b w:val="false"/>
                <w:bCs w:val="false"/>
                <w:color w:val="444441"/>
                <w:sz w:val="20"/>
                <w:szCs w:val="20"/>
              </w:rPr>
              <w:t xml:space="preserve">Resuelve los casos escalados por complejidad, sensibilidad o excepción.</w:t>
            </w:r>
          </w:p>
        </w:tc>
      </w:tr>
      <w:tr>
        <w:tc>
          <w:tcPr>
            <w:tcW w:type="dxa" w:w="2800"/>
            <w:shd w:fill="F2F2F2" w:color="F2F2F2" w:val="clear"/>
            <w:tcMar>
              <w:top w:type="dxa" w:w="100"/>
              <w:left w:type="dxa" w:w="120"/>
              <w:bottom w:type="dxa" w:w="100"/>
              <w:right w:type="dxa" w:w="120"/>
            </w:tcMar>
            <w:vAlign w:val="center"/>
          </w:tcPr>
          <w:p>
            <w:r>
              <w:rPr>
                <w:b/>
                <w:bCs/>
                <w:color w:val="444441"/>
                <w:sz w:val="20"/>
                <w:szCs w:val="20"/>
              </w:rPr>
              <w:t xml:space="preserve">Compliance / Seguridad</w:t>
            </w:r>
          </w:p>
        </w:tc>
        <w:tc>
          <w:tcPr>
            <w:tcW w:type="dxa" w:w="6550"/>
            <w:shd w:fill="F2F2F2" w:color="F2F2F2" w:val="clear"/>
            <w:tcMar>
              <w:top w:type="dxa" w:w="100"/>
              <w:left w:type="dxa" w:w="120"/>
              <w:bottom w:type="dxa" w:w="100"/>
              <w:right w:type="dxa" w:w="120"/>
            </w:tcMar>
            <w:vAlign w:val="center"/>
          </w:tcPr>
          <w:p>
            <w:r>
              <w:rPr>
                <w:b w:val="false"/>
                <w:bCs w:val="false"/>
                <w:color w:val="444441"/>
                <w:sz w:val="20"/>
                <w:szCs w:val="20"/>
              </w:rPr>
              <w:t xml:space="preserve">Define y audita las reglas de acceso a datos sensibles y el cumplimiento normativo.</w:t>
            </w:r>
          </w:p>
        </w:tc>
      </w:tr>
    </w:tbl>
    <w:p>
      <w:pPr>
        <w:pStyle w:val="Heading1"/>
        <w:pBdr>
          <w:bottom w:val="single" w:color="1F3864" w:sz="6" w:space="4"/>
        </w:pBdr>
        <w:spacing w:after="200" w:before="400"/>
      </w:pPr>
      <w:r>
        <w:rPr>
          <w:b/>
          <w:bCs/>
          <w:color w:val="1F3864"/>
        </w:rPr>
        <w:t xml:space="preserve">4. </w:t>
      </w:r>
      <w:r>
        <w:rPr>
          <w:b/>
          <w:bCs/>
          <w:color w:val="1F3864"/>
        </w:rPr>
        <w:t xml:space="preserve">Flujo del proceso</w:t>
      </w:r>
    </w:p>
    <w:p>
      <w:pPr>
        <w:spacing w:after="160" w:line="300"/>
      </w:pPr>
      <w:r>
        <w:rPr>
          <w:color w:val="444441"/>
        </w:rPr>
        <w:t xml:space="preserve">El proceso se estructura en seis etapas secuenciales, con una bifurcación de resolución automática o escalamiento en función de la complejidad y sensibilidad del caso.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50"/>
      </w:tblGrid>
      <w:tr>
        <w:trPr>
          <w:tblHeader/>
        </w:trPr>
        <w:tc>
          <w:tcPr>
            <w:tcW w:type="dxa" w:w="700"/>
            <w:shd w:fill="1F3864" w:color="1F3864" w:val="clear"/>
            <w:tcMar>
              <w:top w:type="dxa" w:w="100"/>
              <w:left w:type="dxa" w:w="120"/>
              <w:bottom w:type="dxa" w:w="100"/>
              <w:right w:type="dxa" w:w="120"/>
            </w:tcMar>
            <w:vAlign w:val="center"/>
          </w:tcPr>
          <w:p>
            <w:r>
              <w:rPr>
                <w:b/>
                <w:bCs/>
                <w:color w:val="FFFFFF"/>
                <w:sz w:val="20"/>
                <w:szCs w:val="20"/>
              </w:rPr>
              <w:t xml:space="preserve">N°</w:t>
            </w:r>
          </w:p>
        </w:tc>
        <w:tc>
          <w:tcPr>
            <w:tcW w:type="dxa" w:w="2600"/>
            <w:shd w:fill="1F3864" w:color="1F3864" w:val="clear"/>
            <w:tcMar>
              <w:top w:type="dxa" w:w="100"/>
              <w:left w:type="dxa" w:w="120"/>
              <w:bottom w:type="dxa" w:w="100"/>
              <w:right w:type="dxa" w:w="120"/>
            </w:tcMar>
            <w:vAlign w:val="center"/>
          </w:tcPr>
          <w:p>
            <w:r>
              <w:rPr>
                <w:b/>
                <w:bCs/>
                <w:color w:val="FFFFFF"/>
                <w:sz w:val="20"/>
                <w:szCs w:val="20"/>
              </w:rPr>
              <w:t xml:space="preserve">Etapa</w:t>
            </w:r>
          </w:p>
        </w:tc>
        <w:tc>
          <w:tcPr>
            <w:tcW w:type="dxa" w:w="6050"/>
            <w:shd w:fill="1F3864" w:color="1F3864" w:val="clear"/>
            <w:tcMar>
              <w:top w:type="dxa" w:w="100"/>
              <w:left w:type="dxa" w:w="120"/>
              <w:bottom w:type="dxa" w:w="100"/>
              <w:right w:type="dxa" w:w="120"/>
            </w:tcMar>
            <w:vAlign w:val="center"/>
          </w:tcPr>
          <w:p>
            <w:r>
              <w:rPr>
                <w:b/>
                <w:bCs/>
                <w:color w:val="FFFFFF"/>
                <w:sz w:val="20"/>
                <w:szCs w:val="20"/>
              </w:rPr>
              <w:t xml:space="preserve">Descripción</w:t>
            </w:r>
          </w:p>
        </w:tc>
      </w:tr>
      <w:tr>
        <w:tc>
          <w:tcPr>
            <w:tcW w:type="dxa" w:w="700"/>
            <w:tcMar>
              <w:top w:type="dxa" w:w="100"/>
              <w:left w:type="dxa" w:w="120"/>
              <w:bottom w:type="dxa" w:w="100"/>
              <w:right w:type="dxa" w:w="120"/>
            </w:tcMar>
            <w:vAlign w:val="center"/>
          </w:tcPr>
          <w:p>
            <w:r>
              <w:rPr>
                <w:b/>
                <w:bCs/>
                <w:color w:val="444441"/>
                <w:sz w:val="20"/>
                <w:szCs w:val="20"/>
              </w:rPr>
              <w:t xml:space="preserve">1</w:t>
            </w:r>
          </w:p>
        </w:tc>
        <w:tc>
          <w:tcPr>
            <w:tcW w:type="dxa" w:w="2600"/>
            <w:tcMar>
              <w:top w:type="dxa" w:w="100"/>
              <w:left w:type="dxa" w:w="120"/>
              <w:bottom w:type="dxa" w:w="100"/>
              <w:right w:type="dxa" w:w="120"/>
            </w:tcMar>
            <w:vAlign w:val="center"/>
          </w:tcPr>
          <w:p>
            <w:r>
              <w:rPr>
                <w:b/>
                <w:bCs/>
                <w:color w:val="444441"/>
                <w:sz w:val="20"/>
                <w:szCs w:val="20"/>
              </w:rPr>
              <w:t xml:space="preserve">Solicitud del colaborador</w:t>
            </w:r>
          </w:p>
        </w:tc>
        <w:tc>
          <w:tcPr>
            <w:tcW w:type="dxa" w:w="6050"/>
            <w:tcMar>
              <w:top w:type="dxa" w:w="100"/>
              <w:left w:type="dxa" w:w="120"/>
              <w:bottom w:type="dxa" w:w="100"/>
              <w:right w:type="dxa" w:w="120"/>
            </w:tcMar>
            <w:vAlign w:val="center"/>
          </w:tcPr>
          <w:p>
            <w:r>
              <w:rPr>
                <w:b w:val="false"/>
                <w:bCs w:val="false"/>
                <w:color w:val="444441"/>
                <w:sz w:val="20"/>
                <w:szCs w:val="20"/>
              </w:rPr>
              <w:t xml:space="preserve">El colaborador inicia contacto por el canal disponible (chat corporativo, portal RRHH, WhatsApp Business). El agente identifica el canal y registra el inicio de sesión.</w:t>
            </w:r>
          </w:p>
        </w:tc>
      </w:tr>
      <w:tr>
        <w:tc>
          <w:tcPr>
            <w:tcW w:type="dxa" w:w="700"/>
            <w:shd w:fill="F2F2F2" w:color="F2F2F2" w:val="clear"/>
            <w:tcMar>
              <w:top w:type="dxa" w:w="100"/>
              <w:left w:type="dxa" w:w="120"/>
              <w:bottom w:type="dxa" w:w="100"/>
              <w:right w:type="dxa" w:w="120"/>
            </w:tcMar>
            <w:vAlign w:val="center"/>
          </w:tcPr>
          <w:p>
            <w:r>
              <w:rPr>
                <w:b/>
                <w:bCs/>
                <w:color w:val="444441"/>
                <w:sz w:val="20"/>
                <w:szCs w:val="20"/>
              </w:rPr>
              <w:t xml:space="preserve">2</w:t>
            </w:r>
          </w:p>
        </w:tc>
        <w:tc>
          <w:tcPr>
            <w:tcW w:type="dxa" w:w="2600"/>
            <w:shd w:fill="F2F2F2" w:color="F2F2F2" w:val="clear"/>
            <w:tcMar>
              <w:top w:type="dxa" w:w="100"/>
              <w:left w:type="dxa" w:w="120"/>
              <w:bottom w:type="dxa" w:w="100"/>
              <w:right w:type="dxa" w:w="120"/>
            </w:tcMar>
            <w:vAlign w:val="center"/>
          </w:tcPr>
          <w:p>
            <w:r>
              <w:rPr>
                <w:b/>
                <w:bCs/>
                <w:color w:val="444441"/>
                <w:sz w:val="20"/>
                <w:szCs w:val="20"/>
              </w:rPr>
              <w:t xml:space="preserve">Autenticación e identidad</w:t>
            </w:r>
          </w:p>
        </w:tc>
        <w:tc>
          <w:tcPr>
            <w:tcW w:type="dxa" w:w="6050"/>
            <w:shd w:fill="F2F2F2" w:color="F2F2F2" w:val="clear"/>
            <w:tcMar>
              <w:top w:type="dxa" w:w="100"/>
              <w:left w:type="dxa" w:w="120"/>
              <w:bottom w:type="dxa" w:w="100"/>
              <w:right w:type="dxa" w:w="120"/>
            </w:tcMar>
            <w:vAlign w:val="center"/>
          </w:tcPr>
          <w:p>
            <w:r>
              <w:rPr>
                <w:b w:val="false"/>
                <w:bCs w:val="false"/>
                <w:color w:val="444441"/>
                <w:sz w:val="20"/>
                <w:szCs w:val="20"/>
              </w:rPr>
              <w:t xml:space="preserve">Validación de identidad vía SSO corporativo + MFA cuando la consulta involucra datos sensibles (salud, ingresos, pensión). Sin autenticación válida solo se responden preguntas genéricas.</w:t>
            </w:r>
          </w:p>
        </w:tc>
      </w:tr>
      <w:tr>
        <w:tc>
          <w:tcPr>
            <w:tcW w:type="dxa" w:w="700"/>
            <w:tcMar>
              <w:top w:type="dxa" w:w="100"/>
              <w:left w:type="dxa" w:w="120"/>
              <w:bottom w:type="dxa" w:w="100"/>
              <w:right w:type="dxa" w:w="120"/>
            </w:tcMar>
            <w:vAlign w:val="center"/>
          </w:tcPr>
          <w:p>
            <w:r>
              <w:rPr>
                <w:b/>
                <w:bCs/>
                <w:color w:val="444441"/>
                <w:sz w:val="20"/>
                <w:szCs w:val="20"/>
              </w:rPr>
              <w:t xml:space="preserve">3</w:t>
            </w:r>
          </w:p>
        </w:tc>
        <w:tc>
          <w:tcPr>
            <w:tcW w:type="dxa" w:w="2600"/>
            <w:tcMar>
              <w:top w:type="dxa" w:w="100"/>
              <w:left w:type="dxa" w:w="120"/>
              <w:bottom w:type="dxa" w:w="100"/>
              <w:right w:type="dxa" w:w="120"/>
            </w:tcMar>
            <w:vAlign w:val="center"/>
          </w:tcPr>
          <w:p>
            <w:r>
              <w:rPr>
                <w:b/>
                <w:bCs/>
                <w:color w:val="444441"/>
                <w:sz w:val="20"/>
                <w:szCs w:val="20"/>
              </w:rPr>
              <w:t xml:space="preserve">Detección de intención (NLU)</w:t>
            </w:r>
          </w:p>
        </w:tc>
        <w:tc>
          <w:tcPr>
            <w:tcW w:type="dxa" w:w="6050"/>
            <w:tcMar>
              <w:top w:type="dxa" w:w="100"/>
              <w:left w:type="dxa" w:w="120"/>
              <w:bottom w:type="dxa" w:w="100"/>
              <w:right w:type="dxa" w:w="120"/>
            </w:tcMar>
            <w:vAlign w:val="center"/>
          </w:tcPr>
          <w:p>
            <w:r>
              <w:rPr>
                <w:b w:val="false"/>
                <w:bCs w:val="false"/>
                <w:color w:val="444441"/>
                <w:sz w:val="20"/>
                <w:szCs w:val="20"/>
              </w:rPr>
              <w:t xml:space="preserve">El motor de lenguaje natural clasifica la solicitud dentro de un catálogo cerrado de intenciones predefinidas.</w:t>
            </w:r>
          </w:p>
        </w:tc>
      </w:tr>
      <w:tr>
        <w:tc>
          <w:tcPr>
            <w:tcW w:type="dxa" w:w="700"/>
            <w:shd w:fill="F2F2F2" w:color="F2F2F2" w:val="clear"/>
            <w:tcMar>
              <w:top w:type="dxa" w:w="100"/>
              <w:left w:type="dxa" w:w="120"/>
              <w:bottom w:type="dxa" w:w="100"/>
              <w:right w:type="dxa" w:w="120"/>
            </w:tcMar>
            <w:vAlign w:val="center"/>
          </w:tcPr>
          <w:p>
            <w:r>
              <w:rPr>
                <w:b/>
                <w:bCs/>
                <w:color w:val="444441"/>
                <w:sz w:val="20"/>
                <w:szCs w:val="20"/>
              </w:rPr>
              <w:t xml:space="preserve">4</w:t>
            </w:r>
          </w:p>
        </w:tc>
        <w:tc>
          <w:tcPr>
            <w:tcW w:type="dxa" w:w="2600"/>
            <w:shd w:fill="F2F2F2" w:color="F2F2F2" w:val="clear"/>
            <w:tcMar>
              <w:top w:type="dxa" w:w="100"/>
              <w:left w:type="dxa" w:w="120"/>
              <w:bottom w:type="dxa" w:w="100"/>
              <w:right w:type="dxa" w:w="120"/>
            </w:tcMar>
            <w:vAlign w:val="center"/>
          </w:tcPr>
          <w:p>
            <w:r>
              <w:rPr>
                <w:b/>
                <w:bCs/>
                <w:color w:val="444441"/>
                <w:sz w:val="20"/>
                <w:szCs w:val="20"/>
              </w:rPr>
              <w:t xml:space="preserve">Evaluación de complejidad y sensibilidad</w:t>
            </w:r>
          </w:p>
        </w:tc>
        <w:tc>
          <w:tcPr>
            <w:tcW w:type="dxa" w:w="6050"/>
            <w:shd w:fill="F2F2F2" w:color="F2F2F2" w:val="clear"/>
            <w:tcMar>
              <w:top w:type="dxa" w:w="100"/>
              <w:left w:type="dxa" w:w="120"/>
              <w:bottom w:type="dxa" w:w="100"/>
              <w:right w:type="dxa" w:w="120"/>
            </w:tcMar>
            <w:vAlign w:val="center"/>
          </w:tcPr>
          <w:p>
            <w:r>
              <w:rPr>
                <w:b w:val="false"/>
                <w:bCs w:val="false"/>
                <w:color w:val="444441"/>
                <w:sz w:val="20"/>
                <w:szCs w:val="20"/>
              </w:rPr>
              <w:t xml:space="preserve">Reglas de negocio determinan si el caso es automatizable o si debe escalarse a un analista humano.</w:t>
            </w:r>
          </w:p>
        </w:tc>
      </w:tr>
      <w:tr>
        <w:tc>
          <w:tcPr>
            <w:tcW w:type="dxa" w:w="700"/>
            <w:tcMar>
              <w:top w:type="dxa" w:w="100"/>
              <w:left w:type="dxa" w:w="120"/>
              <w:bottom w:type="dxa" w:w="100"/>
              <w:right w:type="dxa" w:w="120"/>
            </w:tcMar>
            <w:vAlign w:val="center"/>
          </w:tcPr>
          <w:p>
            <w:r>
              <w:rPr>
                <w:b/>
                <w:bCs/>
                <w:color w:val="444441"/>
                <w:sz w:val="20"/>
                <w:szCs w:val="20"/>
              </w:rPr>
              <w:t xml:space="preserve">5a</w:t>
            </w:r>
          </w:p>
        </w:tc>
        <w:tc>
          <w:tcPr>
            <w:tcW w:type="dxa" w:w="2600"/>
            <w:tcMar>
              <w:top w:type="dxa" w:w="100"/>
              <w:left w:type="dxa" w:w="120"/>
              <w:bottom w:type="dxa" w:w="100"/>
              <w:right w:type="dxa" w:w="120"/>
            </w:tcMar>
            <w:vAlign w:val="center"/>
          </w:tcPr>
          <w:p>
            <w:r>
              <w:rPr>
                <w:b/>
                <w:bCs/>
                <w:color w:val="444441"/>
                <w:sz w:val="20"/>
                <w:szCs w:val="20"/>
              </w:rPr>
              <w:t xml:space="preserve">Resolución automática</w:t>
            </w:r>
          </w:p>
        </w:tc>
        <w:tc>
          <w:tcPr>
            <w:tcW w:type="dxa" w:w="6050"/>
            <w:tcMar>
              <w:top w:type="dxa" w:w="100"/>
              <w:left w:type="dxa" w:w="120"/>
              <w:bottom w:type="dxa" w:w="100"/>
              <w:right w:type="dxa" w:w="120"/>
            </w:tcMar>
            <w:vAlign w:val="center"/>
          </w:tcPr>
          <w:p>
            <w:r>
              <w:rPr>
                <w:b w:val="false"/>
                <w:bCs w:val="false"/>
                <w:color w:val="444441"/>
                <w:sz w:val="20"/>
                <w:szCs w:val="20"/>
              </w:rPr>
              <w:t xml:space="preserve">El agente ejecuta la acción vía integración API con el Core RRHH o el proveedor externo y devuelve el resultado con trazabilidad.</w:t>
            </w:r>
          </w:p>
        </w:tc>
      </w:tr>
      <w:tr>
        <w:tc>
          <w:tcPr>
            <w:tcW w:type="dxa" w:w="700"/>
            <w:shd w:fill="F2F2F2" w:color="F2F2F2" w:val="clear"/>
            <w:tcMar>
              <w:top w:type="dxa" w:w="100"/>
              <w:left w:type="dxa" w:w="120"/>
              <w:bottom w:type="dxa" w:w="100"/>
              <w:right w:type="dxa" w:w="120"/>
            </w:tcMar>
            <w:vAlign w:val="center"/>
          </w:tcPr>
          <w:p>
            <w:r>
              <w:rPr>
                <w:b/>
                <w:bCs/>
                <w:color w:val="444441"/>
                <w:sz w:val="20"/>
                <w:szCs w:val="20"/>
              </w:rPr>
              <w:t xml:space="preserve">5b</w:t>
            </w:r>
          </w:p>
        </w:tc>
        <w:tc>
          <w:tcPr>
            <w:tcW w:type="dxa" w:w="2600"/>
            <w:shd w:fill="F2F2F2" w:color="F2F2F2" w:val="clear"/>
            <w:tcMar>
              <w:top w:type="dxa" w:w="100"/>
              <w:left w:type="dxa" w:w="120"/>
              <w:bottom w:type="dxa" w:w="100"/>
              <w:right w:type="dxa" w:w="120"/>
            </w:tcMar>
            <w:vAlign w:val="center"/>
          </w:tcPr>
          <w:p>
            <w:r>
              <w:rPr>
                <w:b/>
                <w:bCs/>
                <w:color w:val="444441"/>
                <w:sz w:val="20"/>
                <w:szCs w:val="20"/>
              </w:rPr>
              <w:t xml:space="preserve">Escalamiento a analista</w:t>
            </w:r>
          </w:p>
        </w:tc>
        <w:tc>
          <w:tcPr>
            <w:tcW w:type="dxa" w:w="6050"/>
            <w:shd w:fill="F2F2F2" w:color="F2F2F2" w:val="clear"/>
            <w:tcMar>
              <w:top w:type="dxa" w:w="100"/>
              <w:left w:type="dxa" w:w="120"/>
              <w:bottom w:type="dxa" w:w="100"/>
              <w:right w:type="dxa" w:w="120"/>
            </w:tcMar>
            <w:vAlign w:val="center"/>
          </w:tcPr>
          <w:p>
            <w:r>
              <w:rPr>
                <w:b w:val="false"/>
                <w:bCs w:val="false"/>
                <w:color w:val="444441"/>
                <w:sz w:val="20"/>
                <w:szCs w:val="20"/>
              </w:rPr>
              <w:t xml:space="preserve">El agente arma un resumen estructurado del caso y lo transfiere a un analista humano, evitando que el colaborador repita información.</w:t>
            </w:r>
          </w:p>
        </w:tc>
      </w:tr>
      <w:tr>
        <w:tc>
          <w:tcPr>
            <w:tcW w:type="dxa" w:w="700"/>
            <w:tcMar>
              <w:top w:type="dxa" w:w="100"/>
              <w:left w:type="dxa" w:w="120"/>
              <w:bottom w:type="dxa" w:w="100"/>
              <w:right w:type="dxa" w:w="120"/>
            </w:tcMar>
            <w:vAlign w:val="center"/>
          </w:tcPr>
          <w:p>
            <w:r>
              <w:rPr>
                <w:b/>
                <w:bCs/>
                <w:color w:val="444441"/>
                <w:sz w:val="20"/>
                <w:szCs w:val="20"/>
              </w:rPr>
              <w:t xml:space="preserve">6</w:t>
            </w:r>
          </w:p>
        </w:tc>
        <w:tc>
          <w:tcPr>
            <w:tcW w:type="dxa" w:w="2600"/>
            <w:tcMar>
              <w:top w:type="dxa" w:w="100"/>
              <w:left w:type="dxa" w:w="120"/>
              <w:bottom w:type="dxa" w:w="100"/>
              <w:right w:type="dxa" w:w="120"/>
            </w:tcMar>
            <w:vAlign w:val="center"/>
          </w:tcPr>
          <w:p>
            <w:r>
              <w:rPr>
                <w:b/>
                <w:bCs/>
                <w:color w:val="444441"/>
                <w:sz w:val="20"/>
                <w:szCs w:val="20"/>
              </w:rPr>
              <w:t xml:space="preserve">Confirmación y cierre</w:t>
            </w:r>
          </w:p>
        </w:tc>
        <w:tc>
          <w:tcPr>
            <w:tcW w:type="dxa" w:w="6050"/>
            <w:tcMar>
              <w:top w:type="dxa" w:w="100"/>
              <w:left w:type="dxa" w:w="120"/>
              <w:bottom w:type="dxa" w:w="100"/>
              <w:right w:type="dxa" w:w="120"/>
            </w:tcMar>
            <w:vAlign w:val="center"/>
          </w:tcPr>
          <w:p>
            <w:r>
              <w:rPr>
                <w:b w:val="false"/>
                <w:bCs w:val="false"/>
                <w:color w:val="444441"/>
                <w:sz w:val="20"/>
                <w:szCs w:val="20"/>
              </w:rPr>
              <w:t xml:space="preserve">Se notifica el resultado al colaborador, se registra el caso en el log de auditoría y se solicita una calificación de satisfacción (CSAT).</w:t>
            </w:r>
          </w:p>
        </w:tc>
      </w:tr>
    </w:tbl>
    <w:p>
      <w:pPr>
        <w:spacing w:after="160" w:line="300"/>
      </w:pPr>
      <w:r>
        <w:rPr>
          <w:color w:val="444441"/>
        </w:rPr>
        <w:t xml:space="preserve"> </w:t>
      </w:r>
    </w:p>
    <w:p>
      <w:pPr>
        <w:spacing w:after="160" w:line="300"/>
      </w:pPr>
      <w:r>
        <w:rPr>
          <w:color w:val="444441"/>
        </w:rPr>
        <w:t xml:space="preserve">Catálogo de intenciones cubiertas por el agente (ejemplos representativos):</w:t>
      </w:r>
    </w:p>
    <w:p>
      <w:pPr>
        <w:pStyle w:val="ListParagraph"/>
        <w:numPr>
          <w:ilvl w:val="0"/>
          <w:numId w:val="2"/>
        </w:numPr>
        <w:spacing w:after="80" w:line="280"/>
      </w:pPr>
      <w:r>
        <w:rPr>
          <w:color w:val="444441"/>
        </w:rPr>
        <w:t xml:space="preserve">Consulta de saldo o estado de un beneficio (seguro médico, fondo de pensión voluntario).</w:t>
      </w:r>
    </w:p>
    <w:p>
      <w:pPr>
        <w:pStyle w:val="ListParagraph"/>
        <w:numPr>
          <w:ilvl w:val="0"/>
          <w:numId w:val="2"/>
        </w:numPr>
        <w:spacing w:after="80" w:line="280"/>
      </w:pPr>
      <w:r>
        <w:rPr>
          <w:color w:val="444441"/>
        </w:rPr>
        <w:t xml:space="preserve">Solicitud de certificado o constancia laboral.</w:t>
      </w:r>
    </w:p>
    <w:p>
      <w:pPr>
        <w:pStyle w:val="ListParagraph"/>
        <w:numPr>
          <w:ilvl w:val="0"/>
          <w:numId w:val="2"/>
        </w:numPr>
        <w:spacing w:after="80" w:line="280"/>
      </w:pPr>
      <w:r>
        <w:rPr>
          <w:color w:val="444441"/>
        </w:rPr>
        <w:t xml:space="preserve">Actualización de beneficiarios o dependientes.</w:t>
      </w:r>
    </w:p>
    <w:p>
      <w:pPr>
        <w:pStyle w:val="ListParagraph"/>
        <w:numPr>
          <w:ilvl w:val="0"/>
          <w:numId w:val="2"/>
        </w:numPr>
        <w:spacing w:after="80" w:line="280"/>
      </w:pPr>
      <w:r>
        <w:rPr>
          <w:color w:val="444441"/>
        </w:rPr>
        <w:t xml:space="preserve">Simulación de crédito preferencial para colaboradores.</w:t>
      </w:r>
    </w:p>
    <w:p>
      <w:pPr>
        <w:pStyle w:val="ListParagraph"/>
        <w:numPr>
          <w:ilvl w:val="0"/>
          <w:numId w:val="2"/>
        </w:numPr>
        <w:spacing w:after="80" w:line="280"/>
      </w:pPr>
      <w:r>
        <w:rPr>
          <w:color w:val="444441"/>
        </w:rPr>
        <w:t xml:space="preserve">Reclamo o reembolso de gasto médico.</w:t>
      </w:r>
    </w:p>
    <w:p>
      <w:pPr>
        <w:pStyle w:val="ListParagraph"/>
        <w:numPr>
          <w:ilvl w:val="0"/>
          <w:numId w:val="2"/>
        </w:numPr>
        <w:spacing w:after="80" w:line="280"/>
      </w:pPr>
      <w:r>
        <w:rPr>
          <w:color w:val="444441"/>
        </w:rPr>
        <w:t xml:space="preserve">Consulta de días de licencia o vacaciones disponibles.</w:t>
      </w:r>
    </w:p>
    <w:p>
      <w:pPr>
        <w:pStyle w:val="Heading1"/>
        <w:pBdr>
          <w:bottom w:val="single" w:color="1F3864" w:sz="6" w:space="4"/>
        </w:pBdr>
        <w:spacing w:after="200" w:before="400"/>
      </w:pPr>
      <w:r>
        <w:rPr>
          <w:b/>
          <w:bCs/>
          <w:color w:val="1F3864"/>
        </w:rPr>
        <w:t xml:space="preserve">5. </w:t>
      </w:r>
      <w:r>
        <w:rPr>
          <w:b/>
          <w:bCs/>
          <w:color w:val="1F3864"/>
        </w:rPr>
        <w:t xml:space="preserve">Reglas de negocio clave</w:t>
      </w:r>
    </w:p>
    <w:p>
      <w:pPr>
        <w:pStyle w:val="ListParagraph"/>
        <w:numPr>
          <w:ilvl w:val="0"/>
          <w:numId w:val="2"/>
        </w:numPr>
        <w:spacing w:after="80" w:line="280"/>
      </w:pPr>
      <w:r>
        <w:rPr>
          <w:color w:val="444441"/>
        </w:rPr>
        <w:t xml:space="preserve">Principio de mínimo privilegio: el agente solo accede a los datos del colaborador autenticado, nunca a datos de terceros.</w:t>
      </w:r>
    </w:p>
    <w:p>
      <w:pPr>
        <w:pStyle w:val="ListParagraph"/>
        <w:numPr>
          <w:ilvl w:val="0"/>
          <w:numId w:val="2"/>
        </w:numPr>
        <w:spacing w:after="80" w:line="280"/>
      </w:pPr>
      <w:r>
        <w:rPr>
          <w:color w:val="444441"/>
        </w:rPr>
        <w:t xml:space="preserve">Trazabilidad total: cada interacción genera un registro con la intención detectada, los datos consultados o modificados y el resultado.</w:t>
      </w:r>
    </w:p>
    <w:p>
      <w:pPr>
        <w:pStyle w:val="ListParagraph"/>
        <w:numPr>
          <w:ilvl w:val="0"/>
          <w:numId w:val="2"/>
        </w:numPr>
        <w:spacing w:after="80" w:line="280"/>
      </w:pPr>
      <w:r>
        <w:rPr>
          <w:color w:val="444441"/>
        </w:rPr>
        <w:t xml:space="preserve">Doble validación en cambios sensibles: modificar beneficiarios o cuentas bancarias requiere confirmación adicional (OTP) aunque el usuario ya esté autenticado.</w:t>
      </w:r>
    </w:p>
    <w:p>
      <w:pPr>
        <w:pStyle w:val="ListParagraph"/>
        <w:numPr>
          <w:ilvl w:val="0"/>
          <w:numId w:val="2"/>
        </w:numPr>
        <w:spacing w:after="80" w:line="280"/>
      </w:pPr>
      <w:r>
        <w:rPr>
          <w:color w:val="444441"/>
        </w:rPr>
        <w:t xml:space="preserve">Fallback a humano: si el agente no logra clasificar la intención tras dos intentos, escala automáticamente a un analista.</w:t>
      </w:r>
    </w:p>
    <w:p>
      <w:pPr>
        <w:pStyle w:val="Heading1"/>
        <w:pBdr>
          <w:bottom w:val="single" w:color="1F3864" w:sz="6" w:space="4"/>
        </w:pBdr>
        <w:spacing w:after="200" w:before="400"/>
      </w:pPr>
      <w:r>
        <w:rPr>
          <w:b/>
          <w:bCs/>
          <w:color w:val="1F3864"/>
        </w:rPr>
        <w:t xml:space="preserve">6. </w:t>
      </w:r>
      <w:r>
        <w:rPr>
          <w:b/>
          <w:bCs/>
          <w:color w:val="1F3864"/>
        </w:rPr>
        <w:t xml:space="preserve">Indicadores de éxito (KPI)</w:t>
      </w:r>
    </w:p>
    <w:p>
      <w:pPr>
        <w:spacing w:after="160" w:line="300"/>
      </w:pPr>
      <w:r>
        <w:rPr>
          <w:color w:val="444441"/>
        </w:rPr>
        <w:t xml:space="preserve">El desempeño del proceso se medirá con los siguientes indicadores, revisados mensualmente durante los primeros seis meses de operación.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color="1F3864" w:val="clear"/>
            <w:tcMar>
              <w:top w:type="dxa" w:w="100"/>
              <w:left w:type="dxa" w:w="120"/>
              <w:bottom w:type="dxa" w:w="100"/>
              <w:right w:type="dxa" w:w="120"/>
            </w:tcMar>
            <w:vAlign w:val="center"/>
          </w:tcPr>
          <w:p>
            <w:r>
              <w:rPr>
                <w:b/>
                <w:bCs/>
                <w:color w:val="FFFFFF"/>
                <w:sz w:val="20"/>
                <w:szCs w:val="20"/>
              </w:rPr>
              <w:t xml:space="preserve">Indicador</w:t>
            </w:r>
          </w:p>
        </w:tc>
        <w:tc>
          <w:tcPr>
            <w:tcW w:type="dxa" w:w="4000"/>
            <w:shd w:fill="1F3864" w:color="1F3864" w:val="clear"/>
            <w:tcMar>
              <w:top w:type="dxa" w:w="100"/>
              <w:left w:type="dxa" w:w="120"/>
              <w:bottom w:type="dxa" w:w="100"/>
              <w:right w:type="dxa" w:w="120"/>
            </w:tcMar>
            <w:vAlign w:val="center"/>
          </w:tcPr>
          <w:p>
            <w:r>
              <w:rPr>
                <w:b/>
                <w:bCs/>
                <w:color w:val="FFFFFF"/>
                <w:sz w:val="20"/>
                <w:szCs w:val="20"/>
              </w:rPr>
              <w:t xml:space="preserve">Meta orientativa</w:t>
            </w:r>
          </w:p>
        </w:tc>
      </w:tr>
      <w:tr>
        <w:tc>
          <w:tcPr>
            <w:tcW w:type="dxa" w:w="5350"/>
            <w:tcMar>
              <w:top w:type="dxa" w:w="100"/>
              <w:left w:type="dxa" w:w="120"/>
              <w:bottom w:type="dxa" w:w="100"/>
              <w:right w:type="dxa" w:w="120"/>
            </w:tcMar>
            <w:vAlign w:val="center"/>
          </w:tcPr>
          <w:p>
            <w:r>
              <w:rPr>
                <w:b w:val="false"/>
                <w:bCs w:val="false"/>
                <w:color w:val="444441"/>
                <w:sz w:val="20"/>
                <w:szCs w:val="20"/>
              </w:rPr>
              <w:t xml:space="preserve">% de casos resueltos sin intervención humana</w:t>
            </w:r>
          </w:p>
        </w:tc>
        <w:tc>
          <w:tcPr>
            <w:tcW w:type="dxa" w:w="4000"/>
            <w:tcMar>
              <w:top w:type="dxa" w:w="100"/>
              <w:left w:type="dxa" w:w="120"/>
              <w:bottom w:type="dxa" w:w="100"/>
              <w:right w:type="dxa" w:w="120"/>
            </w:tcMar>
            <w:vAlign w:val="center"/>
          </w:tcPr>
          <w:p>
            <w:r>
              <w:rPr>
                <w:b/>
                <w:bCs/>
                <w:color w:val="444441"/>
                <w:sz w:val="20"/>
                <w:szCs w:val="20"/>
              </w:rPr>
              <w:t xml:space="preserve">&gt; 70 %</w:t>
            </w:r>
          </w:p>
        </w:tc>
      </w:tr>
      <w:tr>
        <w:tc>
          <w:tcPr>
            <w:tcW w:type="dxa" w:w="5350"/>
            <w:shd w:fill="F2F2F2" w:color="F2F2F2" w:val="clear"/>
            <w:tcMar>
              <w:top w:type="dxa" w:w="100"/>
              <w:left w:type="dxa" w:w="120"/>
              <w:bottom w:type="dxa" w:w="100"/>
              <w:right w:type="dxa" w:w="120"/>
            </w:tcMar>
            <w:vAlign w:val="center"/>
          </w:tcPr>
          <w:p>
            <w:r>
              <w:rPr>
                <w:b w:val="false"/>
                <w:bCs w:val="false"/>
                <w:color w:val="444441"/>
                <w:sz w:val="20"/>
                <w:szCs w:val="20"/>
              </w:rPr>
              <w:t xml:space="preserve">Tiempo promedio de resolución (ruta automática)</w:t>
            </w:r>
          </w:p>
        </w:tc>
        <w:tc>
          <w:tcPr>
            <w:tcW w:type="dxa" w:w="4000"/>
            <w:shd w:fill="F2F2F2" w:color="F2F2F2" w:val="clear"/>
            <w:tcMar>
              <w:top w:type="dxa" w:w="100"/>
              <w:left w:type="dxa" w:w="120"/>
              <w:bottom w:type="dxa" w:w="100"/>
              <w:right w:type="dxa" w:w="120"/>
            </w:tcMar>
            <w:vAlign w:val="center"/>
          </w:tcPr>
          <w:p>
            <w:r>
              <w:rPr>
                <w:b/>
                <w:bCs/>
                <w:color w:val="444441"/>
                <w:sz w:val="20"/>
                <w:szCs w:val="20"/>
              </w:rPr>
              <w:t xml:space="preserve">&lt; 2 minutos</w:t>
            </w:r>
          </w:p>
        </w:tc>
      </w:tr>
      <w:tr>
        <w:tc>
          <w:tcPr>
            <w:tcW w:type="dxa" w:w="5350"/>
            <w:tcMar>
              <w:top w:type="dxa" w:w="100"/>
              <w:left w:type="dxa" w:w="120"/>
              <w:bottom w:type="dxa" w:w="100"/>
              <w:right w:type="dxa" w:w="120"/>
            </w:tcMar>
            <w:vAlign w:val="center"/>
          </w:tcPr>
          <w:p>
            <w:r>
              <w:rPr>
                <w:b w:val="false"/>
                <w:bCs w:val="false"/>
                <w:color w:val="444441"/>
                <w:sz w:val="20"/>
                <w:szCs w:val="20"/>
              </w:rPr>
              <w:t xml:space="preserve">Tasa de escalamiento por error de clasificación</w:t>
            </w:r>
          </w:p>
        </w:tc>
        <w:tc>
          <w:tcPr>
            <w:tcW w:type="dxa" w:w="4000"/>
            <w:tcMar>
              <w:top w:type="dxa" w:w="100"/>
              <w:left w:type="dxa" w:w="120"/>
              <w:bottom w:type="dxa" w:w="100"/>
              <w:right w:type="dxa" w:w="120"/>
            </w:tcMar>
            <w:vAlign w:val="center"/>
          </w:tcPr>
          <w:p>
            <w:r>
              <w:rPr>
                <w:b/>
                <w:bCs/>
                <w:color w:val="444441"/>
                <w:sz w:val="20"/>
                <w:szCs w:val="20"/>
              </w:rPr>
              <w:t xml:space="preserve">&lt; 5 %</w:t>
            </w:r>
          </w:p>
        </w:tc>
      </w:tr>
      <w:tr>
        <w:tc>
          <w:tcPr>
            <w:tcW w:type="dxa" w:w="5350"/>
            <w:shd w:fill="F2F2F2" w:color="F2F2F2" w:val="clear"/>
            <w:tcMar>
              <w:top w:type="dxa" w:w="100"/>
              <w:left w:type="dxa" w:w="120"/>
              <w:bottom w:type="dxa" w:w="100"/>
              <w:right w:type="dxa" w:w="120"/>
            </w:tcMar>
            <w:vAlign w:val="center"/>
          </w:tcPr>
          <w:p>
            <w:r>
              <w:rPr>
                <w:b w:val="false"/>
                <w:bCs w:val="false"/>
                <w:color w:val="444441"/>
                <w:sz w:val="20"/>
                <w:szCs w:val="20"/>
              </w:rPr>
              <w:t xml:space="preserve">Satisfacción del colaborador (CSAT)</w:t>
            </w:r>
          </w:p>
        </w:tc>
        <w:tc>
          <w:tcPr>
            <w:tcW w:type="dxa" w:w="4000"/>
            <w:shd w:fill="F2F2F2" w:color="F2F2F2" w:val="clear"/>
            <w:tcMar>
              <w:top w:type="dxa" w:w="100"/>
              <w:left w:type="dxa" w:w="120"/>
              <w:bottom w:type="dxa" w:w="100"/>
              <w:right w:type="dxa" w:w="120"/>
            </w:tcMar>
            <w:vAlign w:val="center"/>
          </w:tcPr>
          <w:p>
            <w:r>
              <w:rPr>
                <w:b/>
                <w:bCs/>
                <w:color w:val="444441"/>
                <w:sz w:val="20"/>
                <w:szCs w:val="20"/>
              </w:rPr>
              <w:t xml:space="preserve">&gt; 4.2 / 5</w:t>
            </w:r>
          </w:p>
        </w:tc>
      </w:tr>
      <w:tr>
        <w:tc>
          <w:tcPr>
            <w:tcW w:type="dxa" w:w="5350"/>
            <w:tcMar>
              <w:top w:type="dxa" w:w="100"/>
              <w:left w:type="dxa" w:w="120"/>
              <w:bottom w:type="dxa" w:w="100"/>
              <w:right w:type="dxa" w:w="120"/>
            </w:tcMar>
            <w:vAlign w:val="center"/>
          </w:tcPr>
          <w:p>
            <w:r>
              <w:rPr>
                <w:b w:val="false"/>
                <w:bCs w:val="false"/>
                <w:color w:val="444441"/>
                <w:sz w:val="20"/>
                <w:szCs w:val="20"/>
              </w:rPr>
              <w:t xml:space="preserve">Incidentes de seguridad o fuga de datos</w:t>
            </w:r>
          </w:p>
        </w:tc>
        <w:tc>
          <w:tcPr>
            <w:tcW w:type="dxa" w:w="4000"/>
            <w:tcMar>
              <w:top w:type="dxa" w:w="100"/>
              <w:left w:type="dxa" w:w="120"/>
              <w:bottom w:type="dxa" w:w="100"/>
              <w:right w:type="dxa" w:w="120"/>
            </w:tcMar>
            <w:vAlign w:val="center"/>
          </w:tcPr>
          <w:p>
            <w:r>
              <w:rPr>
                <w:b/>
                <w:bCs/>
                <w:color w:val="444441"/>
                <w:sz w:val="20"/>
                <w:szCs w:val="20"/>
              </w:rPr>
              <w:t xml:space="preserve">0</w:t>
            </w:r>
          </w:p>
        </w:tc>
      </w:tr>
    </w:tbl>
    <w:p>
      <w:pPr>
        <w:pStyle w:val="Heading1"/>
        <w:pBdr>
          <w:bottom w:val="single" w:color="1F3864" w:sz="6" w:space="4"/>
        </w:pBdr>
        <w:spacing w:after="200" w:before="400"/>
      </w:pPr>
      <w:r>
        <w:rPr>
          <w:b/>
          <w:bCs/>
          <w:color w:val="1F3864"/>
        </w:rPr>
        <w:t xml:space="preserve">7. </w:t>
      </w:r>
      <w:r>
        <w:rPr>
          <w:b/>
          <w:bCs/>
          <w:color w:val="1F3864"/>
        </w:rPr>
        <w:t xml:space="preserve">Riesgos y controles</w:t>
      </w:r>
    </w:p>
    <w:p>
      <w:pPr>
        <w:spacing w:after="160" w:line="300"/>
      </w:pPr>
      <w:r>
        <w:rPr>
          <w:color w:val="444441"/>
        </w:rPr>
        <w:t xml:space="preserve">Se identifican los siguientes riesgos principales asociados a la implementación del proceso, junto con los controles propuestos para mitigarlos.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50"/>
      </w:tblGrid>
      <w:tr>
        <w:trPr>
          <w:tblHeader/>
        </w:trPr>
        <w:tc>
          <w:tcPr>
            <w:tcW w:type="dxa" w:w="2800"/>
            <w:shd w:fill="1F3864" w:color="1F3864" w:val="clear"/>
            <w:tcMar>
              <w:top w:type="dxa" w:w="100"/>
              <w:left w:type="dxa" w:w="120"/>
              <w:bottom w:type="dxa" w:w="100"/>
              <w:right w:type="dxa" w:w="120"/>
            </w:tcMar>
            <w:vAlign w:val="center"/>
          </w:tcPr>
          <w:p>
            <w:r>
              <w:rPr>
                <w:b/>
                <w:bCs/>
                <w:color w:val="FFFFFF"/>
                <w:sz w:val="20"/>
                <w:szCs w:val="20"/>
              </w:rPr>
              <w:t xml:space="preserve">Riesgo</w:t>
            </w:r>
          </w:p>
        </w:tc>
        <w:tc>
          <w:tcPr>
            <w:tcW w:type="dxa" w:w="3300"/>
            <w:shd w:fill="1F3864" w:color="1F3864" w:val="clear"/>
            <w:tcMar>
              <w:top w:type="dxa" w:w="100"/>
              <w:left w:type="dxa" w:w="120"/>
              <w:bottom w:type="dxa" w:w="100"/>
              <w:right w:type="dxa" w:w="120"/>
            </w:tcMar>
            <w:vAlign w:val="center"/>
          </w:tcPr>
          <w:p>
            <w:r>
              <w:rPr>
                <w:b/>
                <w:bCs/>
                <w:color w:val="FFFFFF"/>
                <w:sz w:val="20"/>
                <w:szCs w:val="20"/>
              </w:rPr>
              <w:t xml:space="preserve">Descripción</w:t>
            </w:r>
          </w:p>
        </w:tc>
        <w:tc>
          <w:tcPr>
            <w:tcW w:type="dxa" w:w="3250"/>
            <w:shd w:fill="1F3864" w:color="1F3864" w:val="clear"/>
            <w:tcMar>
              <w:top w:type="dxa" w:w="100"/>
              <w:left w:type="dxa" w:w="120"/>
              <w:bottom w:type="dxa" w:w="100"/>
              <w:right w:type="dxa" w:w="120"/>
            </w:tcMar>
            <w:vAlign w:val="center"/>
          </w:tcPr>
          <w:p>
            <w:r>
              <w:rPr>
                <w:b/>
                <w:bCs/>
                <w:color w:val="FFFFFF"/>
                <w:sz w:val="20"/>
                <w:szCs w:val="20"/>
              </w:rPr>
              <w:t xml:space="preserve">Control propuesto</w:t>
            </w:r>
          </w:p>
        </w:tc>
      </w:tr>
      <w:tr>
        <w:tc>
          <w:tcPr>
            <w:tcW w:type="dxa" w:w="2800"/>
            <w:tcMar>
              <w:top w:type="dxa" w:w="100"/>
              <w:left w:type="dxa" w:w="120"/>
              <w:bottom w:type="dxa" w:w="100"/>
              <w:right w:type="dxa" w:w="120"/>
            </w:tcMar>
            <w:vAlign w:val="center"/>
          </w:tcPr>
          <w:p>
            <w:r>
              <w:rPr>
                <w:b/>
                <w:bCs/>
                <w:color w:val="444441"/>
                <w:sz w:val="20"/>
                <w:szCs w:val="20"/>
              </w:rPr>
              <w:t xml:space="preserve">Regulatorio / protección de datos</w:t>
            </w:r>
          </w:p>
        </w:tc>
        <w:tc>
          <w:tcPr>
            <w:tcW w:type="dxa" w:w="3300"/>
            <w:tcMar>
              <w:top w:type="dxa" w:w="100"/>
              <w:left w:type="dxa" w:w="120"/>
              <w:bottom w:type="dxa" w:w="100"/>
              <w:right w:type="dxa" w:w="120"/>
            </w:tcMar>
            <w:vAlign w:val="center"/>
          </w:tcPr>
          <w:p>
            <w:r>
              <w:rPr>
                <w:b w:val="false"/>
                <w:bCs w:val="false"/>
                <w:color w:val="444441"/>
                <w:sz w:val="20"/>
                <w:szCs w:val="20"/>
              </w:rPr>
              <w:t xml:space="preserve">El manejo de datos de salud e ingresos debe cumplir la normativa de protección de datos personales y del regulador financiero local.</w:t>
            </w:r>
          </w:p>
        </w:tc>
        <w:tc>
          <w:tcPr>
            <w:tcW w:type="dxa" w:w="3250"/>
            <w:tcMar>
              <w:top w:type="dxa" w:w="100"/>
              <w:left w:type="dxa" w:w="120"/>
              <w:bottom w:type="dxa" w:w="100"/>
              <w:right w:type="dxa" w:w="120"/>
            </w:tcMar>
            <w:vAlign w:val="center"/>
          </w:tcPr>
          <w:p>
            <w:r>
              <w:rPr>
                <w:b w:val="false"/>
                <w:bCs w:val="false"/>
                <w:color w:val="444441"/>
                <w:sz w:val="20"/>
                <w:szCs w:val="20"/>
              </w:rPr>
              <w:t xml:space="preserve">Validación previa con Compliance antes de pasar a producción; cifrado en tránsito y reposo.</w:t>
            </w:r>
          </w:p>
        </w:tc>
      </w:tr>
      <w:tr>
        <w:tc>
          <w:tcPr>
            <w:tcW w:type="dxa" w:w="2800"/>
            <w:shd w:fill="F2F2F2" w:color="F2F2F2" w:val="clear"/>
            <w:tcMar>
              <w:top w:type="dxa" w:w="100"/>
              <w:left w:type="dxa" w:w="120"/>
              <w:bottom w:type="dxa" w:w="100"/>
              <w:right w:type="dxa" w:w="120"/>
            </w:tcMar>
            <w:vAlign w:val="center"/>
          </w:tcPr>
          <w:p>
            <w:r>
              <w:rPr>
                <w:b/>
                <w:bCs/>
                <w:color w:val="444441"/>
                <w:sz w:val="20"/>
                <w:szCs w:val="20"/>
              </w:rPr>
              <w:t xml:space="preserve">Sesgo o error del modelo</w:t>
            </w:r>
          </w:p>
        </w:tc>
        <w:tc>
          <w:tcPr>
            <w:tcW w:type="dxa" w:w="3300"/>
            <w:shd w:fill="F2F2F2" w:color="F2F2F2" w:val="clear"/>
            <w:tcMar>
              <w:top w:type="dxa" w:w="100"/>
              <w:left w:type="dxa" w:w="120"/>
              <w:bottom w:type="dxa" w:w="100"/>
              <w:right w:type="dxa" w:w="120"/>
            </w:tcMar>
            <w:vAlign w:val="center"/>
          </w:tcPr>
          <w:p>
            <w:r>
              <w:rPr>
                <w:b w:val="false"/>
                <w:bCs w:val="false"/>
                <w:color w:val="444441"/>
                <w:sz w:val="20"/>
                <w:szCs w:val="20"/>
              </w:rPr>
              <w:t xml:space="preserve">El agente podría clasificar incorrectamente una intención y ejecutar una acción no deseada.</w:t>
            </w:r>
          </w:p>
        </w:tc>
        <w:tc>
          <w:tcPr>
            <w:tcW w:type="dxa" w:w="3250"/>
            <w:shd w:fill="F2F2F2" w:color="F2F2F2" w:val="clear"/>
            <w:tcMar>
              <w:top w:type="dxa" w:w="100"/>
              <w:left w:type="dxa" w:w="120"/>
              <w:bottom w:type="dxa" w:w="100"/>
              <w:right w:type="dxa" w:w="120"/>
            </w:tcMar>
            <w:vAlign w:val="center"/>
          </w:tcPr>
          <w:p>
            <w:r>
              <w:rPr>
                <w:b w:val="false"/>
                <w:bCs w:val="false"/>
                <w:color w:val="444441"/>
                <w:sz w:val="20"/>
                <w:szCs w:val="20"/>
              </w:rPr>
              <w:t xml:space="preserve">Umbral mínimo de confianza del NLU; por debajo del umbral, escalar en vez de asumir.</w:t>
            </w:r>
          </w:p>
        </w:tc>
      </w:tr>
      <w:tr>
        <w:tc>
          <w:tcPr>
            <w:tcW w:type="dxa" w:w="2800"/>
            <w:tcMar>
              <w:top w:type="dxa" w:w="100"/>
              <w:left w:type="dxa" w:w="120"/>
              <w:bottom w:type="dxa" w:w="100"/>
              <w:right w:type="dxa" w:w="120"/>
            </w:tcMar>
            <w:vAlign w:val="center"/>
          </w:tcPr>
          <w:p>
            <w:r>
              <w:rPr>
                <w:b/>
                <w:bCs/>
                <w:color w:val="444441"/>
                <w:sz w:val="20"/>
                <w:szCs w:val="20"/>
              </w:rPr>
              <w:t xml:space="preserve">Dependencia de integraciones</w:t>
            </w:r>
          </w:p>
        </w:tc>
        <w:tc>
          <w:tcPr>
            <w:tcW w:type="dxa" w:w="3300"/>
            <w:tcMar>
              <w:top w:type="dxa" w:w="100"/>
              <w:left w:type="dxa" w:w="120"/>
              <w:bottom w:type="dxa" w:w="100"/>
              <w:right w:type="dxa" w:w="120"/>
            </w:tcMar>
            <w:vAlign w:val="center"/>
          </w:tcPr>
          <w:p>
            <w:r>
              <w:rPr>
                <w:b w:val="false"/>
                <w:bCs w:val="false"/>
                <w:color w:val="444441"/>
                <w:sz w:val="20"/>
                <w:szCs w:val="20"/>
              </w:rPr>
              <w:t xml:space="preserve">Si el sistema Core RRHH o el proveedor externo no está disponible, el agente no puede completar la acción.</w:t>
            </w:r>
          </w:p>
        </w:tc>
        <w:tc>
          <w:tcPr>
            <w:tcW w:type="dxa" w:w="3250"/>
            <w:tcMar>
              <w:top w:type="dxa" w:w="100"/>
              <w:left w:type="dxa" w:w="120"/>
              <w:bottom w:type="dxa" w:w="100"/>
              <w:right w:type="dxa" w:w="120"/>
            </w:tcMar>
            <w:vAlign w:val="center"/>
          </w:tcPr>
          <w:p>
            <w:r>
              <w:rPr>
                <w:b w:val="false"/>
                <w:bCs w:val="false"/>
                <w:color w:val="444441"/>
                <w:sz w:val="20"/>
                <w:szCs w:val="20"/>
              </w:rPr>
              <w:t xml:space="preserve">Mensaje claro de indisponibilidad y canal alterno; nunca fallar en silencio.</w:t>
            </w:r>
          </w:p>
        </w:tc>
      </w:tr>
    </w:tbl>
    <w:p>
      <w:pPr>
        <w:pStyle w:val="Heading1"/>
        <w:pBdr>
          <w:bottom w:val="single" w:color="1F3864" w:sz="6" w:space="4"/>
        </w:pBdr>
        <w:spacing w:after="200" w:before="400"/>
      </w:pPr>
      <w:r>
        <w:rPr>
          <w:b/>
          <w:bCs/>
          <w:color w:val="1F3864"/>
        </w:rPr>
        <w:t xml:space="preserve">8. </w:t>
      </w:r>
      <w:r>
        <w:rPr>
          <w:b/>
          <w:bCs/>
          <w:color w:val="1F3864"/>
        </w:rPr>
        <w:t xml:space="preserve">Conclusiones y próximos pasos</w:t>
      </w:r>
    </w:p>
    <w:p>
      <w:pPr>
        <w:spacing w:after="160" w:line="300"/>
      </w:pPr>
      <w:r>
        <w:rPr>
          <w:color w:val="444441"/>
        </w:rPr>
        <w:t xml:space="preserve">El proceso propuesto permite automatizar la mayoría de las interacciones de bajo riesgo entre los colaboradores y sus beneficios, liberando capacidad del equipo de Recursos Humanos para atender casos de mayor complejidad. Su éxito depende de una autenticación robusta, reglas de escalamiento bien calibradas y una gobernanza de datos alineada con Compliance.</w:t>
      </w:r>
    </w:p>
    <w:p>
      <w:pPr>
        <w:spacing w:after="160" w:line="300"/>
      </w:pPr>
      <w:r>
        <w:rPr>
          <w:color w:val="444441"/>
        </w:rPr>
        <w:t xml:space="preserve">Como siguientes pasos se recomienda:</w:t>
      </w:r>
    </w:p>
    <w:p>
      <w:pPr>
        <w:pStyle w:val="ListParagraph"/>
        <w:numPr>
          <w:ilvl w:val="0"/>
          <w:numId w:val="2"/>
        </w:numPr>
        <w:spacing w:after="80" w:line="280"/>
      </w:pPr>
      <w:r>
        <w:rPr>
          <w:color w:val="444441"/>
        </w:rPr>
        <w:t xml:space="preserve">Validar el catálogo completo de intenciones con el equipo de Beneficios y Compensaciones.</w:t>
      </w:r>
    </w:p>
    <w:p>
      <w:pPr>
        <w:pStyle w:val="ListParagraph"/>
        <w:numPr>
          <w:ilvl w:val="0"/>
          <w:numId w:val="2"/>
        </w:numPr>
        <w:spacing w:after="80" w:line="280"/>
      </w:pPr>
      <w:r>
        <w:rPr>
          <w:color w:val="444441"/>
        </w:rPr>
        <w:t xml:space="preserve">Definir la matriz de escalamiento detallada junto con Compliance y Seguridad de la Información.</w:t>
      </w:r>
    </w:p>
    <w:p>
      <w:pPr>
        <w:pStyle w:val="ListParagraph"/>
        <w:numPr>
          <w:ilvl w:val="0"/>
          <w:numId w:val="2"/>
        </w:numPr>
        <w:spacing w:after="80" w:line="280"/>
      </w:pPr>
      <w:r>
        <w:rPr>
          <w:color w:val="444441"/>
        </w:rPr>
        <w:t xml:space="preserve">Ejecutar un piloto controlado con un grupo reducido de colaboradores antes del despliegue general.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0"/>
        <w:sz w:val="16"/>
        <w:szCs w:val="16"/>
      </w:rPr>
      <w:t xml:space="preserve">Página </w:t>
    </w:r>
    <w:r>
      <w:rPr>
        <w:color w:val="888880"/>
        <w:sz w:val="16"/>
        <w:szCs w:val="16"/>
      </w:rPr>
      <w:fldChar w:fldCharType="begin"/>
      <w:instrText xml:space="preserve">PAGE</w:instrText>
      <w:fldChar w:fldCharType="separate"/>
      <w:fldChar w:fldCharType="end"/>
    </w:r>
    <w:r>
      <w:rPr>
        <w:color w:val="888880"/>
        <w:sz w:val="16"/>
        <w:szCs w:val="16"/>
      </w:rPr>
      <w:t xml:space="preserve"> de </w:t>
    </w:r>
    <w:r>
      <w:rPr>
        <w:color w:val="8888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0"/>
        <w:sz w:val="16"/>
        <w:szCs w:val="16"/>
      </w:rPr>
      <w:t xml:space="preserve">Agente de IA para gestión de beneficios · Entidad Financiera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2026-08-18T23:40:31.758Z</dcterms:created>
  <dcterms:modified xsi:type="dcterms:W3CDTF">2026-08-18T23:40:31.769Z</dcterms:modified>
</cp:coreProperties>
</file>

<file path=docProps/custom.xml><?xml version="1.0" encoding="utf-8"?>
<Properties xmlns="http://schemas.openxmlformats.org/officeDocument/2006/custom-properties" xmlns:vt="http://schemas.openxmlformats.org/officeDocument/2006/docPropsVTypes"/>
</file>