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i/>
          <w:iCs/>
          <w:color w:val="666666"/>
          <w:sz w:val="20"/>
          <w:szCs w:val="20"/>
        </w:rPr>
        <w:t xml:space="preserve">Informe Confidencial — Uso Interno</w:t>
      </w:r>
    </w:p>
    <w:p>
      <w:pPr>
        <w:spacing w:after="100"/>
      </w:pPr>
      <w:r>
        <w:rPr>
          <w:rFonts w:ascii="Calibri" w:cs="Calibri" w:eastAsia="Calibri" w:hAnsi="Calibri"/>
          <w:b/>
          <w:bCs/>
          <w:color w:val="1F3864"/>
          <w:sz w:val="32"/>
          <w:szCs w:val="32"/>
        </w:rPr>
        <w:t xml:space="preserve">INFORME DE ESTIMACIÓN DE GASTOS ADMINISTRATIVOS</w:t>
      </w:r>
    </w:p>
    <w:p>
      <w:pPr>
        <w:spacing w:after="240"/>
      </w:pPr>
      <w:r>
        <w:rPr>
          <w:rFonts w:ascii="Calibri" w:cs="Calibri" w:eastAsia="Calibri" w:hAnsi="Calibri"/>
          <w:i/>
          <w:iCs/>
          <w:color w:val="2E5395"/>
          <w:sz w:val="24"/>
          <w:szCs w:val="24"/>
        </w:rPr>
        <w:t xml:space="preserve">Empresa de Logística — Proyección del Próximo Trimestre</w:t>
      </w:r>
    </w:p>
    <w:p>
      <w:pPr>
        <w:spacing w:after="60"/>
      </w:pPr>
      <w:r>
        <w:rPr>
          <w:rFonts w:ascii="Calibri" w:cs="Calibri" w:eastAsia="Calibri" w:hAnsi="Calibri"/>
          <w:b/>
          <w:bCs/>
          <w:sz w:val="22"/>
          <w:szCs w:val="22"/>
        </w:rPr>
        <w:t xml:space="preserve">Preparado por: </w:t>
      </w:r>
      <w:r>
        <w:rPr>
          <w:rFonts w:ascii="Calibri" w:cs="Calibri" w:eastAsia="Calibri" w:hAnsi="Calibri"/>
          <w:sz w:val="22"/>
          <w:szCs w:val="22"/>
        </w:rPr>
        <w:t xml:space="preserve">Análisis Financiero Senior</w:t>
      </w:r>
    </w:p>
    <w:p>
      <w:pPr>
        <w:spacing w:after="300"/>
      </w:pPr>
      <w:r>
        <w:rPr>
          <w:rFonts w:ascii="Calibri" w:cs="Calibri" w:eastAsia="Calibri" w:hAnsi="Calibri"/>
          <w:b/>
          <w:bCs/>
          <w:sz w:val="22"/>
          <w:szCs w:val="22"/>
        </w:rPr>
        <w:t xml:space="preserve">Fecha: </w:t>
      </w:r>
      <w:r>
        <w:rPr>
          <w:rFonts w:ascii="Calibri" w:cs="Calibri" w:eastAsia="Calibri" w:hAnsi="Calibri"/>
          <w:sz w:val="22"/>
          <w:szCs w:val="22"/>
        </w:rPr>
        <w:t xml:space="preserve">19 de agosto de 2026</w:t>
      </w:r>
    </w:p>
    <w:p>
      <w:pPr>
        <w:pStyle w:val="Heading1"/>
        <w:spacing w:after="160" w:before="300"/>
      </w:pPr>
      <w:r>
        <w:rPr>
          <w:rFonts w:ascii="Calibri" w:cs="Calibri" w:eastAsia="Calibri" w:hAnsi="Calibri"/>
          <w:b/>
          <w:bCs/>
          <w:color w:val="1F3864"/>
          <w:sz w:val="26"/>
          <w:szCs w:val="26"/>
        </w:rPr>
        <w:t xml:space="preserve">1. Resumen Ejecutivo</w:t>
      </w:r>
    </w:p>
    <w:p>
      <w:pPr>
        <w:spacing w:after="160"/>
      </w:pPr>
      <w:r>
        <w:rPr>
          <w:rFonts w:ascii="Calibri" w:cs="Calibri" w:eastAsia="Calibri" w:hAnsi="Calibri"/>
          <w:sz w:val="22"/>
          <w:szCs w:val="22"/>
        </w:rPr>
        <w:t xml:space="preserve">La proyección de gastos administrativos para el próximo trimestre identifica cinco categorías principales de erogación: personal administrativo, tecnología y software de gestión, alquiler y servicios de oficina, seguros y cumplimiento normativo, y suministros generales. De estas, seguros y cumplimiento normativo concentra el mayor riesgo relativo por su variabilidad asociada a la expansión de rutas y flota, mientras que personal administrativo y tecnología representan los mayores montos absolutos. Suministros y gastos generales se mantiene como la categoría de menor impacto sobre el presupuesto total.</w:t>
      </w:r>
    </w:p>
    <w:p>
      <w:pPr>
        <w:pStyle w:val="Heading1"/>
        <w:spacing w:after="160" w:before="300"/>
      </w:pPr>
      <w:r>
        <w:rPr>
          <w:rFonts w:ascii="Calibri" w:cs="Calibri" w:eastAsia="Calibri" w:hAnsi="Calibri"/>
          <w:b/>
          <w:bCs/>
          <w:color w:val="1F3864"/>
          <w:sz w:val="26"/>
          <w:szCs w:val="26"/>
        </w:rPr>
        <w:t xml:space="preserve">2. Estimación de Gastos por Categoría</w:t>
      </w:r>
    </w:p>
    <w:p>
      <w:pPr>
        <w:spacing w:after="160"/>
      </w:pPr>
      <w:r>
        <w:rPr>
          <w:rFonts w:ascii="Calibri" w:cs="Calibri" w:eastAsia="Calibri" w:hAnsi="Calibri"/>
          <w:sz w:val="22"/>
          <w:szCs w:val="22"/>
        </w:rPr>
        <w:t xml:space="preserve">La siguiente tabla resume los montos estimados por categoría para el trimestre, su nivel de impacto sobre el presupuesto administrativo total y las acciones sugeridas para optimizar cada partida.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3400"/>
      </w:tblGrid>
      <w:tr>
        <w:trPr>
          <w:tblHeader/>
        </w:trPr>
        <w:tc>
          <w:tcPr>
            <w:tcW w:type="dxa" w:w="2400"/>
            <w:shd w:fill="2E539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Categoría</w:t>
            </w:r>
          </w:p>
        </w:tc>
        <w:tc>
          <w:tcPr>
            <w:tcW w:type="dxa" w:w="2000"/>
            <w:shd w:fill="2E539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Gasto Estimado</w:t>
            </w:r>
          </w:p>
        </w:tc>
        <w:tc>
          <w:tcPr>
            <w:tcW w:type="dxa" w:w="1600"/>
            <w:shd w:fill="2E539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Impacto</w:t>
            </w:r>
          </w:p>
        </w:tc>
        <w:tc>
          <w:tcPr>
            <w:tcW w:type="dxa" w:w="3400"/>
            <w:shd w:fill="2E5395"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Acción Sugerida</w:t>
            </w:r>
          </w:p>
        </w:tc>
      </w:tr>
      <w:tr>
        <w:tc>
          <w:tcPr>
            <w:tcW w:type="dxa" w:w="2400"/>
            <w:tcMar>
              <w:top w:type="dxa" w:w="100"/>
              <w:left w:type="dxa" w:w="120"/>
              <w:bottom w:type="dxa" w:w="100"/>
              <w:right w:type="dxa" w:w="120"/>
            </w:tcMar>
            <w:vAlign w:val="center"/>
          </w:tcPr>
          <w:p>
            <w:r>
              <w:rPr>
                <w:rFonts w:ascii="Calibri" w:cs="Calibri" w:eastAsia="Calibri" w:hAnsi="Calibri"/>
                <w:b/>
                <w:bCs/>
                <w:sz w:val="20"/>
                <w:szCs w:val="20"/>
              </w:rPr>
              <w:t xml:space="preserve">Personal Administrativo</w:t>
            </w:r>
          </w:p>
        </w:tc>
        <w:tc>
          <w:tcPr>
            <w:tcW w:type="dxa" w:w="2000"/>
            <w:tcMar>
              <w:top w:type="dxa" w:w="100"/>
              <w:left w:type="dxa" w:w="120"/>
              <w:bottom w:type="dxa" w:w="100"/>
              <w:right w:type="dxa" w:w="120"/>
            </w:tcMar>
            <w:vAlign w:val="center"/>
          </w:tcPr>
          <w:p>
            <w:r>
              <w:rPr>
                <w:rFonts w:ascii="Calibri" w:cs="Calibri" w:eastAsia="Calibri" w:hAnsi="Calibri"/>
                <w:b w:val="false"/>
                <w:bCs w:val="false"/>
                <w:sz w:val="20"/>
                <w:szCs w:val="20"/>
              </w:rPr>
              <w:t xml:space="preserve">$186.400 / trimestre</w:t>
            </w:r>
          </w:p>
        </w:tc>
        <w:tc>
          <w:tcPr>
            <w:tcW w:type="dxa" w:w="1600"/>
            <w:shd w:fill="FFF3E0" w:val="clear"/>
            <w:tcMar>
              <w:top w:type="dxa" w:w="100"/>
              <w:left w:type="dxa" w:w="120"/>
              <w:bottom w:type="dxa" w:w="100"/>
              <w:right w:type="dxa" w:w="120"/>
            </w:tcMar>
            <w:vAlign w:val="center"/>
          </w:tcPr>
          <w:p>
            <w:r>
              <w:rPr>
                <w:rFonts w:ascii="Calibri" w:cs="Calibri" w:eastAsia="Calibri" w:hAnsi="Calibri"/>
                <w:b/>
                <w:bCs/>
                <w:sz w:val="20"/>
                <w:szCs w:val="20"/>
              </w:rPr>
              <w:t xml:space="preserve">Alto</w:t>
            </w:r>
          </w:p>
        </w:tc>
        <w:tc>
          <w:tcPr>
            <w:tcW w:type="dxa" w:w="3400"/>
            <w:tcMar>
              <w:top w:type="dxa" w:w="100"/>
              <w:left w:type="dxa" w:w="120"/>
              <w:bottom w:type="dxa" w:w="100"/>
              <w:right w:type="dxa" w:w="120"/>
            </w:tcMar>
            <w:vAlign w:val="center"/>
          </w:tcPr>
          <w:p>
            <w:r>
              <w:rPr>
                <w:rFonts w:ascii="Calibri" w:cs="Calibri" w:eastAsia="Calibri" w:hAnsi="Calibri"/>
                <w:b w:val="false"/>
                <w:bCs w:val="false"/>
                <w:sz w:val="20"/>
                <w:szCs w:val="20"/>
              </w:rPr>
              <w:t xml:space="preserve">Revisar dotación de back-office frente al volumen de envíos gestionado; evaluar automatización de tareas repetitivas.</w:t>
            </w:r>
          </w:p>
        </w:tc>
      </w:tr>
      <w:tr>
        <w:tc>
          <w:tcPr>
            <w:tcW w:type="dxa" w:w="2400"/>
            <w:tcMar>
              <w:top w:type="dxa" w:w="100"/>
              <w:left w:type="dxa" w:w="120"/>
              <w:bottom w:type="dxa" w:w="100"/>
              <w:right w:type="dxa" w:w="120"/>
            </w:tcMar>
            <w:vAlign w:val="center"/>
          </w:tcPr>
          <w:p>
            <w:r>
              <w:rPr>
                <w:rFonts w:ascii="Calibri" w:cs="Calibri" w:eastAsia="Calibri" w:hAnsi="Calibri"/>
                <w:b/>
                <w:bCs/>
                <w:sz w:val="20"/>
                <w:szCs w:val="20"/>
              </w:rPr>
              <w:t xml:space="preserve">Tecnología y Software de Gestión (TMS/ERP)</w:t>
            </w:r>
          </w:p>
        </w:tc>
        <w:tc>
          <w:tcPr>
            <w:tcW w:type="dxa" w:w="2000"/>
            <w:tcMar>
              <w:top w:type="dxa" w:w="100"/>
              <w:left w:type="dxa" w:w="120"/>
              <w:bottom w:type="dxa" w:w="100"/>
              <w:right w:type="dxa" w:w="120"/>
            </w:tcMar>
            <w:vAlign w:val="center"/>
          </w:tcPr>
          <w:p>
            <w:r>
              <w:rPr>
                <w:rFonts w:ascii="Calibri" w:cs="Calibri" w:eastAsia="Calibri" w:hAnsi="Calibri"/>
                <w:b w:val="false"/>
                <w:bCs w:val="false"/>
                <w:sz w:val="20"/>
                <w:szCs w:val="20"/>
              </w:rPr>
              <w:t xml:space="preserve">$94.200 / trimestre</w:t>
            </w:r>
          </w:p>
        </w:tc>
        <w:tc>
          <w:tcPr>
            <w:tcW w:type="dxa" w:w="1600"/>
            <w:shd w:fill="FFF3E0" w:val="clear"/>
            <w:tcMar>
              <w:top w:type="dxa" w:w="100"/>
              <w:left w:type="dxa" w:w="120"/>
              <w:bottom w:type="dxa" w:w="100"/>
              <w:right w:type="dxa" w:w="120"/>
            </w:tcMar>
            <w:vAlign w:val="center"/>
          </w:tcPr>
          <w:p>
            <w:r>
              <w:rPr>
                <w:rFonts w:ascii="Calibri" w:cs="Calibri" w:eastAsia="Calibri" w:hAnsi="Calibri"/>
                <w:b/>
                <w:bCs/>
                <w:sz w:val="20"/>
                <w:szCs w:val="20"/>
              </w:rPr>
              <w:t xml:space="preserve">Alto</w:t>
            </w:r>
          </w:p>
        </w:tc>
        <w:tc>
          <w:tcPr>
            <w:tcW w:type="dxa" w:w="3400"/>
            <w:tcMar>
              <w:top w:type="dxa" w:w="100"/>
              <w:left w:type="dxa" w:w="120"/>
              <w:bottom w:type="dxa" w:w="100"/>
              <w:right w:type="dxa" w:w="120"/>
            </w:tcMar>
            <w:vAlign w:val="center"/>
          </w:tcPr>
          <w:p>
            <w:r>
              <w:rPr>
                <w:rFonts w:ascii="Calibri" w:cs="Calibri" w:eastAsia="Calibri" w:hAnsi="Calibri"/>
                <w:b w:val="false"/>
                <w:bCs w:val="false"/>
                <w:sz w:val="20"/>
                <w:szCs w:val="20"/>
              </w:rPr>
              <w:t xml:space="preserve">Consolidar licencias duplicadas entre plataformas de gestión de transporte y auditar módulos sin uso activo.</w:t>
            </w:r>
          </w:p>
        </w:tc>
      </w:tr>
      <w:tr>
        <w:tc>
          <w:tcPr>
            <w:tcW w:type="dxa" w:w="2400"/>
            <w:tcMar>
              <w:top w:type="dxa" w:w="100"/>
              <w:left w:type="dxa" w:w="120"/>
              <w:bottom w:type="dxa" w:w="100"/>
              <w:right w:type="dxa" w:w="120"/>
            </w:tcMar>
            <w:vAlign w:val="center"/>
          </w:tcPr>
          <w:p>
            <w:r>
              <w:rPr>
                <w:rFonts w:ascii="Calibri" w:cs="Calibri" w:eastAsia="Calibri" w:hAnsi="Calibri"/>
                <w:b/>
                <w:bCs/>
                <w:sz w:val="20"/>
                <w:szCs w:val="20"/>
              </w:rPr>
              <w:t xml:space="preserve">Alquiler y Servicios de Oficina</w:t>
            </w:r>
          </w:p>
        </w:tc>
        <w:tc>
          <w:tcPr>
            <w:tcW w:type="dxa" w:w="2000"/>
            <w:tcMar>
              <w:top w:type="dxa" w:w="100"/>
              <w:left w:type="dxa" w:w="120"/>
              <w:bottom w:type="dxa" w:w="100"/>
              <w:right w:type="dxa" w:w="120"/>
            </w:tcMar>
            <w:vAlign w:val="center"/>
          </w:tcPr>
          <w:p>
            <w:r>
              <w:rPr>
                <w:rFonts w:ascii="Calibri" w:cs="Calibri" w:eastAsia="Calibri" w:hAnsi="Calibri"/>
                <w:b w:val="false"/>
                <w:bCs w:val="false"/>
                <w:sz w:val="20"/>
                <w:szCs w:val="20"/>
              </w:rPr>
              <w:t xml:space="preserve">$71.500 / trimestre</w:t>
            </w:r>
          </w:p>
        </w:tc>
        <w:tc>
          <w:tcPr>
            <w:tcW w:type="dxa" w:w="1600"/>
            <w:shd w:fill="F2F5FA" w:val="clear"/>
            <w:tcMar>
              <w:top w:type="dxa" w:w="100"/>
              <w:left w:type="dxa" w:w="120"/>
              <w:bottom w:type="dxa" w:w="100"/>
              <w:right w:type="dxa" w:w="120"/>
            </w:tcMar>
            <w:vAlign w:val="center"/>
          </w:tcPr>
          <w:p>
            <w:r>
              <w:rPr>
                <w:rFonts w:ascii="Calibri" w:cs="Calibri" w:eastAsia="Calibri" w:hAnsi="Calibri"/>
                <w:b/>
                <w:bCs/>
                <w:sz w:val="20"/>
                <w:szCs w:val="20"/>
              </w:rPr>
              <w:t xml:space="preserve">Medio</w:t>
            </w:r>
          </w:p>
        </w:tc>
        <w:tc>
          <w:tcPr>
            <w:tcW w:type="dxa" w:w="3400"/>
            <w:tcMar>
              <w:top w:type="dxa" w:w="100"/>
              <w:left w:type="dxa" w:w="120"/>
              <w:bottom w:type="dxa" w:w="100"/>
              <w:right w:type="dxa" w:w="120"/>
            </w:tcMar>
            <w:vAlign w:val="center"/>
          </w:tcPr>
          <w:p>
            <w:r>
              <w:rPr>
                <w:rFonts w:ascii="Calibri" w:cs="Calibri" w:eastAsia="Calibri" w:hAnsi="Calibri"/>
                <w:b w:val="false"/>
                <w:bCs w:val="false"/>
                <w:sz w:val="20"/>
                <w:szCs w:val="20"/>
              </w:rPr>
              <w:t xml:space="preserve">Evaluar renegociación de contrato de alquiler ante la reducción de personal presencial por esquemas híbridos.</w:t>
            </w:r>
          </w:p>
        </w:tc>
      </w:tr>
      <w:tr>
        <w:tc>
          <w:tcPr>
            <w:tcW w:type="dxa" w:w="2400"/>
            <w:tcMar>
              <w:top w:type="dxa" w:w="100"/>
              <w:left w:type="dxa" w:w="120"/>
              <w:bottom w:type="dxa" w:w="100"/>
              <w:right w:type="dxa" w:w="120"/>
            </w:tcMar>
            <w:vAlign w:val="center"/>
          </w:tcPr>
          <w:p>
            <w:r>
              <w:rPr>
                <w:rFonts w:ascii="Calibri" w:cs="Calibri" w:eastAsia="Calibri" w:hAnsi="Calibri"/>
                <w:b/>
                <w:bCs/>
                <w:sz w:val="20"/>
                <w:szCs w:val="20"/>
              </w:rPr>
              <w:t xml:space="preserve">Seguros y Cumplimiento Normativo</w:t>
            </w:r>
          </w:p>
        </w:tc>
        <w:tc>
          <w:tcPr>
            <w:tcW w:type="dxa" w:w="2000"/>
            <w:tcMar>
              <w:top w:type="dxa" w:w="100"/>
              <w:left w:type="dxa" w:w="120"/>
              <w:bottom w:type="dxa" w:w="100"/>
              <w:right w:type="dxa" w:w="120"/>
            </w:tcMar>
            <w:vAlign w:val="center"/>
          </w:tcPr>
          <w:p>
            <w:r>
              <w:rPr>
                <w:rFonts w:ascii="Calibri" w:cs="Calibri" w:eastAsia="Calibri" w:hAnsi="Calibri"/>
                <w:b w:val="false"/>
                <w:bCs w:val="false"/>
                <w:sz w:val="20"/>
                <w:szCs w:val="20"/>
              </w:rPr>
              <w:t xml:space="preserve">$58.900 / trimestre</w:t>
            </w:r>
          </w:p>
        </w:tc>
        <w:tc>
          <w:tcPr>
            <w:tcW w:type="dxa" w:w="1600"/>
            <w:shd w:fill="FDE9E7" w:val="clear"/>
            <w:tcMar>
              <w:top w:type="dxa" w:w="100"/>
              <w:left w:type="dxa" w:w="120"/>
              <w:bottom w:type="dxa" w:w="100"/>
              <w:right w:type="dxa" w:w="120"/>
            </w:tcMar>
            <w:vAlign w:val="center"/>
          </w:tcPr>
          <w:p>
            <w:r>
              <w:rPr>
                <w:rFonts w:ascii="Calibri" w:cs="Calibri" w:eastAsia="Calibri" w:hAnsi="Calibri"/>
                <w:b/>
                <w:bCs/>
                <w:sz w:val="20"/>
                <w:szCs w:val="20"/>
              </w:rPr>
              <w:t xml:space="preserve">Crítico</w:t>
            </w:r>
          </w:p>
        </w:tc>
        <w:tc>
          <w:tcPr>
            <w:tcW w:type="dxa" w:w="3400"/>
            <w:tcMar>
              <w:top w:type="dxa" w:w="100"/>
              <w:left w:type="dxa" w:w="120"/>
              <w:bottom w:type="dxa" w:w="100"/>
              <w:right w:type="dxa" w:w="120"/>
            </w:tcMar>
            <w:vAlign w:val="center"/>
          </w:tcPr>
          <w:p>
            <w:r>
              <w:rPr>
                <w:rFonts w:ascii="Calibri" w:cs="Calibri" w:eastAsia="Calibri" w:hAnsi="Calibri"/>
                <w:b w:val="false"/>
                <w:bCs w:val="false"/>
                <w:sz w:val="20"/>
                <w:szCs w:val="20"/>
              </w:rPr>
              <w:t xml:space="preserve">Cotizar pólizas alternativas para flota y carga; verificar cobertura frente a nuevas rutas y volúmenes operados.</w:t>
            </w:r>
          </w:p>
        </w:tc>
      </w:tr>
      <w:tr>
        <w:tc>
          <w:tcPr>
            <w:tcW w:type="dxa" w:w="2400"/>
            <w:tcMar>
              <w:top w:type="dxa" w:w="100"/>
              <w:left w:type="dxa" w:w="120"/>
              <w:bottom w:type="dxa" w:w="100"/>
              <w:right w:type="dxa" w:w="120"/>
            </w:tcMar>
            <w:vAlign w:val="center"/>
          </w:tcPr>
          <w:p>
            <w:r>
              <w:rPr>
                <w:rFonts w:ascii="Calibri" w:cs="Calibri" w:eastAsia="Calibri" w:hAnsi="Calibri"/>
                <w:b/>
                <w:bCs/>
                <w:sz w:val="20"/>
                <w:szCs w:val="20"/>
              </w:rPr>
              <w:t xml:space="preserve">Suministros y Gastos Generales</w:t>
            </w:r>
          </w:p>
        </w:tc>
        <w:tc>
          <w:tcPr>
            <w:tcW w:type="dxa" w:w="2000"/>
            <w:tcMar>
              <w:top w:type="dxa" w:w="100"/>
              <w:left w:type="dxa" w:w="120"/>
              <w:bottom w:type="dxa" w:w="100"/>
              <w:right w:type="dxa" w:w="120"/>
            </w:tcMar>
            <w:vAlign w:val="center"/>
          </w:tcPr>
          <w:p>
            <w:r>
              <w:rPr>
                <w:rFonts w:ascii="Calibri" w:cs="Calibri" w:eastAsia="Calibri" w:hAnsi="Calibri"/>
                <w:b w:val="false"/>
                <w:bCs w:val="false"/>
                <w:sz w:val="20"/>
                <w:szCs w:val="20"/>
              </w:rPr>
              <w:t xml:space="preserve">$22.300 / trimestre</w:t>
            </w:r>
          </w:p>
        </w:tc>
        <w:tc>
          <w:tcPr>
            <w:tcW w:type="dxa" w:w="1600"/>
            <w:shd w:fill="E9F5EA" w:val="clear"/>
            <w:tcMar>
              <w:top w:type="dxa" w:w="100"/>
              <w:left w:type="dxa" w:w="120"/>
              <w:bottom w:type="dxa" w:w="100"/>
              <w:right w:type="dxa" w:w="120"/>
            </w:tcMar>
            <w:vAlign w:val="center"/>
          </w:tcPr>
          <w:p>
            <w:r>
              <w:rPr>
                <w:rFonts w:ascii="Calibri" w:cs="Calibri" w:eastAsia="Calibri" w:hAnsi="Calibri"/>
                <w:b/>
                <w:bCs/>
                <w:sz w:val="20"/>
                <w:szCs w:val="20"/>
              </w:rPr>
              <w:t xml:space="preserve">Bajo</w:t>
            </w:r>
          </w:p>
        </w:tc>
        <w:tc>
          <w:tcPr>
            <w:tcW w:type="dxa" w:w="3400"/>
            <w:tcMar>
              <w:top w:type="dxa" w:w="100"/>
              <w:left w:type="dxa" w:w="120"/>
              <w:bottom w:type="dxa" w:w="100"/>
              <w:right w:type="dxa" w:w="120"/>
            </w:tcMar>
            <w:vAlign w:val="center"/>
          </w:tcPr>
          <w:p>
            <w:r>
              <w:rPr>
                <w:rFonts w:ascii="Calibri" w:cs="Calibri" w:eastAsia="Calibri" w:hAnsi="Calibri"/>
                <w:b w:val="false"/>
                <w:bCs w:val="false"/>
                <w:sz w:val="20"/>
                <w:szCs w:val="20"/>
              </w:rPr>
              <w:t xml:space="preserve">Mantener bajo monitoreo; sin acción correctiva inmediata requerida.</w:t>
            </w:r>
          </w:p>
        </w:tc>
      </w:tr>
    </w:tbl>
    <w:p>
      <w:pPr>
        <w:spacing w:before="200"/>
      </w:pPr>
    </w:p>
    <w:p>
      <w:pPr>
        <w:pStyle w:val="Heading1"/>
        <w:spacing w:after="160" w:before="300"/>
      </w:pPr>
      <w:r>
        <w:rPr>
          <w:rFonts w:ascii="Calibri" w:cs="Calibri" w:eastAsia="Calibri" w:hAnsi="Calibri"/>
          <w:b/>
          <w:bCs/>
          <w:color w:val="1F3864"/>
          <w:sz w:val="26"/>
          <w:szCs w:val="26"/>
        </w:rPr>
        <w:t xml:space="preserve">3. Análisis por Categoría</w:t>
      </w:r>
    </w:p>
    <w:p>
      <w:pPr>
        <w:pStyle w:val="Heading2"/>
        <w:spacing w:after="120" w:before="240"/>
      </w:pPr>
      <w:r>
        <w:rPr>
          <w:rFonts w:ascii="Calibri" w:cs="Calibri" w:eastAsia="Calibri" w:hAnsi="Calibri"/>
          <w:b/>
          <w:bCs/>
          <w:color w:val="2E5395"/>
          <w:sz w:val="23"/>
          <w:szCs w:val="23"/>
        </w:rPr>
        <w:t xml:space="preserve">Personal Administrativo ($186.400)</w:t>
      </w:r>
    </w:p>
    <w:p>
      <w:pPr>
        <w:spacing w:after="160"/>
      </w:pPr>
      <w:r>
        <w:rPr>
          <w:rFonts w:ascii="Calibri" w:cs="Calibri" w:eastAsia="Calibri" w:hAnsi="Calibri"/>
          <w:sz w:val="22"/>
          <w:szCs w:val="22"/>
        </w:rPr>
        <w:t xml:space="preserve">Es la partida de mayor peso absoluto, asociada a los equipos de facturación, atención al cliente y coordinación logística. Se recomienda evaluar la relación entre dotación de personal y volumen de envíos gestionado, con foco en automatizar tareas repetitivas de bajo valor agregado.</w:t>
      </w:r>
    </w:p>
    <w:p>
      <w:pPr>
        <w:pStyle w:val="Heading2"/>
        <w:spacing w:after="120" w:before="240"/>
      </w:pPr>
      <w:r>
        <w:rPr>
          <w:rFonts w:ascii="Calibri" w:cs="Calibri" w:eastAsia="Calibri" w:hAnsi="Calibri"/>
          <w:b/>
          <w:bCs/>
          <w:color w:val="2E5395"/>
          <w:sz w:val="23"/>
          <w:szCs w:val="23"/>
        </w:rPr>
        <w:t xml:space="preserve">Tecnología y Software de Gestión / TMS-ERP ($94.200)</w:t>
      </w:r>
    </w:p>
    <w:p>
      <w:pPr>
        <w:spacing w:after="160"/>
      </w:pPr>
      <w:r>
        <w:rPr>
          <w:rFonts w:ascii="Calibri" w:cs="Calibri" w:eastAsia="Calibri" w:hAnsi="Calibri"/>
          <w:sz w:val="22"/>
          <w:szCs w:val="22"/>
        </w:rPr>
        <w:t xml:space="preserve">Incluye licencias de sistemas de gestión de transporte (TMS), planificación de recursos (ERP) y herramientas de seguimiento de flota. Se sugiere consolidar licencias duplicadas y auditar módulos con baja tasa de uso antes de renovar contratos.</w:t>
      </w:r>
    </w:p>
    <w:p>
      <w:pPr>
        <w:pStyle w:val="Heading2"/>
        <w:spacing w:after="120" w:before="240"/>
      </w:pPr>
      <w:r>
        <w:rPr>
          <w:rFonts w:ascii="Calibri" w:cs="Calibri" w:eastAsia="Calibri" w:hAnsi="Calibri"/>
          <w:b/>
          <w:bCs/>
          <w:color w:val="2E5395"/>
          <w:sz w:val="23"/>
          <w:szCs w:val="23"/>
        </w:rPr>
        <w:t xml:space="preserve">Alquiler y Servicios de Oficina ($71.500)</w:t>
      </w:r>
    </w:p>
    <w:p>
      <w:pPr>
        <w:spacing w:after="160"/>
      </w:pPr>
      <w:r>
        <w:rPr>
          <w:rFonts w:ascii="Calibri" w:cs="Calibri" w:eastAsia="Calibri" w:hAnsi="Calibri"/>
          <w:sz w:val="22"/>
          <w:szCs w:val="22"/>
        </w:rPr>
        <w:t xml:space="preserve">Comprende el alquiler de instalaciones administrativas y servicios asociados (electricidad, conectividad, mantenimiento). Ante la adopción de esquemas híbridos, se recomienda evaluar la renegociación del contrato de alquiler o la reducción de metros cuadrados ocupados.</w:t>
      </w:r>
    </w:p>
    <w:p>
      <w:pPr>
        <w:pStyle w:val="Heading2"/>
        <w:spacing w:after="120" w:before="240"/>
      </w:pPr>
      <w:r>
        <w:rPr>
          <w:rFonts w:ascii="Calibri" w:cs="Calibri" w:eastAsia="Calibri" w:hAnsi="Calibri"/>
          <w:b/>
          <w:bCs/>
          <w:color w:val="2E5395"/>
          <w:sz w:val="23"/>
          <w:szCs w:val="23"/>
        </w:rPr>
        <w:t xml:space="preserve">Seguros y Cumplimiento Normativo ($58.900)</w:t>
      </w:r>
    </w:p>
    <w:p>
      <w:pPr>
        <w:spacing w:after="160"/>
      </w:pPr>
      <w:r>
        <w:rPr>
          <w:rFonts w:ascii="Calibri" w:cs="Calibri" w:eastAsia="Calibri" w:hAnsi="Calibri"/>
          <w:sz w:val="22"/>
          <w:szCs w:val="22"/>
        </w:rPr>
        <w:t xml:space="preserve">Categoría de mayor criticidad relativa por su sensibilidad a cambios regulatorios y a la expansión de rutas y volumen de carga operado. Se recomienda cotizar pólizas alternativas y verificar que la cobertura vigente sea consistente con la operación actual de la flota.</w:t>
      </w:r>
    </w:p>
    <w:p>
      <w:pPr>
        <w:pStyle w:val="Heading2"/>
        <w:spacing w:after="120" w:before="240"/>
      </w:pPr>
      <w:r>
        <w:rPr>
          <w:rFonts w:ascii="Calibri" w:cs="Calibri" w:eastAsia="Calibri" w:hAnsi="Calibri"/>
          <w:b/>
          <w:bCs/>
          <w:color w:val="2E5395"/>
          <w:sz w:val="23"/>
          <w:szCs w:val="23"/>
        </w:rPr>
        <w:t xml:space="preserve">Suministros y Gastos Generales ($22.300)</w:t>
      </w:r>
    </w:p>
    <w:p>
      <w:pPr>
        <w:spacing w:after="160"/>
      </w:pPr>
      <w:r>
        <w:rPr>
          <w:rFonts w:ascii="Calibri" w:cs="Calibri" w:eastAsia="Calibri" w:hAnsi="Calibri"/>
          <w:sz w:val="22"/>
          <w:szCs w:val="22"/>
        </w:rPr>
        <w:t xml:space="preserve">Categoría de menor impacto sobre el presupuesto administrativo total. No requiere acción correctiva inmediata; se sugiere mantenerla bajo monitoreo estándar.</w:t>
      </w:r>
    </w:p>
    <w:p>
      <w:pPr>
        <w:pStyle w:val="Heading1"/>
        <w:spacing w:after="160" w:before="300"/>
      </w:pPr>
      <w:r>
        <w:rPr>
          <w:rFonts w:ascii="Calibri" w:cs="Calibri" w:eastAsia="Calibri" w:hAnsi="Calibri"/>
          <w:b/>
          <w:bCs/>
          <w:color w:val="1F3864"/>
          <w:sz w:val="26"/>
          <w:szCs w:val="26"/>
        </w:rPr>
        <w:t xml:space="preserve">4. Recomendaciones Generales</w:t>
      </w:r>
    </w:p>
    <w:p>
      <w:pPr>
        <w:pStyle w:val="ListParagraph"/>
        <w:numPr>
          <w:ilvl w:val="0"/>
          <w:numId w:val="1"/>
        </w:numPr>
        <w:spacing w:after="100"/>
      </w:pPr>
      <w:r>
        <w:rPr>
          <w:rFonts w:ascii="Calibri" w:cs="Calibri" w:eastAsia="Calibri" w:hAnsi="Calibri"/>
          <w:sz w:val="22"/>
          <w:szCs w:val="22"/>
        </w:rPr>
        <w:t xml:space="preserve">Priorizar la revisión de seguros y cumplimiento normativo por su mayor sensibilidad ante cambios operativos y regulatorios.</w:t>
      </w:r>
    </w:p>
    <w:p>
      <w:pPr>
        <w:pStyle w:val="ListParagraph"/>
        <w:numPr>
          <w:ilvl w:val="0"/>
          <w:numId w:val="1"/>
        </w:numPr>
        <w:spacing w:after="100"/>
      </w:pPr>
      <w:r>
        <w:rPr>
          <w:rFonts w:ascii="Calibri" w:cs="Calibri" w:eastAsia="Calibri" w:hAnsi="Calibri"/>
          <w:sz w:val="22"/>
          <w:szCs w:val="22"/>
        </w:rPr>
        <w:t xml:space="preserve">Evaluar la consolidación de licencias tecnológicas (TMS/ERP) para reducir gastos redundantes.</w:t>
      </w:r>
    </w:p>
    <w:p>
      <w:pPr>
        <w:pStyle w:val="ListParagraph"/>
        <w:numPr>
          <w:ilvl w:val="0"/>
          <w:numId w:val="1"/>
        </w:numPr>
        <w:spacing w:after="100"/>
      </w:pPr>
      <w:r>
        <w:rPr>
          <w:rFonts w:ascii="Calibri" w:cs="Calibri" w:eastAsia="Calibri" w:hAnsi="Calibri"/>
          <w:sz w:val="22"/>
          <w:szCs w:val="22"/>
        </w:rPr>
        <w:t xml:space="preserve">Analizar la relación entre dotación de personal administrativo y volumen de operación para identificar oportunidades de automatización.</w:t>
      </w:r>
    </w:p>
    <w:p>
      <w:pPr>
        <w:pStyle w:val="ListParagraph"/>
        <w:numPr>
          <w:ilvl w:val="0"/>
          <w:numId w:val="1"/>
        </w:numPr>
        <w:spacing w:after="100"/>
      </w:pPr>
      <w:r>
        <w:rPr>
          <w:rFonts w:ascii="Calibri" w:cs="Calibri" w:eastAsia="Calibri" w:hAnsi="Calibri"/>
          <w:sz w:val="22"/>
          <w:szCs w:val="22"/>
        </w:rPr>
        <w:t xml:space="preserve">Incorporar seguimiento trimestral de cotizaciones de seguros para optimizar la relación costo-cobertura.</w:t>
      </w:r>
    </w:p>
    <w:p>
      <w:pPr>
        <w:pStyle w:val="Heading1"/>
        <w:spacing w:after="160" w:before="300"/>
      </w:pPr>
      <w:r>
        <w:rPr>
          <w:rFonts w:ascii="Calibri" w:cs="Calibri" w:eastAsia="Calibri" w:hAnsi="Calibri"/>
          <w:b/>
          <w:bCs/>
          <w:color w:val="1F3864"/>
          <w:sz w:val="26"/>
          <w:szCs w:val="26"/>
        </w:rPr>
        <w:t xml:space="preserve">5. Nota Metodológica</w:t>
      </w:r>
    </w:p>
    <w:p>
      <w:pPr>
        <w:spacing w:after="160"/>
      </w:pPr>
      <w:r>
        <w:rPr>
          <w:rFonts w:ascii="Calibri" w:cs="Calibri" w:eastAsia="Calibri" w:hAnsi="Calibri"/>
          <w:i/>
          <w:iCs/>
          <w:color w:val="555555"/>
          <w:sz w:val="20"/>
          <w:szCs w:val="20"/>
        </w:rPr>
        <w:t xml:space="preserve">Este informe se basa en un modelo ilustrativo de estimación de gastos administrativos típicos del sector logístico, presentado como referencia. Para un análisis con validez financiera plena, se recomienda sustituir las cifras aquí presentadas por los datos reales del sistema de planificación presupuestaria de la compañía.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Página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de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color w:val="888888"/>
        <w:sz w:val="16"/>
        <w:szCs w:val="16"/>
      </w:rPr>
      <w:t xml:space="preserve">Confidencial — Uso Interno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2026-08-18T23:18:54.888Z</dcterms:created>
  <dcterms:modified xsi:type="dcterms:W3CDTF">2026-08-18T23:18:54.900Z</dcterms:modified>
</cp:coreProperties>
</file>

<file path=docProps/custom.xml><?xml version="1.0" encoding="utf-8"?>
<Properties xmlns="http://schemas.openxmlformats.org/officeDocument/2006/custom-properties" xmlns:vt="http://schemas.openxmlformats.org/officeDocument/2006/docPropsVTypes"/>
</file>