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weasyprint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HTML</w:t>
        <w:br w:type="textWrapping"/>
        <w:br w:type="textWrapping"/>
        <w:t xml:space="preserve">html_content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"""&lt;!DOCTYPE html&gt;</w:t>
        <w:br w:type="textWrapping"/>
        <w:t xml:space="preserve">&lt;html lang="es"&gt;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&lt;title&gt;Informe de Estimación de Gastos Administrativos&lt;/title&gt;</w:t>
        <w:br w:type="textWrapping"/>
        <w:t xml:space="preserve">    &lt;style&gt;</w:t>
        <w:br w:type="textWrapping"/>
        <w:t xml:space="preserve">        @page {</w:t>
        <w:br w:type="textWrapping"/>
        <w:t xml:space="preserve">            size: A4;</w:t>
        <w:br w:type="textWrapping"/>
        <w:t xml:space="preserve">            margin: 20mm 18mm;</w:t>
        <w:br w:type="textWrapping"/>
        <w:t xml:space="preserve">            background-color: #ffffff;</w:t>
        <w:br w:type="textWrapping"/>
        <w:t xml:space="preserve">            @bottom-right {</w:t>
        <w:br w:type="textWrapping"/>
        <w:t xml:space="preserve">                content: "Página " counter(page) " de " counter(pages);</w:t>
        <w:br w:type="textWrapping"/>
        <w:t xml:space="preserve">                font-family: 'Helvetica Neue', Helvetica, Arial, sans-serif;</w:t>
        <w:br w:type="textWrapping"/>
        <w:t xml:space="preserve">                font-size: 8.5pt;</w:t>
        <w:br w:type="textWrapping"/>
        <w:t xml:space="preserve">                color: #718096;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*, *::before, *::after {</w:t>
        <w:br w:type="textWrapping"/>
        <w:t xml:space="preserve">            box-sizing: border-box;</w:t>
        <w:br w:type="textWrapping"/>
        <w:t xml:space="preserve">        }</w:t>
        <w:br w:type="textWrapping"/>
        <w:br w:type="textWrapping"/>
        <w:t xml:space="preserve">        body {</w:t>
        <w:br w:type="textWrapping"/>
        <w:t xml:space="preserve">            font-family: 'Helvetica Neue', Helvetica, Arial, sans-serif;</w:t>
        <w:br w:type="textWrapping"/>
        <w:t xml:space="preserve">            color: #2d3748;</w:t>
        <w:br w:type="textWrapping"/>
        <w:t xml:space="preserve">            line-height: 1.5;</w:t>
        <w:br w:type="textWrapping"/>
        <w:t xml:space="preserve">            font-size: 10pt;</w:t>
        <w:br w:type="textWrapping"/>
        <w:t xml:space="preserve">            margin: 0;</w:t>
        <w:br w:type="textWrapping"/>
        <w:t xml:space="preserve">            padding: 0;</w:t>
        <w:br w:type="textWrapping"/>
        <w:t xml:space="preserve">        }</w:t>
        <w:br w:type="textWrapping"/>
        <w:br w:type="textWrapping"/>
        <w:t xml:space="preserve">        /* Header block styling matching corporate executive style */</w:t>
        <w:br w:type="textWrapping"/>
        <w:t xml:space="preserve">        .header-title {</w:t>
        <w:br w:type="textWrapping"/>
        <w:t xml:space="preserve">            font-size: 18pt;</w:t>
        <w:br w:type="textWrapping"/>
        <w:t xml:space="preserve">            font-weight: 700;</w:t>
        <w:br w:type="textWrapping"/>
        <w:t xml:space="preserve">            color: #1a365d;</w:t>
        <w:br w:type="textWrapping"/>
        <w:t xml:space="preserve">            text-transform: uppercase;</w:t>
        <w:br w:type="textWrapping"/>
        <w:t xml:space="preserve">            letter-spacing: 0.5px;</w:t>
        <w:br w:type="textWrapping"/>
        <w:t xml:space="preserve">            margin: 0 0 4px 0;</w:t>
        <w:br w:type="textWrapping"/>
        <w:t xml:space="preserve">            border-bottom: 2px solid #1a365d;</w:t>
        <w:br w:type="textWrapping"/>
        <w:t xml:space="preserve">            padding-bottom: 6px;</w:t>
        <w:br w:type="textWrapping"/>
        <w:t xml:space="preserve">        }</w:t>
        <w:br w:type="textWrapping"/>
        <w:br w:type="textWrapping"/>
        <w:t xml:space="preserve">        .header-subtitle {</w:t>
        <w:br w:type="textWrapping"/>
        <w:t xml:space="preserve">            font-size: 11pt;</w:t>
        <w:br w:type="textWrapping"/>
        <w:t xml:space="preserve">            font-weight: 600;</w:t>
        <w:br w:type="textWrapping"/>
        <w:t xml:space="preserve">            color: #4a5568;</w:t>
        <w:br w:type="textWrapping"/>
        <w:t xml:space="preserve">            margin-bottom: 12px;</w:t>
        <w:br w:type="textWrapping"/>
        <w:t xml:space="preserve">        }</w:t>
        <w:br w:type="textWrapping"/>
        <w:br w:type="textWrapping"/>
        <w:t xml:space="preserve">        .meta-info {</w:t>
        <w:br w:type="textWrapping"/>
        <w:t xml:space="preserve">            font-size: 9.5pt;</w:t>
        <w:br w:type="textWrapping"/>
        <w:t xml:space="preserve">            color: #4a5568;</w:t>
        <w:br w:type="textWrapping"/>
        <w:t xml:space="preserve">            margin-bottom: 22px;</w:t>
        <w:br w:type="textWrapping"/>
        <w:t xml:space="preserve">        }</w:t>
        <w:br w:type="textWrapping"/>
        <w:br w:type="textWrapping"/>
        <w:t xml:space="preserve">        .meta-info span {</w:t>
        <w:br w:type="textWrapping"/>
        <w:t xml:space="preserve">            display: block;</w:t>
        <w:br w:type="textWrapping"/>
        <w:t xml:space="preserve">            margin-bottom: 2px;</w:t>
        <w:br w:type="textWrapping"/>
        <w:t xml:space="preserve">        }</w:t>
        <w:br w:type="textWrapping"/>
        <w:br w:type="textWrapping"/>
        <w:t xml:space="preserve">        h2 {</w:t>
        <w:br w:type="textWrapping"/>
        <w:t xml:space="preserve">            font-size: 12pt;</w:t>
        <w:br w:type="textWrapping"/>
        <w:t xml:space="preserve">            font-weight: 700;</w:t>
        <w:br w:type="textWrapping"/>
        <w:t xml:space="preserve">            color: #1a365d;</w:t>
        <w:br w:type="textWrapping"/>
        <w:t xml:space="preserve">            margin-top: 18px;</w:t>
        <w:br w:type="textWrapping"/>
        <w:t xml:space="preserve">            margin-bottom: 10px;</w:t>
        <w:br w:type="textWrapping"/>
        <w:t xml:space="preserve">            text-transform: uppercase;</w:t>
        <w:br w:type="textWrapping"/>
        <w:t xml:space="preserve">            letter-spacing: 0.3px;</w:t>
        <w:br w:type="textWrapping"/>
        <w:t xml:space="preserve">            border-left: 3px solid #2b6cb0;</w:t>
        <w:br w:type="textWrapping"/>
        <w:t xml:space="preserve">            padding-left: 8px;</w:t>
        <w:br w:type="textWrapping"/>
        <w:t xml:space="preserve">            page-break-after: avoid;</w:t>
        <w:br w:type="textWrapping"/>
        <w:t xml:space="preserve">        }</w:t>
        <w:br w:type="textWrapping"/>
        <w:br w:type="textWrapping"/>
        <w:t xml:space="preserve">        p {</w:t>
        <w:br w:type="textWrapping"/>
        <w:t xml:space="preserve">            margin-top: 0;</w:t>
        <w:br w:type="textWrapping"/>
        <w:t xml:space="preserve">            margin-bottom: 10px;</w:t>
        <w:br w:type="textWrapping"/>
        <w:t xml:space="preserve">            text-align: justify;</w:t>
        <w:br w:type="textWrapping"/>
        <w:t xml:space="preserve">        }</w:t>
        <w:br w:type="textWrapping"/>
        <w:br w:type="textWrapping"/>
        <w:t xml:space="preserve">        /* Table styling */</w:t>
        <w:br w:type="textWrapping"/>
        <w:t xml:space="preserve">        table {</w:t>
        <w:br w:type="textWrapping"/>
        <w:t xml:space="preserve">            width: 100%;</w:t>
        <w:br w:type="textWrapping"/>
        <w:t xml:space="preserve">            border-collapse: collapse;</w:t>
        <w:br w:type="textWrapping"/>
        <w:t xml:space="preserve">            margin-top: 10px;</w:t>
        <w:br w:type="textWrapping"/>
        <w:t xml:space="preserve">            margin-bottom: 18px;</w:t>
        <w:br w:type="textWrapping"/>
        <w:t xml:space="preserve">            font-size: 9.5pt;</w:t>
        <w:br w:type="textWrapping"/>
        <w:t xml:space="preserve">            page-break-inside: avoid;</w:t>
        <w:br w:type="textWrapping"/>
        <w:t xml:space="preserve">        }</w:t>
        <w:br w:type="textWrapping"/>
        <w:br w:type="textWrapping"/>
        <w:t xml:space="preserve">        th {</w:t>
        <w:br w:type="textWrapping"/>
        <w:t xml:space="preserve">            background-color: #2b6cb0;</w:t>
        <w:br w:type="textWrapping"/>
        <w:t xml:space="preserve">            color: #ffffff;</w:t>
        <w:br w:type="textWrapping"/>
        <w:t xml:space="preserve">            font-weight: 600;</w:t>
        <w:br w:type="textWrapping"/>
        <w:t xml:space="preserve">            text-align: left;</w:t>
        <w:br w:type="textWrapping"/>
        <w:t xml:space="preserve">            padding: 8px 10px;</w:t>
        <w:br w:type="textWrapping"/>
        <w:t xml:space="preserve">            font-size: 9pt;</w:t>
        <w:br w:type="textWrapping"/>
        <w:t xml:space="preserve">            text-transform: uppercase;</w:t>
        <w:br w:type="textWrapping"/>
        <w:t xml:space="preserve">            letter-spacing: 0.3px;</w:t>
        <w:br w:type="textWrapping"/>
        <w:t xml:space="preserve">        }</w:t>
        <w:br w:type="textWrapping"/>
        <w:br w:type="textWrapping"/>
        <w:t xml:space="preserve">        td {</w:t>
        <w:br w:type="textWrapping"/>
        <w:t xml:space="preserve">            padding: 8px 10px;</w:t>
        <w:br w:type="textWrapping"/>
        <w:t xml:space="preserve">            border-bottom: 1px solid #e2e8f0;</w:t>
        <w:br w:type="textWrapping"/>
        <w:t xml:space="preserve">            vertical-align: top;</w:t>
        <w:br w:type="textWrapping"/>
        <w:t xml:space="preserve">        }</w:t>
        <w:br w:type="textWrapping"/>
        <w:br w:type="textWrapping"/>
        <w:t xml:space="preserve">        tr:nth-child(even) {</w:t>
        <w:br w:type="textWrapping"/>
        <w:t xml:space="preserve">            background-color: #f7fafc;</w:t>
        <w:br w:type="textWrapping"/>
        <w:t xml:space="preserve">        }</w:t>
        <w:br w:type="textWrapping"/>
        <w:br w:type="textWrapping"/>
        <w:t xml:space="preserve">        /* Category details */</w:t>
        <w:br w:type="textWrapping"/>
        <w:t xml:space="preserve">        .category-item {</w:t>
        <w:br w:type="textWrapping"/>
        <w:t xml:space="preserve">            margin-bottom: 12px;</w:t>
        <w:br w:type="textWrapping"/>
        <w:t xml:space="preserve">            page-break-inside: avoid;</w:t>
        <w:br w:type="textWrapping"/>
        <w:t xml:space="preserve">        }</w:t>
        <w:br w:type="textWrapping"/>
        <w:br w:type="textWrapping"/>
        <w:t xml:space="preserve">        .category-title {</w:t>
        <w:br w:type="textWrapping"/>
        <w:t xml:space="preserve">            font-weight: 700;</w:t>
        <w:br w:type="textWrapping"/>
        <w:t xml:space="preserve">            color: #2c5282;</w:t>
        <w:br w:type="textWrapping"/>
        <w:t xml:space="preserve">            font-size: 10.5pt;</w:t>
        <w:br w:type="textWrapping"/>
        <w:t xml:space="preserve">            margin-bottom: 4px;</w:t>
        <w:br w:type="textWrapping"/>
        <w:t xml:space="preserve">        }</w:t>
        <w:br w:type="textWrapping"/>
        <w:br w:type="textWrapping"/>
        <w:t xml:space="preserve">        /* List styling */</w:t>
        <w:br w:type="textWrapping"/>
        <w:t xml:space="preserve">        ul {</w:t>
        <w:br w:type="textWrapping"/>
        <w:t xml:space="preserve">            margin-top: 5px;</w:t>
        <w:br w:type="textWrapping"/>
        <w:t xml:space="preserve">            margin-bottom: 15px;</w:t>
        <w:br w:type="textWrapping"/>
        <w:t xml:space="preserve">            padding-left: 20px;</w:t>
        <w:br w:type="textWrapping"/>
        <w:t xml:space="preserve">        }</w:t>
        <w:br w:type="textWrapping"/>
        <w:br w:type="textWrapping"/>
        <w:t xml:space="preserve">        li {</w:t>
        <w:br w:type="textWrapping"/>
        <w:t xml:space="preserve">            margin-bottom: 6px;</w:t>
        <w:br w:type="textWrapping"/>
        <w:t xml:space="preserve">            text-align: justify;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    &lt;div class="header-title"&gt;INFORME DE ESTIMACIÓN DE GASTOS ADMINISTRATIVOS&lt;/div&gt;</w:t>
        <w:br w:type="textWrapping"/>
        <w:t xml:space="preserve">    &lt;div class="header-subtitle"&gt;Empresa de Logística — Proyección del Próximo Ejercicio&lt;/div&gt;</w:t>
        <w:br w:type="textWrapping"/>
        <w:t xml:space="preserve">    &lt;div class="meta-info"&gt;</w:t>
        <w:br w:type="textWrapping"/>
        <w:t xml:space="preserve">        &lt;span&gt;&lt;strong&gt;Preparado por:&lt;/strong&gt; Análisis Financiero Senior&lt;/span&gt;</w:t>
        <w:br w:type="textWrapping"/>
        <w:t xml:space="preserve">        &lt;span&gt;&lt;strong&gt;Fecha:&lt;/strong&gt; 19 de agosto de 2026&lt;/span&gt;</w:t>
        <w:br w:type="textWrapping"/>
        <w:t xml:space="preserve">    &lt;/div&gt;</w:t>
        <w:br w:type="textWrapping"/>
        <w:br w:type="textWrapping"/>
        <w:t xml:space="preserve">    &lt;h2&gt;1. Resumen Ejecutivo&lt;/h2&gt;</w:t>
        <w:br w:type="textWrapping"/>
        <w:t xml:space="preserve">    &lt;p&gt;El análisis de proyección para el próximo ejercicio evidencia un incremento moderado en los gastos administrativos, impulsado por tres factores clave: la gestión vehicular y cumplimiento regulatorio, el mantenimiento informático del sistema de gestión de flota (TMS) y los insumos e infraestructura de almacenes. Estas categorías representan la mayor carga operativa sobre la estructura central y requieren controles estrictos de ejecución. En contraste, la optimización programada en servicios generales y suministros de oficina representa una oportunidad clara de contención de costos.&lt;/p&gt;</w:t>
        <w:br w:type="textWrapping"/>
        <w:br w:type="textWrapping"/>
        <w:t xml:space="preserve">    &lt;h2&gt;2. Estimación de Gastos Administrativos Críticos&lt;/h2&gt;</w:t>
        <w:br w:type="textWrapping"/>
        <w:t xml:space="preserve">    &lt;p&gt;La siguiente tabla resume los rubros administrativos más relevantes identificados para el periodo, su nivel de impacto proyectado sobre el presupuesto operativo y las estrategias de control financiero sugeridas.&lt;/p&gt;</w:t>
        <w:br w:type="textWrapping"/>
        <w:br w:type="textWrapping"/>
        <w:t xml:space="preserve">    &lt;table&gt;</w:t>
        <w:br w:type="textWrapping"/>
        <w:t xml:space="preserve">        &lt;thead&gt;</w:t>
        <w:br w:type="textWrapping"/>
        <w:t xml:space="preserve">            &lt;tr&gt;</w:t>
        <w:br w:type="textWrapping"/>
        <w:t xml:space="preserve">                &lt;th style="width: 22%;"&gt;Categoría&lt;/th&gt;</w:t>
        <w:br w:type="textWrapping"/>
        <w:t xml:space="preserve">                &lt;th style="width: 20%;"&gt;Estimación Proyectada&lt;/th&gt;</w:t>
        <w:br w:type="textWrapping"/>
        <w:t xml:space="preserve">                &lt;th style="width: 15%;"&gt;Impacto&lt;/th&gt;</w:t>
        <w:br w:type="textWrapping"/>
        <w:t xml:space="preserve">                &lt;th style="width: 43%;"&gt;Acción Sugerida&lt;/th&gt;</w:t>
        <w:br w:type="textWrapping"/>
        <w:t xml:space="preserve">            &lt;/tr&gt;</w:t>
        <w:br w:type="textWrapping"/>
        <w:t xml:space="preserve">        &lt;/thead&gt;</w:t>
        <w:br w:type="textWrapping"/>
        <w:t xml:space="preserve">        &lt;tbody&gt;</w:t>
        <w:br w:type="textWrapping"/>
        <w:t xml:space="preserve">            &lt;tr&gt;</w:t>
        <w:br w:type="textWrapping"/>
        <w:t xml:space="preserve">                &lt;td&gt;&lt;strong&gt;Gestión Vehicular y Permisos&lt;/strong&gt;&lt;/td&gt;</w:t>
        <w:br w:type="textWrapping"/>
        <w:t xml:space="preserve">                &lt;td&gt;+15% vs. presupuesto base&lt;/td&gt;</w:t>
        <w:br w:type="textWrapping"/>
        <w:t xml:space="preserve">                &lt;td&gt;Alto&lt;/td&gt;</w:t>
        <w:br w:type="textWrapping"/>
        <w:t xml:space="preserve">                &lt;td&gt;Consolidar renovaciones de licencias y seguros bajo contratos marco corporativos.&lt;/td&gt;</w:t>
        <w:br w:type="textWrapping"/>
        <w:t xml:space="preserve">            &lt;/tr&gt;</w:t>
        <w:br w:type="textWrapping"/>
        <w:t xml:space="preserve">            &lt;tr&gt;</w:t>
        <w:br w:type="textWrapping"/>
        <w:t xml:space="preserve">                &lt;td&gt;&lt;strong&gt;Sistemas de Flota (TMS)&lt;/strong&gt;&lt;/td&gt;</w:t>
        <w:br w:type="textWrapping"/>
        <w:t xml:space="preserve">                &lt;td&gt;+10% vs. presupuesto base&lt;/td&gt;</w:t>
        <w:br w:type="textWrapping"/>
        <w:t xml:space="preserve">                &lt;td&gt;Alto&lt;/td&gt;</w:t>
        <w:br w:type="textWrapping"/>
        <w:t xml:space="preserve">                &lt;td&gt;Negociar esquemas de licenciamiento por volumen de unidades operativas.&lt;/td&gt;</w:t>
        <w:br w:type="textWrapping"/>
        <w:t xml:space="preserve">            &lt;/tr&gt;</w:t>
        <w:br w:type="textWrapping"/>
        <w:t xml:space="preserve">            &lt;tr&gt;</w:t>
        <w:br w:type="textWrapping"/>
        <w:t xml:space="preserve">                &lt;td&gt;&lt;strong&gt;Suministros de Almacén&lt;/strong&gt;&lt;/td&gt;</w:t>
        <w:br w:type="textWrapping"/>
        <w:t xml:space="preserve">                &lt;td&gt;+18% vs. presupuesto base&lt;/td&gt;</w:t>
        <w:br w:type="textWrapping"/>
        <w:t xml:space="preserve">                &lt;td&gt;Crítico&lt;/td&gt;</w:t>
        <w:br w:type="textWrapping"/>
        <w:t xml:space="preserve">                &lt;td&gt;Estandarizar proveedores de insumos de empaque y establecer techos de compra mensual.&lt;/td&gt;</w:t>
        <w:br w:type="textWrapping"/>
        <w:t xml:space="preserve">            &lt;/tr&gt;</w:t>
        <w:br w:type="textWrapping"/>
        <w:t xml:space="preserve">            &lt;tr&gt;</w:t>
        <w:br w:type="textWrapping"/>
        <w:t xml:space="preserve">                &lt;td&gt;&lt;strong&gt;Servicios Generales y Oficina&lt;/strong&gt;&lt;/td&gt;</w:t>
        <w:br w:type="textWrapping"/>
        <w:t xml:space="preserve">                &lt;td&gt;-6% vs. presupuesto base (optimización)&lt;/td&gt;</w:t>
        <w:br w:type="textWrapping"/>
        <w:t xml:space="preserve">                &lt;td&gt;Bajo&lt;/td&gt;</w:t>
        <w:br w:type="textWrapping"/>
        <w:t xml:space="preserve">                &lt;td&gt;Reasignar la eficiencia obtenida hacia programas de capacitación y soporte operativo.&lt;/td&gt;</w:t>
        <w:br w:type="textWrapping"/>
        <w:t xml:space="preserve">            &lt;/tr&gt;</w:t>
        <w:br w:type="textWrapping"/>
        <w:t xml:space="preserve">        &lt;/tbody&gt;</w:t>
        <w:br w:type="textWrapping"/>
        <w:t xml:space="preserve">    &lt;/table&gt;</w:t>
        <w:br w:type="textWrapping"/>
        <w:br w:type="textWrapping"/>
        <w:t xml:space="preserve">    &lt;h2&gt;3. Análisis por Categoría&lt;/h2&gt;</w:t>
        <w:br w:type="textWrapping"/>
        <w:br w:type="textWrapping"/>
        <w:t xml:space="preserve">    &lt;div class="category-item"&gt;</w:t>
        <w:br w:type="textWrapping"/>
        <w:t xml:space="preserve">        &lt;div class="category-title"&gt;Gestión Vehicular y Permisos (+15%)&lt;/div&gt;</w:t>
        <w:br w:type="textWrapping"/>
        <w:t xml:space="preserve">        &lt;p&gt;El incremento previsto responde principalmente a la actualización impositiva, pólizas de seguro de cobertura pesada y renovaciones periódicas de certificados de tránsito operativo. Se recomienda centralizar la gestión de trámites y negociar primas corporativas unificadas para mitigar el costo por unidad vehicular.&lt;/p&gt;</w:t>
        <w:br w:type="textWrapping"/>
        <w:t xml:space="preserve">    &lt;/div&gt;</w:t>
        <w:br w:type="textWrapping"/>
        <w:br w:type="textWrapping"/>
        <w:t xml:space="preserve">    &lt;div class="category-item"&gt;</w:t>
        <w:br w:type="textWrapping"/>
        <w:t xml:space="preserve">        &lt;div class="category-title"&gt;Sistemas de Flota / TMS (+10%)&lt;/div&gt;</w:t>
        <w:br w:type="textWrapping"/>
        <w:t xml:space="preserve">        &lt;p&gt;El sobrecosto proyectado se explica por el escalamiento en la capacidad de servidores cloud del sistema de monitoreo satelital y soporte técnico dedicado. Se sugiere revisar los acuerdos de nivel de servicio (SLA) y acordar esquemas escalonados con los proveedores tecnológicos según el tamaño real de la flota activa.&lt;/p&gt;</w:t>
        <w:br w:type="textWrapping"/>
        <w:t xml:space="preserve">    &lt;/div&gt;</w:t>
        <w:br w:type="textWrapping"/>
        <w:br w:type="textWrapping"/>
        <w:t xml:space="preserve">    &lt;div class="category-item"&gt;</w:t>
        <w:br w:type="textWrapping"/>
        <w:t xml:space="preserve">        &lt;div class="category-title"&gt;Suministros e Insumos de Almacén (+18%)&lt;/div&gt;</w:t>
        <w:br w:type="textWrapping"/>
        <w:t xml:space="preserve">        &lt;p&gt;La variación proyectada con mayor impacto crítico. Refleja incrementos en materiales de embalaje, etiquetas de trazabilidad e insumos consumibles administrativos de patios de maniobra. Se recomienda establecer licitaciones trimestrales e imponer límites de pedido en función del volumen de despacho programado.&lt;/p&gt;</w:t>
        <w:br w:type="textWrapping"/>
        <w:t xml:space="preserve">    &lt;/div&gt;</w:t>
        <w:br w:type="textWrapping"/>
        <w:br w:type="textWrapping"/>
        <w:t xml:space="preserve">    &lt;div class="category-item"&gt;</w:t>
        <w:br w:type="textWrapping"/>
        <w:t xml:space="preserve">        &lt;div class="category-title"&gt;Servicios Generales y Oficina (-6%)&lt;/div&gt;</w:t>
        <w:br w:type="textWrapping"/>
        <w:t xml:space="preserve">        &lt;p&gt;Única categoría proyectada con margen de ahorro administrativo. El excedente estimado deriva de la digitalización de expedientes de despacho y ajustes en servicios contratados. Se sugiere reasignar este margen hacia planes de capacitación para el personal administrativo y soporte técnico de inventario.&lt;/p&gt;</w:t>
        <w:br w:type="textWrapping"/>
        <w:t xml:space="preserve">    &lt;/div&gt;</w:t>
        <w:br w:type="textWrapping"/>
        <w:br w:type="textWrapping"/>
        <w:t xml:space="preserve">    &lt;h2&gt;4. Recomendaciones Generales&lt;/h2&gt;</w:t>
        <w:br w:type="textWrapping"/>
        <w:t xml:space="preserve">    &lt;ul&gt;</w:t>
        <w:br w:type="textWrapping"/>
        <w:t xml:space="preserve">        &lt;li&gt;Priorizar la revisión contractual de suministros de almacén y licencias del TMS por su peso acumulado en el gasto administrativo general.&lt;/li&gt;</w:t>
        <w:br w:type="textWrapping"/>
        <w:t xml:space="preserve">        &lt;li&gt;Implementar un tablero mensual de control presupuestario para la flota que alerte desviaciones en trámites y seguros de forma anticipada.&lt;/li&gt;</w:t>
        <w:br w:type="textWrapping"/>
        <w:t xml:space="preserve">        &lt;li&gt;Evaluar la reasignación de los márgenes de ahorro en servicios generales hacia iniciativas de automatización documental y logística.&lt;/li&gt;</w:t>
        <w:br w:type="textWrapping"/>
        <w:t xml:space="preserve">        &lt;li&gt;Establecer indicadores clave de rendimiento (KPI) de gasto administrativo por tonelada movilizada o paquete despachado para optimizar la eficiencia por servicio.&lt;/li&gt;</w:t>
        <w:br w:type="textWrapping"/>
        <w:t xml:space="preserve">    &lt;/ul&gt;</w:t>
        <w:br w:type="textWrapping"/>
        <w:br w:type="textWrapping"/>
        <w:t xml:space="preserve">    &lt;h2&gt;5. Nota Metodológica&lt;/h2&gt;</w:t>
        <w:br w:type="textWrapping"/>
        <w:t xml:space="preserve">    &lt;p&gt;Este informe se basa en un modelo ilustrativo de estimaciones típicas para el sector de transporte y logística, ajustado al formato administrativo institucional de referencia. Para un análisis financiero vinculante, se recomienda sustituir los porcentajes y proyectados aquí expuestos por las métricas definitivas provenientes del sistema ERP y presupuestario de la empresa.&lt;/p&gt;</w:t>
        <w:br w:type="textWrapping"/>
        <w:br w:type="textWrapping"/>
        <w:t xml:space="preserve">&lt;/body&gt;</w:t>
        <w:br w:type="textWrapping"/>
        <w:t xml:space="preserve">&lt;/html&gt;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"Informe_Estimacion_Gastos_Administrativos_Logistica.html"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f.write(html_content)</w:t>
        <w:br w:type="textWrapping"/>
        <w:br w:type="textWrapping"/>
        <w:t xml:space="preserve">HTML(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"Informe_Estimacion_Gastos_Administrativos_Logistica.html"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).write_pdf(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"Informe_Estimacion_Gastos_Administrativos_Logistica.pdf"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"PDF generado exitosamente."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Salida de código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PDF generado exitosamente.</w:t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PDF file is ready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00" cy="304800"/>
            <wp:effectExtent b="0" l="0" r="0" t="0"/>
            <wp:docPr descr="Icono de PDF" id="1" name="image1.png"/>
            <a:graphic>
              <a:graphicData uri="http://schemas.openxmlformats.org/drawingml/2006/picture">
                <pic:pic>
                  <pic:nvPicPr>
                    <pic:cNvPr descr="Icono de PD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00000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hd w:fill="f2f0f0" w:val="clear"/>
          <w:rtl w:val="0"/>
        </w:rPr>
        <w:t xml:space="preserve">Informe_Estimacion_Gastos_Administrativos_Logistica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00000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hd w:fill="f2f0f0" w:val="clear"/>
          <w:rtl w:val="0"/>
        </w:rPr>
        <w:t xml:space="preserve">Abierto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INFORME DE ESTIMACIÓN DE GASTOS ADMINISTRATIVOS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Empresa de Logística — Proyección del Próximo Ejercicio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Preparado por: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Análisis Financiero Senior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19 de agosto de 2026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Resumen Ejecutivo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análisis de proyección para el próximo ejercicio evidencia un incremento moderado en los gastos administrativos, impulsado por tres factores clave: la gestión vehicular y cumplimiento regulatorio, el mantenimiento informático del sistema de gestión de flota (TMS) y los insumos e infraestructura de almacenes. Estas tres categorías representan la mayor carga operativa sobre la estructura central y requieren controles estrictos de ejecución. En contraste, la optimización programada en servicios generales y suministros de oficina representa una oportunidad clara de contención de costos.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Estimación de Gastos Administrativos Críticos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siguiente tabla resume los rubros administrativos más relevantes identificados para el periodo, su nivel de impacto proyectado sobre el presupuesto operativo y las estrategias de control financiero sugeridas.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Estimación Proyectada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Sugerida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Gestión Vehicular y Permisos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+15% vs. presupuesto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Consolidar renovaciones de licencias y seguros bajo contratos marco corporativos.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Sistemas de Flota (TMS)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+10% vs. presupuesto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Negociar esquemas de licenciamiento por volumen de unidades operativas.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Suministros de Almacén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+18% vs. presupuesto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Crítico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Estandarizar proveedores de insumos de empaque y establecer techos de compra mensual.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Servicios Generales y Oficina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-6% vs. presupuesto base (optimización)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Reasignar la eficiencia obtenida hacia programas de capacitación y soporte operativo.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Análisis por Categoría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Gestión Vehicular y Permisos (+15%)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incremento previsto responde principalmente a la actualización impositiva, pólizas de seguro de cobertura pesada y renovaciones periódicas de certificados de tránsito operativo. Se recomienda centralizar la gestión de trámites y negociar primas corporativas unificadas para mitigar el costo por unidad vehicular.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Sistemas de Flota / TMS (+10%)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sobrecosto proyectado se explica por el escalamiento en la capacidad de servidores cloud del sistema de monitoreo satelital y soporte técnico dedicado. Se sugiere revisar los acuerdos de nivel de servicio (SLA) y acordar esquemas escalonados con los proveedores tecnológicos según el tamaño real de la flota activa.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Suministros e Insumos de Almacén (+18%)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variación proyectada con mayor impacto crítico. Refleja incrementos en materiales de embalaje, etiquetas de trazabilidad e insumos consumibles administrativos de patios de maniobra. Se recomienda establecer licitaciones trimestrales e imponer límites de pedido en función del volumen de despacho programado.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Servicios Generales y Oficina (-6%)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Única categoría proyectada con margen de ahorro administrativo. El excedente estimado deriva de la digitalización de expedientes de despacho y ajustes en servicios contratados. Se sugiere reasignar este margen hacia planes de capacitación para el personal administrativo y soporte técnico de inventario.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Recomendaciones Generales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Priorizar la revisión contractual de suministros de almacén y licencias del TMS por su peso acumulado en el gasto administrativo general.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Implementar un tablero mensual de control presupuestario para la flota que alerte desviaciones en trámites y seguros de forma anticipada.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Evaluar la reasignación de los márgenes de ahorro en servicios generales hacia iniciativas de automatización documental y logística.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Establecer indicadores clave de rendimiento (KPI) de gasto administrativo por tonelada movilizada o paquete despachado para optimizar la eficiencia por servicio.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Nota Metodológica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informe se basa en un modelo ilustrativo de estimaciones típicas para el sector de transporte y logística, ajustado al formato administrativo institucional de referencia. Para un análisis financiero vinculante, se recomienda sustituir los porcentajes y proyectados aquí expuestos por las métricas definitivas provenientes del sistema ERP y presupuestario de la empresa.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