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i/>
          <w:iCs/>
          <w:sz w:val="20"/>
          <w:szCs w:val="20"/>
        </w:rPr>
        <w:t xml:space="preserve">Informe Confidencial — Uso Interno</w:t>
      </w:r>
    </w:p>
    <w:p>
      <w:pPr>
        <w:spacing w:after="100"/>
      </w:pPr>
      <w:r>
        <w:rPr>
          <w:b/>
          <w:bCs/>
          <w:sz w:val="32"/>
          <w:szCs w:val="32"/>
        </w:rPr>
        <w:t xml:space="preserve">INFORME DE ESTIMACIÓN DE GASTOS ADMINISTRATIVOS</w:t>
      </w:r>
    </w:p>
    <w:p>
      <w:pPr>
        <w:spacing w:after="200"/>
      </w:pPr>
      <w:r>
        <w:rPr>
          <w:i/>
          <w:iCs/>
          <w:sz w:val="24"/>
          <w:szCs w:val="24"/>
        </w:rPr>
        <w:t xml:space="preserve">Empresa de Logística — Proyección del Próximo Trimestre</w:t>
      </w:r>
    </w:p>
    <w:p>
      <w:pPr>
        <w:spacing w:after="160"/>
      </w:pPr>
      <w:r>
        <w:rPr>
          <w:b/>
          <w:bCs/>
          <w:sz w:val="22"/>
          <w:szCs w:val="22"/>
        </w:rPr>
        <w:t xml:space="preserve">Preparado por: Análisis Administrativo Senior</w:t>
      </w:r>
    </w:p>
    <w:p>
      <w:pPr>
        <w:spacing w:after="160"/>
      </w:pPr>
      <w:r>
        <w:rPr>
          <w:b/>
          <w:bCs/>
          <w:sz w:val="22"/>
          <w:szCs w:val="22"/>
        </w:rPr>
        <w:t xml:space="preserve">Fecha: 19 de agosto de 2026</w:t>
      </w:r>
    </w:p>
    <w:p>
      <w:pPr>
        <w:pStyle w:val="Heading1"/>
        <w:spacing w:after="160" w:before="300"/>
      </w:pPr>
      <w:r>
        <w:rPr>
          <w:b/>
          <w:bCs/>
        </w:rPr>
        <w:t xml:space="preserve">1. Resumen Ejecutivo</w:t>
      </w:r>
    </w:p>
    <w:p>
      <w:pPr>
        <w:spacing w:after="160"/>
      </w:pPr>
      <w:r>
        <w:rPr>
          <w:sz w:val="22"/>
          <w:szCs w:val="22"/>
        </w:rPr>
        <w:t xml:space="preserve">La estimación de gastos administrativos para el próximo trimestre identifica al personal administrativo, el alquiler de instalaciones y las plataformas tecnológicas de gestión (ERP, WMS y TMS) como los tres componentes de mayor peso dentro del presupuesto. En conjunto, estas tres categorías concentran más de la mitad del gasto administrativo proyectado y deben ser objeto de seguimiento prioritario. Los seguros, el cumplimiento normativo y los servicios profesionales externos representan compromisos recurrentes de menor flexibilidad, mientras que capacitación, representación y contingencias constituyen partidas susceptibles de ajuste según el desempeño del trimestre.</w:t>
      </w:r>
    </w:p>
    <w:p>
      <w:pPr>
        <w:pStyle w:val="Heading1"/>
        <w:spacing w:after="160" w:before="300"/>
      </w:pPr>
      <w:r>
        <w:rPr>
          <w:b/>
          <w:bCs/>
        </w:rPr>
        <w:t xml:space="preserve">2. Estimación de Gastos Administrativos por Categoría</w:t>
      </w:r>
    </w:p>
    <w:p>
      <w:pPr>
        <w:spacing w:after="160"/>
      </w:pPr>
      <w:r>
        <w:rPr>
          <w:sz w:val="22"/>
          <w:szCs w:val="22"/>
        </w:rPr>
        <w:t xml:space="preserve">La siguiente tabla resume la proyección de gasto administrativo mensual por categoría, su participación relativa dentro del presupuesto administrativo total y las observaciones correspondientes.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872"/>
        <w:gridCol w:w="1685"/>
        <w:gridCol w:w="3557"/>
      </w:tblGrid>
      <w:tr>
        <w:trPr>
          <w:tblHeader/>
        </w:trPr>
        <w:tc>
          <w:tcPr>
            <w:tcW w:type="dxa" w:w="2246"/>
            <w:shd w:fill="2F2F2F" w:val="clear"/>
            <w:tcMar>
              <w:top w:type="dxa" w:w="100"/>
              <w:left w:type="dxa" w:w="120"/>
              <w:bottom w:type="dxa" w:w="100"/>
              <w:right w:type="dxa" w:w="120"/>
            </w:tcMar>
          </w:tcPr>
          <w:p>
            <w:r>
              <w:rPr>
                <w:b/>
                <w:bCs/>
                <w:color w:val="FFFFFF"/>
                <w:sz w:val="20"/>
                <w:szCs w:val="20"/>
              </w:rPr>
              <w:t xml:space="preserve">Categoría</w:t>
            </w:r>
          </w:p>
        </w:tc>
        <w:tc>
          <w:tcPr>
            <w:tcW w:type="dxa" w:w="1872"/>
            <w:shd w:fill="2F2F2F" w:val="clear"/>
            <w:tcMar>
              <w:top w:type="dxa" w:w="100"/>
              <w:left w:type="dxa" w:w="120"/>
              <w:bottom w:type="dxa" w:w="100"/>
              <w:right w:type="dxa" w:w="120"/>
            </w:tcMar>
          </w:tcPr>
          <w:p>
            <w:r>
              <w:rPr>
                <w:b/>
                <w:bCs/>
                <w:color w:val="FFFFFF"/>
                <w:sz w:val="20"/>
                <w:szCs w:val="20"/>
              </w:rPr>
              <w:t xml:space="preserve">Gasto Estimado (Mensual)</w:t>
            </w:r>
          </w:p>
        </w:tc>
        <w:tc>
          <w:tcPr>
            <w:tcW w:type="dxa" w:w="1685"/>
            <w:shd w:fill="2F2F2F" w:val="clear"/>
            <w:tcMar>
              <w:top w:type="dxa" w:w="100"/>
              <w:left w:type="dxa" w:w="120"/>
              <w:bottom w:type="dxa" w:w="100"/>
              <w:right w:type="dxa" w:w="120"/>
            </w:tcMar>
          </w:tcPr>
          <w:p>
            <w:r>
              <w:rPr>
                <w:b/>
                <w:bCs/>
                <w:color w:val="FFFFFF"/>
                <w:sz w:val="20"/>
                <w:szCs w:val="20"/>
              </w:rPr>
              <w:t xml:space="preserve">Participación %</w:t>
            </w:r>
          </w:p>
        </w:tc>
        <w:tc>
          <w:tcPr>
            <w:tcW w:type="dxa" w:w="3557"/>
            <w:shd w:fill="2F2F2F" w:val="clear"/>
            <w:tcMar>
              <w:top w:type="dxa" w:w="100"/>
              <w:left w:type="dxa" w:w="120"/>
              <w:bottom w:type="dxa" w:w="100"/>
              <w:right w:type="dxa" w:w="120"/>
            </w:tcMar>
          </w:tcPr>
          <w:p>
            <w:r>
              <w:rPr>
                <w:b/>
                <w:bCs/>
                <w:color w:val="FFFFFF"/>
                <w:sz w:val="20"/>
                <w:szCs w:val="20"/>
              </w:rPr>
              <w:t xml:space="preserve">Observación</w:t>
            </w:r>
          </w:p>
        </w:tc>
      </w:tr>
      <w:tr>
        <w:trPr>
          <w:tblHeader w:val="false"/>
        </w:trPr>
        <w:tc>
          <w:tcPr>
            <w:tcW w:type="dxa" w:w="2246"/>
            <w:tcMar>
              <w:top w:type="dxa" w:w="100"/>
              <w:left w:type="dxa" w:w="120"/>
              <w:bottom w:type="dxa" w:w="100"/>
              <w:right w:type="dxa" w:w="120"/>
            </w:tcMar>
          </w:tcPr>
          <w:p>
            <w:r>
              <w:rPr>
                <w:b/>
                <w:bCs/>
                <w:sz w:val="20"/>
                <w:szCs w:val="20"/>
              </w:rPr>
              <w:t xml:space="preserve">Personal Administrativo</w:t>
            </w:r>
          </w:p>
        </w:tc>
        <w:tc>
          <w:tcPr>
            <w:tcW w:type="dxa" w:w="1872"/>
            <w:tcMar>
              <w:top w:type="dxa" w:w="100"/>
              <w:left w:type="dxa" w:w="120"/>
              <w:bottom w:type="dxa" w:w="100"/>
              <w:right w:type="dxa" w:w="120"/>
            </w:tcMar>
          </w:tcPr>
          <w:p>
            <w:r>
              <w:rPr>
                <w:sz w:val="20"/>
                <w:szCs w:val="20"/>
              </w:rPr>
              <w:t xml:space="preserve">$18,500</w:t>
            </w:r>
          </w:p>
        </w:tc>
        <w:tc>
          <w:tcPr>
            <w:tcW w:type="dxa" w:w="1685"/>
            <w:tcMar>
              <w:top w:type="dxa" w:w="100"/>
              <w:left w:type="dxa" w:w="120"/>
              <w:bottom w:type="dxa" w:w="100"/>
              <w:right w:type="dxa" w:w="120"/>
            </w:tcMar>
          </w:tcPr>
          <w:p>
            <w:r>
              <w:rPr>
                <w:sz w:val="20"/>
                <w:szCs w:val="20"/>
              </w:rPr>
              <w:t xml:space="preserve">34%</w:t>
            </w:r>
          </w:p>
        </w:tc>
        <w:tc>
          <w:tcPr>
            <w:tcW w:type="dxa" w:w="3557"/>
            <w:tcMar>
              <w:top w:type="dxa" w:w="100"/>
              <w:left w:type="dxa" w:w="120"/>
              <w:bottom w:type="dxa" w:w="100"/>
              <w:right w:type="dxa" w:w="120"/>
            </w:tcMar>
          </w:tcPr>
          <w:p>
            <w:r>
              <w:rPr>
                <w:sz w:val="20"/>
                <w:szCs w:val="20"/>
              </w:rPr>
              <w:t xml:space="preserve">Incluye nómina de back-office, RR.HH. y atención al cliente.</w:t>
            </w:r>
          </w:p>
        </w:tc>
      </w:tr>
      <w:tr>
        <w:trPr>
          <w:tblHeader w:val="false"/>
        </w:trPr>
        <w:tc>
          <w:tcPr>
            <w:tcW w:type="dxa" w:w="2246"/>
            <w:tcMar>
              <w:top w:type="dxa" w:w="100"/>
              <w:left w:type="dxa" w:w="120"/>
              <w:bottom w:type="dxa" w:w="100"/>
              <w:right w:type="dxa" w:w="120"/>
            </w:tcMar>
          </w:tcPr>
          <w:p>
            <w:r>
              <w:rPr>
                <w:b/>
                <w:bCs/>
                <w:sz w:val="20"/>
                <w:szCs w:val="20"/>
              </w:rPr>
              <w:t xml:space="preserve">Alquiler y Servicios de Oficina/Bodega</w:t>
            </w:r>
          </w:p>
        </w:tc>
        <w:tc>
          <w:tcPr>
            <w:tcW w:type="dxa" w:w="1872"/>
            <w:tcMar>
              <w:top w:type="dxa" w:w="100"/>
              <w:left w:type="dxa" w:w="120"/>
              <w:bottom w:type="dxa" w:w="100"/>
              <w:right w:type="dxa" w:w="120"/>
            </w:tcMar>
          </w:tcPr>
          <w:p>
            <w:r>
              <w:rPr>
                <w:sz w:val="20"/>
                <w:szCs w:val="20"/>
              </w:rPr>
              <w:t xml:space="preserve">$9,200</w:t>
            </w:r>
          </w:p>
        </w:tc>
        <w:tc>
          <w:tcPr>
            <w:tcW w:type="dxa" w:w="1685"/>
            <w:tcMar>
              <w:top w:type="dxa" w:w="100"/>
              <w:left w:type="dxa" w:w="120"/>
              <w:bottom w:type="dxa" w:w="100"/>
              <w:right w:type="dxa" w:w="120"/>
            </w:tcMar>
          </w:tcPr>
          <w:p>
            <w:r>
              <w:rPr>
                <w:sz w:val="20"/>
                <w:szCs w:val="20"/>
              </w:rPr>
              <w:t xml:space="preserve">17%</w:t>
            </w:r>
          </w:p>
        </w:tc>
        <w:tc>
          <w:tcPr>
            <w:tcW w:type="dxa" w:w="3557"/>
            <w:tcMar>
              <w:top w:type="dxa" w:w="100"/>
              <w:left w:type="dxa" w:w="120"/>
              <w:bottom w:type="dxa" w:w="100"/>
              <w:right w:type="dxa" w:w="120"/>
            </w:tcMar>
          </w:tcPr>
          <w:p>
            <w:r>
              <w:rPr>
                <w:sz w:val="20"/>
                <w:szCs w:val="20"/>
              </w:rPr>
              <w:t xml:space="preserve">Incluye alquiler de oficinas administrativas y servicios básicos.</w:t>
            </w:r>
          </w:p>
        </w:tc>
      </w:tr>
      <w:tr>
        <w:trPr>
          <w:tblHeader w:val="false"/>
        </w:trPr>
        <w:tc>
          <w:tcPr>
            <w:tcW w:type="dxa" w:w="2246"/>
            <w:tcMar>
              <w:top w:type="dxa" w:w="100"/>
              <w:left w:type="dxa" w:w="120"/>
              <w:bottom w:type="dxa" w:w="100"/>
              <w:right w:type="dxa" w:w="120"/>
            </w:tcMar>
          </w:tcPr>
          <w:p>
            <w:r>
              <w:rPr>
                <w:b/>
                <w:bCs/>
                <w:sz w:val="20"/>
                <w:szCs w:val="20"/>
              </w:rPr>
              <w:t xml:space="preserve">Software de Gestión (ERP / WMS / TMS)</w:t>
            </w:r>
          </w:p>
        </w:tc>
        <w:tc>
          <w:tcPr>
            <w:tcW w:type="dxa" w:w="1872"/>
            <w:tcMar>
              <w:top w:type="dxa" w:w="100"/>
              <w:left w:type="dxa" w:w="120"/>
              <w:bottom w:type="dxa" w:w="100"/>
              <w:right w:type="dxa" w:w="120"/>
            </w:tcMar>
          </w:tcPr>
          <w:p>
            <w:r>
              <w:rPr>
                <w:sz w:val="20"/>
                <w:szCs w:val="20"/>
              </w:rPr>
              <w:t xml:space="preserve">$7,800</w:t>
            </w:r>
          </w:p>
        </w:tc>
        <w:tc>
          <w:tcPr>
            <w:tcW w:type="dxa" w:w="1685"/>
            <w:tcMar>
              <w:top w:type="dxa" w:w="100"/>
              <w:left w:type="dxa" w:w="120"/>
              <w:bottom w:type="dxa" w:w="100"/>
              <w:right w:type="dxa" w:w="120"/>
            </w:tcMar>
          </w:tcPr>
          <w:p>
            <w:r>
              <w:rPr>
                <w:sz w:val="20"/>
                <w:szCs w:val="20"/>
              </w:rPr>
              <w:t xml:space="preserve">14%</w:t>
            </w:r>
          </w:p>
        </w:tc>
        <w:tc>
          <w:tcPr>
            <w:tcW w:type="dxa" w:w="3557"/>
            <w:tcMar>
              <w:top w:type="dxa" w:w="100"/>
              <w:left w:type="dxa" w:w="120"/>
              <w:bottom w:type="dxa" w:w="100"/>
              <w:right w:type="dxa" w:w="120"/>
            </w:tcMar>
          </w:tcPr>
          <w:p>
            <w:r>
              <w:rPr>
                <w:sz w:val="20"/>
                <w:szCs w:val="20"/>
              </w:rPr>
              <w:t xml:space="preserve">Licencias de plataformas de gestión de flota, almacén y facturación.</w:t>
            </w:r>
          </w:p>
        </w:tc>
      </w:tr>
      <w:tr>
        <w:trPr>
          <w:tblHeader w:val="false"/>
        </w:trPr>
        <w:tc>
          <w:tcPr>
            <w:tcW w:type="dxa" w:w="2246"/>
            <w:tcMar>
              <w:top w:type="dxa" w:w="100"/>
              <w:left w:type="dxa" w:w="120"/>
              <w:bottom w:type="dxa" w:w="100"/>
              <w:right w:type="dxa" w:w="120"/>
            </w:tcMar>
          </w:tcPr>
          <w:p>
            <w:r>
              <w:rPr>
                <w:b/>
                <w:bCs/>
                <w:sz w:val="20"/>
                <w:szCs w:val="20"/>
              </w:rPr>
              <w:t xml:space="preserve">Seguros y Cumplimiento Normativo</w:t>
            </w:r>
          </w:p>
        </w:tc>
        <w:tc>
          <w:tcPr>
            <w:tcW w:type="dxa" w:w="1872"/>
            <w:tcMar>
              <w:top w:type="dxa" w:w="100"/>
              <w:left w:type="dxa" w:w="120"/>
              <w:bottom w:type="dxa" w:w="100"/>
              <w:right w:type="dxa" w:w="120"/>
            </w:tcMar>
          </w:tcPr>
          <w:p>
            <w:r>
              <w:rPr>
                <w:sz w:val="20"/>
                <w:szCs w:val="20"/>
              </w:rPr>
              <w:t xml:space="preserve">$6,400</w:t>
            </w:r>
          </w:p>
        </w:tc>
        <w:tc>
          <w:tcPr>
            <w:tcW w:type="dxa" w:w="1685"/>
            <w:tcMar>
              <w:top w:type="dxa" w:w="100"/>
              <w:left w:type="dxa" w:w="120"/>
              <w:bottom w:type="dxa" w:w="100"/>
              <w:right w:type="dxa" w:w="120"/>
            </w:tcMar>
          </w:tcPr>
          <w:p>
            <w:r>
              <w:rPr>
                <w:sz w:val="20"/>
                <w:szCs w:val="20"/>
              </w:rPr>
              <w:t xml:space="preserve">12%</w:t>
            </w:r>
          </w:p>
        </w:tc>
        <w:tc>
          <w:tcPr>
            <w:tcW w:type="dxa" w:w="3557"/>
            <w:tcMar>
              <w:top w:type="dxa" w:w="100"/>
              <w:left w:type="dxa" w:w="120"/>
              <w:bottom w:type="dxa" w:w="100"/>
              <w:right w:type="dxa" w:w="120"/>
            </w:tcMar>
          </w:tcPr>
          <w:p>
            <w:r>
              <w:rPr>
                <w:sz w:val="20"/>
                <w:szCs w:val="20"/>
              </w:rPr>
              <w:t xml:space="preserve">Pólizas de carga, responsabilidad civil y permisos regulatorios.</w:t>
            </w:r>
          </w:p>
        </w:tc>
      </w:tr>
      <w:tr>
        <w:trPr>
          <w:tblHeader w:val="false"/>
        </w:trPr>
        <w:tc>
          <w:tcPr>
            <w:tcW w:type="dxa" w:w="2246"/>
            <w:tcMar>
              <w:top w:type="dxa" w:w="100"/>
              <w:left w:type="dxa" w:w="120"/>
              <w:bottom w:type="dxa" w:w="100"/>
              <w:right w:type="dxa" w:w="120"/>
            </w:tcMar>
          </w:tcPr>
          <w:p>
            <w:r>
              <w:rPr>
                <w:b/>
                <w:bCs/>
                <w:sz w:val="20"/>
                <w:szCs w:val="20"/>
              </w:rPr>
              <w:t xml:space="preserve">Servicios Profesionales (Legal / Contable)</w:t>
            </w:r>
          </w:p>
        </w:tc>
        <w:tc>
          <w:tcPr>
            <w:tcW w:type="dxa" w:w="1872"/>
            <w:tcMar>
              <w:top w:type="dxa" w:w="100"/>
              <w:left w:type="dxa" w:w="120"/>
              <w:bottom w:type="dxa" w:w="100"/>
              <w:right w:type="dxa" w:w="120"/>
            </w:tcMar>
          </w:tcPr>
          <w:p>
            <w:r>
              <w:rPr>
                <w:sz w:val="20"/>
                <w:szCs w:val="20"/>
              </w:rPr>
              <w:t xml:space="preserve">$4,600</w:t>
            </w:r>
          </w:p>
        </w:tc>
        <w:tc>
          <w:tcPr>
            <w:tcW w:type="dxa" w:w="1685"/>
            <w:tcMar>
              <w:top w:type="dxa" w:w="100"/>
              <w:left w:type="dxa" w:w="120"/>
              <w:bottom w:type="dxa" w:w="100"/>
              <w:right w:type="dxa" w:w="120"/>
            </w:tcMar>
          </w:tcPr>
          <w:p>
            <w:r>
              <w:rPr>
                <w:sz w:val="20"/>
                <w:szCs w:val="20"/>
              </w:rPr>
              <w:t xml:space="preserve">8%</w:t>
            </w:r>
          </w:p>
        </w:tc>
        <w:tc>
          <w:tcPr>
            <w:tcW w:type="dxa" w:w="3557"/>
            <w:tcMar>
              <w:top w:type="dxa" w:w="100"/>
              <w:left w:type="dxa" w:w="120"/>
              <w:bottom w:type="dxa" w:w="100"/>
              <w:right w:type="dxa" w:w="120"/>
            </w:tcMar>
          </w:tcPr>
          <w:p>
            <w:r>
              <w:rPr>
                <w:sz w:val="20"/>
                <w:szCs w:val="20"/>
              </w:rPr>
              <w:t xml:space="preserve">Asesoría externa recurrente y auditorías periódicas.</w:t>
            </w:r>
          </w:p>
        </w:tc>
      </w:tr>
      <w:tr>
        <w:trPr>
          <w:tblHeader w:val="false"/>
        </w:trPr>
        <w:tc>
          <w:tcPr>
            <w:tcW w:type="dxa" w:w="2246"/>
            <w:tcMar>
              <w:top w:type="dxa" w:w="100"/>
              <w:left w:type="dxa" w:w="120"/>
              <w:bottom w:type="dxa" w:w="100"/>
              <w:right w:type="dxa" w:w="120"/>
            </w:tcMar>
          </w:tcPr>
          <w:p>
            <w:r>
              <w:rPr>
                <w:b/>
                <w:bCs/>
                <w:sz w:val="20"/>
                <w:szCs w:val="20"/>
              </w:rPr>
              <w:t xml:space="preserve">Capacitación y Desarrollo</w:t>
            </w:r>
          </w:p>
        </w:tc>
        <w:tc>
          <w:tcPr>
            <w:tcW w:type="dxa" w:w="1872"/>
            <w:tcMar>
              <w:top w:type="dxa" w:w="100"/>
              <w:left w:type="dxa" w:w="120"/>
              <w:bottom w:type="dxa" w:w="100"/>
              <w:right w:type="dxa" w:w="120"/>
            </w:tcMar>
          </w:tcPr>
          <w:p>
            <w:r>
              <w:rPr>
                <w:sz w:val="20"/>
                <w:szCs w:val="20"/>
              </w:rPr>
              <w:t xml:space="preserve">$2,300</w:t>
            </w:r>
          </w:p>
        </w:tc>
        <w:tc>
          <w:tcPr>
            <w:tcW w:type="dxa" w:w="1685"/>
            <w:tcMar>
              <w:top w:type="dxa" w:w="100"/>
              <w:left w:type="dxa" w:w="120"/>
              <w:bottom w:type="dxa" w:w="100"/>
              <w:right w:type="dxa" w:w="120"/>
            </w:tcMar>
          </w:tcPr>
          <w:p>
            <w:r>
              <w:rPr>
                <w:sz w:val="20"/>
                <w:szCs w:val="20"/>
              </w:rPr>
              <w:t xml:space="preserve">4%</w:t>
            </w:r>
          </w:p>
        </w:tc>
        <w:tc>
          <w:tcPr>
            <w:tcW w:type="dxa" w:w="3557"/>
            <w:tcMar>
              <w:top w:type="dxa" w:w="100"/>
              <w:left w:type="dxa" w:w="120"/>
              <w:bottom w:type="dxa" w:w="100"/>
              <w:right w:type="dxa" w:w="120"/>
            </w:tcMar>
          </w:tcPr>
          <w:p>
            <w:r>
              <w:rPr>
                <w:sz w:val="20"/>
                <w:szCs w:val="20"/>
              </w:rPr>
              <w:t xml:space="preserve">Formación en normativa de transporte y manejo de sistemas.</w:t>
            </w:r>
          </w:p>
        </w:tc>
      </w:tr>
      <w:tr>
        <w:trPr>
          <w:tblHeader w:val="false"/>
        </w:trPr>
        <w:tc>
          <w:tcPr>
            <w:tcW w:type="dxa" w:w="2246"/>
            <w:tcMar>
              <w:top w:type="dxa" w:w="100"/>
              <w:left w:type="dxa" w:w="120"/>
              <w:bottom w:type="dxa" w:w="100"/>
              <w:right w:type="dxa" w:w="120"/>
            </w:tcMar>
          </w:tcPr>
          <w:p>
            <w:r>
              <w:rPr>
                <w:b/>
                <w:bCs/>
                <w:sz w:val="20"/>
                <w:szCs w:val="20"/>
              </w:rPr>
              <w:t xml:space="preserve">Gastos de Representación y Viajes</w:t>
            </w:r>
          </w:p>
        </w:tc>
        <w:tc>
          <w:tcPr>
            <w:tcW w:type="dxa" w:w="1872"/>
            <w:tcMar>
              <w:top w:type="dxa" w:w="100"/>
              <w:left w:type="dxa" w:w="120"/>
              <w:bottom w:type="dxa" w:w="100"/>
              <w:right w:type="dxa" w:w="120"/>
            </w:tcMar>
          </w:tcPr>
          <w:p>
            <w:r>
              <w:rPr>
                <w:sz w:val="20"/>
                <w:szCs w:val="20"/>
              </w:rPr>
              <w:t xml:space="preserve">$3,100</w:t>
            </w:r>
          </w:p>
        </w:tc>
        <w:tc>
          <w:tcPr>
            <w:tcW w:type="dxa" w:w="1685"/>
            <w:tcMar>
              <w:top w:type="dxa" w:w="100"/>
              <w:left w:type="dxa" w:w="120"/>
              <w:bottom w:type="dxa" w:w="100"/>
              <w:right w:type="dxa" w:w="120"/>
            </w:tcMar>
          </w:tcPr>
          <w:p>
            <w:r>
              <w:rPr>
                <w:sz w:val="20"/>
                <w:szCs w:val="20"/>
              </w:rPr>
              <w:t xml:space="preserve">6%</w:t>
            </w:r>
          </w:p>
        </w:tc>
        <w:tc>
          <w:tcPr>
            <w:tcW w:type="dxa" w:w="3557"/>
            <w:tcMar>
              <w:top w:type="dxa" w:w="100"/>
              <w:left w:type="dxa" w:w="120"/>
              <w:bottom w:type="dxa" w:w="100"/>
              <w:right w:type="dxa" w:w="120"/>
            </w:tcMar>
          </w:tcPr>
          <w:p>
            <w:r>
              <w:rPr>
                <w:sz w:val="20"/>
                <w:szCs w:val="20"/>
              </w:rPr>
              <w:t xml:space="preserve">Visitas a clientes clave y negociación con proveedores.</w:t>
            </w:r>
          </w:p>
        </w:tc>
      </w:tr>
      <w:tr>
        <w:trPr>
          <w:tblHeader w:val="false"/>
        </w:trPr>
        <w:tc>
          <w:tcPr>
            <w:tcW w:type="dxa" w:w="2246"/>
            <w:tcMar>
              <w:top w:type="dxa" w:w="100"/>
              <w:left w:type="dxa" w:w="120"/>
              <w:bottom w:type="dxa" w:w="100"/>
              <w:right w:type="dxa" w:w="120"/>
            </w:tcMar>
          </w:tcPr>
          <w:p>
            <w:r>
              <w:rPr>
                <w:b/>
                <w:bCs/>
                <w:sz w:val="20"/>
                <w:szCs w:val="20"/>
              </w:rPr>
              <w:t xml:space="preserve">Contingencias Administrativas</w:t>
            </w:r>
          </w:p>
        </w:tc>
        <w:tc>
          <w:tcPr>
            <w:tcW w:type="dxa" w:w="1872"/>
            <w:tcMar>
              <w:top w:type="dxa" w:w="100"/>
              <w:left w:type="dxa" w:w="120"/>
              <w:bottom w:type="dxa" w:w="100"/>
              <w:right w:type="dxa" w:w="120"/>
            </w:tcMar>
          </w:tcPr>
          <w:p>
            <w:r>
              <w:rPr>
                <w:sz w:val="20"/>
                <w:szCs w:val="20"/>
              </w:rPr>
              <w:t xml:space="preserve">$2,600</w:t>
            </w:r>
          </w:p>
        </w:tc>
        <w:tc>
          <w:tcPr>
            <w:tcW w:type="dxa" w:w="1685"/>
            <w:tcMar>
              <w:top w:type="dxa" w:w="100"/>
              <w:left w:type="dxa" w:w="120"/>
              <w:bottom w:type="dxa" w:w="100"/>
              <w:right w:type="dxa" w:w="120"/>
            </w:tcMar>
          </w:tcPr>
          <w:p>
            <w:r>
              <w:rPr>
                <w:sz w:val="20"/>
                <w:szCs w:val="20"/>
              </w:rPr>
              <w:t xml:space="preserve">5%</w:t>
            </w:r>
          </w:p>
        </w:tc>
        <w:tc>
          <w:tcPr>
            <w:tcW w:type="dxa" w:w="3557"/>
            <w:tcMar>
              <w:top w:type="dxa" w:w="100"/>
              <w:left w:type="dxa" w:w="120"/>
              <w:bottom w:type="dxa" w:w="100"/>
              <w:right w:type="dxa" w:w="120"/>
            </w:tcMar>
          </w:tcPr>
          <w:p>
            <w:r>
              <w:rPr>
                <w:sz w:val="20"/>
                <w:szCs w:val="20"/>
              </w:rPr>
              <w:t xml:space="preserve">Reserva para imprevistos operativos y administrativos.</w:t>
            </w:r>
          </w:p>
        </w:tc>
      </w:tr>
    </w:tbl>
    <w:p>
      <w:pPr>
        <w:spacing w:after="0" w:before="160"/>
      </w:pPr>
    </w:p>
    <w:p>
      <w:pPr>
        <w:pStyle w:val="Heading1"/>
        <w:spacing w:after="160" w:before="300"/>
      </w:pPr>
      <w:r>
        <w:rPr>
          <w:b/>
          <w:bCs/>
        </w:rPr>
        <w:t xml:space="preserve">3. Análisis por Categoría</w:t>
      </w:r>
    </w:p>
    <w:p>
      <w:pPr>
        <w:pStyle w:val="Heading2"/>
        <w:spacing w:after="120" w:before="240"/>
      </w:pPr>
      <w:r>
        <w:rPr>
          <w:b/>
          <w:bCs/>
        </w:rPr>
        <w:t xml:space="preserve">Personal Administrativo (34%)</w:t>
      </w:r>
    </w:p>
    <w:p>
      <w:pPr>
        <w:spacing w:after="160"/>
      </w:pPr>
      <w:r>
        <w:rPr>
          <w:sz w:val="22"/>
          <w:szCs w:val="22"/>
        </w:rPr>
        <w:t xml:space="preserve">Es la partida de mayor peso, dado que la operación logística requiere un equipo estable de back-office para coordinación de despachos, atención al cliente y gestión documental. Se recomienda revisar la dotación de personal frente al volumen de operaciones proyectado antes de autorizar nuevas contrataciones.</w:t>
      </w:r>
    </w:p>
    <w:p>
      <w:pPr>
        <w:pStyle w:val="Heading2"/>
        <w:spacing w:after="120" w:before="240"/>
      </w:pPr>
      <w:r>
        <w:rPr>
          <w:b/>
          <w:bCs/>
        </w:rPr>
        <w:t xml:space="preserve">Alquiler y Servicios de Oficina/Bodega (17%)</w:t>
      </w:r>
    </w:p>
    <w:p>
      <w:pPr>
        <w:spacing w:after="160"/>
      </w:pPr>
      <w:r>
        <w:rPr>
          <w:sz w:val="22"/>
          <w:szCs w:val="22"/>
        </w:rPr>
        <w:t xml:space="preserve">Incluye el alquiler de espacios administrativos y de bodega, junto con servicios básicos asociados. Se sugiere evaluar la renegociación de contratos vigentes y la consolidación de espacios subutilizados.</w:t>
      </w:r>
    </w:p>
    <w:p>
      <w:pPr>
        <w:pStyle w:val="Heading2"/>
        <w:spacing w:after="120" w:before="240"/>
      </w:pPr>
      <w:r>
        <w:rPr>
          <w:b/>
          <w:bCs/>
        </w:rPr>
        <w:t xml:space="preserve">Software de Gestión — ERP / WMS / TMS (14%)</w:t>
      </w:r>
    </w:p>
    <w:p>
      <w:pPr>
        <w:spacing w:after="160"/>
      </w:pPr>
      <w:r>
        <w:rPr>
          <w:sz w:val="22"/>
          <w:szCs w:val="22"/>
        </w:rPr>
        <w:t xml:space="preserve">Corresponde a licencias de plataformas críticas para la gestión de flota, almacén y facturación. Dado su carácter estratégico, se recomienda mantener la inversión y evaluar módulos adicionales que reduzcan costos operativos indirectos.</w:t>
      </w:r>
    </w:p>
    <w:p>
      <w:pPr>
        <w:pStyle w:val="Heading2"/>
        <w:spacing w:after="120" w:before="240"/>
      </w:pPr>
      <w:r>
        <w:rPr>
          <w:b/>
          <w:bCs/>
        </w:rPr>
        <w:t xml:space="preserve">Seguros y Cumplimiento Normativo (12%)</w:t>
      </w:r>
    </w:p>
    <w:p>
      <w:pPr>
        <w:spacing w:after="160"/>
      </w:pPr>
      <w:r>
        <w:rPr>
          <w:sz w:val="22"/>
          <w:szCs w:val="22"/>
        </w:rPr>
        <w:t xml:space="preserve">Comprende pólizas de carga, responsabilidad civil y permisos regulatorios del sector transporte. Es una partida de baja flexibilidad; se recomienda únicamente comparar coberturas entre aseguradoras para optimizar el costo sin reducir el nivel de protección.</w:t>
      </w:r>
    </w:p>
    <w:p>
      <w:pPr>
        <w:pStyle w:val="Heading2"/>
        <w:spacing w:after="120" w:before="240"/>
      </w:pPr>
      <w:r>
        <w:rPr>
          <w:b/>
          <w:bCs/>
        </w:rPr>
        <w:t xml:space="preserve">Servicios Profesionales — Legal / Contable (8%)</w:t>
      </w:r>
    </w:p>
    <w:p>
      <w:pPr>
        <w:spacing w:after="160"/>
      </w:pPr>
      <w:r>
        <w:rPr>
          <w:sz w:val="22"/>
          <w:szCs w:val="22"/>
        </w:rPr>
        <w:t xml:space="preserve">Incluye asesoría externa recurrente y auditorías periódicas. Se sugiere evaluar la conveniencia de internalizar parcialmente estas funciones si el volumen de requerimientos continúa en aumento.</w:t>
      </w:r>
    </w:p>
    <w:p>
      <w:pPr>
        <w:pStyle w:val="Heading2"/>
        <w:spacing w:after="120" w:before="240"/>
      </w:pPr>
      <w:r>
        <w:rPr>
          <w:b/>
          <w:bCs/>
        </w:rPr>
        <w:t xml:space="preserve">Gastos de Representación y Viajes (6%)</w:t>
      </w:r>
    </w:p>
    <w:p>
      <w:pPr>
        <w:spacing w:after="160"/>
      </w:pPr>
      <w:r>
        <w:rPr>
          <w:sz w:val="22"/>
          <w:szCs w:val="22"/>
        </w:rPr>
        <w:t xml:space="preserve">Asociados a visitas a clientes clave y negociación con proveedores. Es una partida ajustable según prioridades comerciales del trimestre.</w:t>
      </w:r>
    </w:p>
    <w:p>
      <w:pPr>
        <w:pStyle w:val="Heading2"/>
        <w:spacing w:after="120" w:before="240"/>
      </w:pPr>
      <w:r>
        <w:rPr>
          <w:b/>
          <w:bCs/>
        </w:rPr>
        <w:t xml:space="preserve">Contingencias Administrativas (5%)</w:t>
      </w:r>
    </w:p>
    <w:p>
      <w:pPr>
        <w:spacing w:after="160"/>
      </w:pPr>
      <w:r>
        <w:rPr>
          <w:sz w:val="22"/>
          <w:szCs w:val="22"/>
        </w:rPr>
        <w:t xml:space="preserve">Reserva destinada a imprevistos operativos y administrativos. Se recomienda mantenerla sin ejecutar salvo necesidad justificada, dado su carácter preventivo.</w:t>
      </w:r>
    </w:p>
    <w:p>
      <w:pPr>
        <w:pStyle w:val="Heading2"/>
        <w:spacing w:after="120" w:before="240"/>
      </w:pPr>
      <w:r>
        <w:rPr>
          <w:b/>
          <w:bCs/>
        </w:rPr>
        <w:t xml:space="preserve">Capacitación y Desarrollo (4%)</w:t>
      </w:r>
    </w:p>
    <w:p>
      <w:pPr>
        <w:spacing w:after="160"/>
      </w:pPr>
      <w:r>
        <w:rPr>
          <w:sz w:val="22"/>
          <w:szCs w:val="22"/>
        </w:rPr>
        <w:t xml:space="preserve">Partida de menor peso relativo, orientada a formación en normativa de transporte y manejo de sistemas. Se recomienda mantenerla o incrementarla levemente si se proyectan cambios regulatorios en el sector.</w:t>
      </w:r>
    </w:p>
    <w:p>
      <w:pPr>
        <w:pStyle w:val="Heading1"/>
        <w:spacing w:after="160" w:before="300"/>
      </w:pPr>
      <w:r>
        <w:rPr>
          <w:b/>
          <w:bCs/>
        </w:rPr>
        <w:t xml:space="preserve">4. Recomendaciones Generales</w:t>
      </w:r>
    </w:p>
    <w:p>
      <w:pPr>
        <w:pStyle w:val="ListParagraph"/>
        <w:numPr>
          <w:ilvl w:val="0"/>
          <w:numId w:val="1"/>
        </w:numPr>
        <w:spacing w:after="120"/>
      </w:pPr>
      <w:r>
        <w:rPr>
          <w:sz w:val="22"/>
          <w:szCs w:val="22"/>
        </w:rPr>
        <w:t xml:space="preserve">Priorizar el seguimiento de personal administrativo, alquiler y plataformas tecnológicas por su mayor peso dentro del presupuesto.</w:t>
      </w:r>
    </w:p>
    <w:p>
      <w:pPr>
        <w:pStyle w:val="ListParagraph"/>
        <w:numPr>
          <w:ilvl w:val="0"/>
          <w:numId w:val="1"/>
        </w:numPr>
        <w:spacing w:after="120"/>
      </w:pPr>
      <w:r>
        <w:rPr>
          <w:sz w:val="22"/>
          <w:szCs w:val="22"/>
        </w:rPr>
        <w:t xml:space="preserve">Evaluar la renegociación de contratos de alquiler y de licencias de software antes del cierre del trimestre.</w:t>
      </w:r>
    </w:p>
    <w:p>
      <w:pPr>
        <w:pStyle w:val="ListParagraph"/>
        <w:numPr>
          <w:ilvl w:val="0"/>
          <w:numId w:val="1"/>
        </w:numPr>
        <w:spacing w:after="120"/>
      </w:pPr>
      <w:r>
        <w:rPr>
          <w:sz w:val="22"/>
          <w:szCs w:val="22"/>
        </w:rPr>
        <w:t xml:space="preserve">Mantener sin reducción las partidas de seguros y cumplimiento normativo dado su carácter obligatorio.</w:t>
      </w:r>
    </w:p>
    <w:p>
      <w:pPr>
        <w:pStyle w:val="ListParagraph"/>
        <w:numPr>
          <w:ilvl w:val="0"/>
          <w:numId w:val="1"/>
        </w:numPr>
        <w:spacing w:after="120"/>
      </w:pPr>
      <w:r>
        <w:rPr>
          <w:sz w:val="22"/>
          <w:szCs w:val="22"/>
        </w:rPr>
        <w:t xml:space="preserve">Establecer revisión mensual de la ejecución real frente a la estimación para anticipar desviaciones.</w:t>
      </w:r>
    </w:p>
    <w:p>
      <w:pPr>
        <w:pStyle w:val="ListParagraph"/>
        <w:numPr>
          <w:ilvl w:val="0"/>
          <w:numId w:val="1"/>
        </w:numPr>
        <w:spacing w:after="120"/>
      </w:pPr>
      <w:r>
        <w:rPr>
          <w:sz w:val="22"/>
          <w:szCs w:val="22"/>
        </w:rPr>
        <w:t xml:space="preserve">Condicionar la ejecución de la reserva de contingencias a necesidades debidamente justificadas.</w:t>
      </w:r>
    </w:p>
    <w:p>
      <w:pPr>
        <w:pStyle w:val="Heading1"/>
        <w:spacing w:after="160" w:before="300"/>
      </w:pPr>
      <w:r>
        <w:rPr>
          <w:b/>
          <w:bCs/>
        </w:rPr>
        <w:t xml:space="preserve">5. Nota Metodológica</w:t>
      </w:r>
    </w:p>
    <w:p>
      <w:pPr>
        <w:spacing w:after="200"/>
      </w:pPr>
      <w:r>
        <w:rPr>
          <w:i/>
          <w:iCs/>
          <w:sz w:val="20"/>
          <w:szCs w:val="20"/>
        </w:rPr>
        <w:t xml:space="preserve">Este informe se basa en un modelo ilustrativo de gastos administrativos típicos de una empresa de logística, presentado como referencia. Para un análisis con validez financiera plena, se recomienda sustituir las cifras aquí presentadas por los datos reales del sistema de planificación presupuestaria de la compañía.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Página </w:t>
    </w:r>
    <w:r>
      <w:rPr>
        <w:sz w:val="18"/>
        <w:szCs w:val="18"/>
      </w:rPr>
      <w:fldChar w:fldCharType="begin"/>
      <w:instrText xml:space="preserve">PAGE</w:instrText>
      <w:fldChar w:fldCharType="separate"/>
      <w:fldChar w:fldCharType="end"/>
    </w:r>
    <w:r>
      <w:rPr>
        <w:sz w:val="18"/>
        <w:szCs w:val="18"/>
      </w:rPr>
      <w:t xml:space="preserve"> de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55555"/>
        <w:sz w:val="18"/>
        <w:szCs w:val="18"/>
      </w:rPr>
      <w:t xml:space="preserve">Informe Confidencial — Uso Interno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2026-08-18T23:19:18.987Z</dcterms:created>
  <dcterms:modified xsi:type="dcterms:W3CDTF">2026-08-18T23:19:19.000Z</dcterms:modified>
</cp:coreProperties>
</file>

<file path=docProps/custom.xml><?xml version="1.0" encoding="utf-8"?>
<Properties xmlns="http://schemas.openxmlformats.org/officeDocument/2006/custom-properties" xmlns:vt="http://schemas.openxmlformats.org/officeDocument/2006/docPropsVTypes"/>
</file>