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html_content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"""&lt;!DOCTYPE html&gt;</w:t>
        <w:br w:type="textWrapping"/>
        <w:t xml:space="preserve">&lt;html lang="es"&gt;</w:t>
        <w:br w:type="textWrapping"/>
        <w:t xml:space="preserve">&lt;head&gt;</w:t>
        <w:br w:type="textWrapping"/>
        <w:t xml:space="preserve">&lt;meta charset="UTF-8"&gt;</w:t>
        <w:br w:type="textWrapping"/>
        <w:t xml:space="preserve">&lt;style&gt;</w:t>
        <w:br w:type="textWrapping"/>
        <w:t xml:space="preserve">  @page {</w:t>
        <w:br w:type="textWrapping"/>
        <w:t xml:space="preserve">    size: A4;</w:t>
        <w:br w:type="textWrapping"/>
        <w:t xml:space="preserve">    margin: 20mm 18mm 20mm 18mm;</w:t>
        <w:br w:type="textWrapping"/>
        <w:t xml:space="preserve">    background-color: #f8fafc;</w:t>
        <w:br w:type="textWrapping"/>
        <w:t xml:space="preserve">  }</w:t>
        <w:br w:type="textWrapping"/>
        <w:br w:type="textWrapping"/>
        <w:t xml:space="preserve">  * {</w:t>
        <w:br w:type="textWrapping"/>
        <w:t xml:space="preserve">    box-sizing: border-box;</w:t>
        <w:br w:type="textWrapping"/>
        <w:t xml:space="preserve">  }</w:t>
        <w:br w:type="textWrapping"/>
        <w:br w:type="textWrapping"/>
        <w:t xml:space="preserve">  body {</w:t>
        <w:br w:type="textWrapping"/>
        <w:t xml:space="preserve">    font-family: 'Helvetica Neue', Helvetica, Arial, sans-serif;</w:t>
        <w:br w:type="textWrapping"/>
        <w:t xml:space="preserve">    color: #1e293b;</w:t>
        <w:br w:type="textWrapping"/>
        <w:t xml:space="preserve">    margin: 0;</w:t>
        <w:br w:type="textWrapping"/>
        <w:t xml:space="preserve">    padding: 0;</w:t>
        <w:br w:type="textWrapping"/>
        <w:t xml:space="preserve">    font-size: 10.5pt;</w:t>
        <w:br w:type="textWrapping"/>
        <w:t xml:space="preserve">    line-height: 1.5;</w:t>
        <w:br w:type="textWrapping"/>
        <w:t xml:space="preserve">  }</w:t>
        <w:br w:type="textWrapping"/>
        <w:br w:type="textWrapping"/>
        <w:t xml:space="preserve">  .header-card {</w:t>
        <w:br w:type="textWrapping"/>
        <w:t xml:space="preserve">    background-color: #0f172a;</w:t>
        <w:br w:type="textWrapping"/>
        <w:t xml:space="preserve">    color: #ffffff;</w:t>
        <w:br w:type="textWrapping"/>
        <w:t xml:space="preserve">    padding: 24px 28px;</w:t>
        <w:br w:type="textWrapping"/>
        <w:t xml:space="preserve">    border-radius: 8px;</w:t>
        <w:br w:type="textWrapping"/>
        <w:t xml:space="preserve">    margin-bottom: 24px;</w:t>
        <w:br w:type="textWrapping"/>
        <w:t xml:space="preserve">  }</w:t>
        <w:br w:type="textWrapping"/>
        <w:br w:type="textWrapping"/>
        <w:t xml:space="preserve">  .header-card h1 {</w:t>
        <w:br w:type="textWrapping"/>
        <w:t xml:space="preserve">    font-size: 18pt;</w:t>
        <w:br w:type="textWrapping"/>
        <w:t xml:space="preserve">    font-weight: 700;</w:t>
        <w:br w:type="textWrapping"/>
        <w:t xml:space="preserve">    margin: 0 0 6px 0;</w:t>
        <w:br w:type="textWrapping"/>
        <w:t xml:space="preserve">    letter-spacing: -0.02em;</w:t>
        <w:br w:type="textWrapping"/>
        <w:t xml:space="preserve">    color: #ffffff;</w:t>
        <w:br w:type="textWrapping"/>
        <w:t xml:space="preserve">    text-transform: uppercase;</w:t>
        <w:br w:type="textWrapping"/>
        <w:t xml:space="preserve">  }</w:t>
        <w:br w:type="textWrapping"/>
        <w:br w:type="textWrapping"/>
        <w:t xml:space="preserve">  .header-card .subtitle {</w:t>
        <w:br w:type="textWrapping"/>
        <w:t xml:space="preserve">    font-size: 11pt;</w:t>
        <w:br w:type="textWrapping"/>
        <w:t xml:space="preserve">    color: #94a3b8;</w:t>
        <w:br w:type="textWrapping"/>
        <w:t xml:space="preserve">    margin: 0 0 16px 0;</w:t>
        <w:br w:type="textWrapping"/>
        <w:t xml:space="preserve">    font-weight: 400;</w:t>
        <w:br w:type="textWrapping"/>
        <w:t xml:space="preserve">  }</w:t>
        <w:br w:type="textWrapping"/>
        <w:br w:type="textWrapping"/>
        <w:t xml:space="preserve">  .meta-grid {</w:t>
        <w:br w:type="textWrapping"/>
        <w:t xml:space="preserve">    width: 100%;</w:t>
        <w:br w:type="textWrapping"/>
        <w:t xml:space="preserve">    border-collapse: collapse;</w:t>
        <w:br w:type="textWrapping"/>
        <w:t xml:space="preserve">    margin-top: 10px;</w:t>
        <w:br w:type="textWrapping"/>
        <w:t xml:space="preserve">    border-top: 1px solid #334155;</w:t>
        <w:br w:type="textWrapping"/>
        <w:t xml:space="preserve">    padding-top: 10px;</w:t>
        <w:br w:type="textWrapping"/>
        <w:t xml:space="preserve">  }</w:t>
        <w:br w:type="textWrapping"/>
        <w:br w:type="textWrapping"/>
        <w:t xml:space="preserve">  .meta-grid td {</w:t>
        <w:br w:type="textWrapping"/>
        <w:t xml:space="preserve">    font-size: 9.5pt;</w:t>
        <w:br w:type="textWrapping"/>
        <w:t xml:space="preserve">    color: #cbd5e1;</w:t>
        <w:br w:type="textWrapping"/>
        <w:t xml:space="preserve">    padding: 4px 0;</w:t>
        <w:br w:type="textWrapping"/>
        <w:t xml:space="preserve">  }</w:t>
        <w:br w:type="textWrapping"/>
        <w:br w:type="textWrapping"/>
        <w:t xml:space="preserve">  .meta-grid td strong {</w:t>
        <w:br w:type="textWrapping"/>
        <w:t xml:space="preserve">    color: #f8fafc;</w:t>
        <w:br w:type="textWrapping"/>
        <w:t xml:space="preserve">  }</w:t>
        <w:br w:type="textWrapping"/>
        <w:br w:type="textWrapping"/>
        <w:t xml:space="preserve">  h2 {</w:t>
        <w:br w:type="textWrapping"/>
        <w:t xml:space="preserve">    font-size: 13pt;</w:t>
        <w:br w:type="textWrapping"/>
        <w:t xml:space="preserve">    color: #0f172a;</w:t>
        <w:br w:type="textWrapping"/>
        <w:t xml:space="preserve">    margin-top: 22px;</w:t>
        <w:br w:type="textWrapping"/>
        <w:t xml:space="preserve">    margin-bottom: 10px;</w:t>
        <w:br w:type="textWrapping"/>
        <w:t xml:space="preserve">    font-weight: 700;</w:t>
        <w:br w:type="textWrapping"/>
        <w:t xml:space="preserve">    border-left: 4px solid #2563eb;</w:t>
        <w:br w:type="textWrapping"/>
        <w:t xml:space="preserve">    padding-left: 10px;</w:t>
        <w:br w:type="textWrapping"/>
        <w:t xml:space="preserve">    page-break-after: avoid;</w:t>
        <w:br w:type="textWrapping"/>
        <w:t xml:space="preserve">  }</w:t>
        <w:br w:type="textWrapping"/>
        <w:br w:type="textWrapping"/>
        <w:t xml:space="preserve">  p {</w:t>
        <w:br w:type="textWrapping"/>
        <w:t xml:space="preserve">    margin-top: 0;</w:t>
        <w:br w:type="textWrapping"/>
        <w:t xml:space="preserve">    margin-bottom: 12px;</w:t>
        <w:br w:type="textWrapping"/>
        <w:t xml:space="preserve">    text-align: justify;</w:t>
        <w:br w:type="textWrapping"/>
        <w:t xml:space="preserve">  }</w:t>
        <w:br w:type="textWrapping"/>
        <w:br w:type="textWrapping"/>
        <w:t xml:space="preserve">  /* Table Styling */</w:t>
        <w:br w:type="textWrapping"/>
        <w:t xml:space="preserve">  table.data-table {</w:t>
        <w:br w:type="textWrapping"/>
        <w:t xml:space="preserve">    width: 100%;</w:t>
        <w:br w:type="textWrapping"/>
        <w:t xml:space="preserve">    border-collapse: collapse;</w:t>
        <w:br w:type="textWrapping"/>
        <w:t xml:space="preserve">    margin: 16px 0 20px 0;</w:t>
        <w:br w:type="textWrapping"/>
        <w:t xml:space="preserve">    background-color: #ffffff;</w:t>
        <w:br w:type="textWrapping"/>
        <w:t xml:space="preserve">    border-radius: 6px;</w:t>
        <w:br w:type="textWrapping"/>
        <w:t xml:space="preserve">    overflow: hidden;</w:t>
        <w:br w:type="textWrapping"/>
        <w:t xml:space="preserve">    border: 1px solid #e2e8f0;</w:t>
        <w:br w:type="textWrapping"/>
        <w:t xml:space="preserve">  }</w:t>
        <w:br w:type="textWrapping"/>
        <w:br w:type="textWrapping"/>
        <w:t xml:space="preserve">  table.data-table th {</w:t>
        <w:br w:type="textWrapping"/>
        <w:t xml:space="preserve">    background-color: #1e293b;</w:t>
        <w:br w:type="textWrapping"/>
        <w:t xml:space="preserve">    color: #ffffff;</w:t>
        <w:br w:type="textWrapping"/>
        <w:t xml:space="preserve">    font-size: 9.5pt;</w:t>
        <w:br w:type="textWrapping"/>
        <w:t xml:space="preserve">    font-weight: 600;</w:t>
        <w:br w:type="textWrapping"/>
        <w:t xml:space="preserve">    text-align: left;</w:t>
        <w:br w:type="textWrapping"/>
        <w:t xml:space="preserve">    padding: 10px 12px;</w:t>
        <w:br w:type="textWrapping"/>
        <w:t xml:space="preserve">    border: none;</w:t>
        <w:br w:type="textWrapping"/>
        <w:t xml:space="preserve">  }</w:t>
        <w:br w:type="textWrapping"/>
        <w:br w:type="textWrapping"/>
        <w:t xml:space="preserve">  table.data-table td {</w:t>
        <w:br w:type="textWrapping"/>
        <w:t xml:space="preserve">    padding: 10px 12px;</w:t>
        <w:br w:type="textWrapping"/>
        <w:t xml:space="preserve">    font-size: 9.5pt;</w:t>
        <w:br w:type="textWrapping"/>
        <w:t xml:space="preserve">    border-bottom: 1px solid #e2e8f0;</w:t>
        <w:br w:type="textWrapping"/>
        <w:t xml:space="preserve">    color: #334155;</w:t>
        <w:br w:type="textWrapping"/>
        <w:t xml:space="preserve">    vertical-align: top;</w:t>
        <w:br w:type="textWrapping"/>
        <w:t xml:space="preserve">  }</w:t>
        <w:br w:type="textWrapping"/>
        <w:br w:type="textWrapping"/>
        <w:t xml:space="preserve">  table.data-table tr:nth-child(even) {</w:t>
        <w:br w:type="textWrapping"/>
        <w:t xml:space="preserve">    background-color: #f8fafc;</w:t>
        <w:br w:type="textWrapping"/>
        <w:t xml:space="preserve">  }</w:t>
        <w:br w:type="textWrapping"/>
        <w:br w:type="textWrapping"/>
        <w:t xml:space="preserve">  table.data-table tr:last-child td {</w:t>
        <w:br w:type="textWrapping"/>
        <w:t xml:space="preserve">    border-bottom: none;</w:t>
        <w:br w:type="textWrapping"/>
        <w:t xml:space="preserve">  }</w:t>
        <w:br w:type="textWrapping"/>
        <w:br w:type="textWrapping"/>
        <w:t xml:space="preserve">  .badge-alto {</w:t>
        <w:br w:type="textWrapping"/>
        <w:t xml:space="preserve">    color: #b91c1c;</w:t>
        <w:br w:type="textWrapping"/>
        <w:t xml:space="preserve">    font-weight: 700;</w:t>
        <w:br w:type="textWrapping"/>
        <w:t xml:space="preserve">  }</w:t>
        <w:br w:type="textWrapping"/>
        <w:br w:type="textWrapping"/>
        <w:t xml:space="preserve">  .badge-critico {</w:t>
        <w:br w:type="textWrapping"/>
        <w:t xml:space="preserve">    color: #991b1b;</w:t>
        <w:br w:type="textWrapping"/>
        <w:t xml:space="preserve">    font-weight: 700;</w:t>
        <w:br w:type="textWrapping"/>
        <w:t xml:space="preserve">  }</w:t>
        <w:br w:type="textWrapping"/>
        <w:br w:type="textWrapping"/>
        <w:t xml:space="preserve">  .badge-moderado {</w:t>
        <w:br w:type="textWrapping"/>
        <w:t xml:space="preserve">    color: #d97706;</w:t>
        <w:br w:type="textWrapping"/>
        <w:t xml:space="preserve">    font-weight: 700;</w:t>
        <w:br w:type="textWrapping"/>
        <w:t xml:space="preserve">  }</w:t>
        <w:br w:type="textWrapping"/>
        <w:br w:type="textWrapping"/>
        <w:t xml:space="preserve">  .badge-bajo {</w:t>
        <w:br w:type="textWrapping"/>
        <w:t xml:space="preserve">    color: #15803d;</w:t>
        <w:br w:type="textWrapping"/>
        <w:t xml:space="preserve">    font-weight: 700;</w:t>
        <w:br w:type="textWrapping"/>
        <w:t xml:space="preserve">  }</w:t>
        <w:br w:type="textWrapping"/>
        <w:br w:type="textWrapping"/>
        <w:t xml:space="preserve">  /* Category Detail Blocks */</w:t>
        <w:br w:type="textWrapping"/>
        <w:t xml:space="preserve">  .category-item {</w:t>
        <w:br w:type="textWrapping"/>
        <w:t xml:space="preserve">    margin-bottom: 14px;</w:t>
        <w:br w:type="textWrapping"/>
        <w:t xml:space="preserve">  }</w:t>
        <w:br w:type="textWrapping"/>
        <w:br w:type="textWrapping"/>
        <w:t xml:space="preserve">  .category-title {</w:t>
        <w:br w:type="textWrapping"/>
        <w:t xml:space="preserve">    font-weight: 700;</w:t>
        <w:br w:type="textWrapping"/>
        <w:t xml:space="preserve">    font-size: 11pt;</w:t>
        <w:br w:type="textWrapping"/>
        <w:t xml:space="preserve">    color: #1e293b;</w:t>
        <w:br w:type="textWrapping"/>
        <w:t xml:space="preserve">    margin-bottom: 4px;</w:t>
        <w:br w:type="textWrapping"/>
        <w:t xml:space="preserve">  }</w:t>
        <w:br w:type="textWrapping"/>
        <w:br w:type="textWrapping"/>
        <w:t xml:space="preserve">  /* Recommendations List */</w:t>
        <w:br w:type="textWrapping"/>
        <w:t xml:space="preserve">  ol, ul {</w:t>
        <w:br w:type="textWrapping"/>
        <w:t xml:space="preserve">    margin-top: 0;</w:t>
        <w:br w:type="textWrapping"/>
        <w:t xml:space="preserve">    margin-bottom: 16px;</w:t>
        <w:br w:type="textWrapping"/>
        <w:t xml:space="preserve">    padding-left: 20px;</w:t>
        <w:br w:type="textWrapping"/>
        <w:t xml:space="preserve">  }</w:t>
        <w:br w:type="textWrapping"/>
        <w:br w:type="textWrapping"/>
        <w:t xml:space="preserve">  li {</w:t>
        <w:br w:type="textWrapping"/>
        <w:t xml:space="preserve">    margin-bottom: 6px;</w:t>
        <w:br w:type="textWrapping"/>
        <w:t xml:space="preserve">    text-align: justify;</w:t>
        <w:br w:type="textWrapping"/>
        <w:t xml:space="preserve">  }</w:t>
        <w:br w:type="textWrapping"/>
        <w:br w:type="textWrapping"/>
        <w:t xml:space="preserve">  /* Methodological Note Box */</w:t>
        <w:br w:type="textWrapping"/>
        <w:t xml:space="preserve">  .note-box {</w:t>
        <w:br w:type="textWrapping"/>
        <w:t xml:space="preserve">    background-color: #f1f5f9;</w:t>
        <w:br w:type="textWrapping"/>
        <w:t xml:space="preserve">    border: 1px solid #cbd5e1;</w:t>
        <w:br w:type="textWrapping"/>
        <w:t xml:space="preserve">    border-radius: 6px;</w:t>
        <w:br w:type="textWrapping"/>
        <w:t xml:space="preserve">    padding: 12px 16px;</w:t>
        <w:br w:type="textWrapping"/>
        <w:t xml:space="preserve">    font-size: 9pt;</w:t>
        <w:br w:type="textWrapping"/>
        <w:t xml:space="preserve">    color: #475569;</w:t>
        <w:br w:type="textWrapping"/>
        <w:t xml:space="preserve">    margin-top: 24px;</w:t>
        <w:br w:type="textWrapping"/>
        <w:t xml:space="preserve">    page-break-inside: avoid;</w:t>
        <w:br w:type="textWrapping"/>
        <w:t xml:space="preserve">  }</w:t>
        <w:br w:type="textWrapping"/>
        <w:br w:type="textWrapping"/>
        <w:t xml:space="preserve">  .note-box strong {</w:t>
        <w:br w:type="textWrapping"/>
        <w:t xml:space="preserve">    color: #1e293b;</w:t>
        <w:br w:type="textWrapping"/>
        <w:t xml:space="preserve">  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&lt;div class="header-card"&gt;</w:t>
        <w:br w:type="textWrapping"/>
        <w:t xml:space="preserve">  &lt;h1&gt;Informe de Estimación de Gastos Administrativos&lt;/h1&gt;</w:t>
        <w:br w:type="textWrapping"/>
        <w:t xml:space="preserve">  &lt;div class="subtitle"&gt;Empresa de Logística — Análisis Proyectado para el Próximo Trimestre&lt;/div&gt;</w:t>
        <w:br w:type="textWrapping"/>
        <w:t xml:space="preserve">  &lt;table class="meta-grid"&gt;</w:t>
        <w:br w:type="textWrapping"/>
        <w:t xml:space="preserve">    &lt;tr&gt;</w:t>
        <w:br w:type="textWrapping"/>
        <w:t xml:space="preserve">      &lt;td&gt;&lt;strong&gt;Preparado por:&lt;/strong&gt; Análisis Financiero Senior&lt;/td&gt;</w:t>
        <w:br w:type="textWrapping"/>
        <w:t xml:space="preserve">      &lt;td style="text-align: right;"&gt;&lt;strong&gt;Fecha:&lt;/strong&gt; 19 de agosto de 2026&lt;/td&gt;</w:t>
        <w:br w:type="textWrapping"/>
        <w:t xml:space="preserve">    &lt;/tr&gt;</w:t>
        <w:br w:type="textWrapping"/>
        <w:t xml:space="preserve">  &lt;/table&gt;</w:t>
        <w:br w:type="textWrapping"/>
        <w:t xml:space="preserve">&lt;/div&gt;</w:t>
        <w:br w:type="textWrapping"/>
        <w:br w:type="textWrapping"/>
        <w:t xml:space="preserve">&lt;h2&gt;1. Resumen Ejecutivo&lt;/h2&gt;</w:t>
        <w:br w:type="textWrapping"/>
        <w:t xml:space="preserve">&lt;p&gt;</w:t>
        <w:br w:type="textWrapping"/>
        <w:t xml:space="preserve">El análisis proyectado para el próximo trimestre evidencia fluctuaciones y requerimientos incrementales significativos en tres rubros clave de la gestión administrativa: gestión de flota y mantenimiento operativo, seguros de carga y cumplimiento normativo, y servicios de mensajería y trámites aduanales. Estas tres categorías concentran el mayor impacto sobre la estructura de costos fijos de la compañía y requieren un control presupuestario riguroso. En contraste, la optimización prevista en insumos de oficina y archivo digital representa una oportunidad para reasignar recursos hacia eficiencias operativas.</w:t>
        <w:br w:type="textWrapping"/>
        <w:t xml:space="preserve">&lt;/p&gt;</w:t>
        <w:br w:type="textWrapping"/>
        <w:br w:type="textWrapping"/>
        <w:t xml:space="preserve">&lt;h2&gt;2. Estimación de Gastos Administrativos Críticos&lt;/h2&gt;</w:t>
        <w:br w:type="textWrapping"/>
        <w:t xml:space="preserve">&lt;p&gt;</w:t>
        <w:br w:type="textWrapping"/>
        <w:t xml:space="preserve">La siguiente tabla resume la proyección de gastos administrativos ajustados para el próximo trimestre, su nivel de impacto sobre la rentabilidad operativa y las acciones de control o eficiencias sugeridas.</w:t>
        <w:br w:type="textWrapping"/>
        <w:t xml:space="preserve">&lt;/p&gt;</w:t>
        <w:br w:type="textWrapping"/>
        <w:br w:type="textWrapping"/>
        <w:t xml:space="preserve">&lt;table class="data-table"&gt;</w:t>
        <w:br w:type="textWrapping"/>
        <w:t xml:space="preserve">  &lt;thead&gt;</w:t>
        <w:br w:type="textWrapping"/>
        <w:t xml:space="preserve">    &lt;tr&gt;</w:t>
        <w:br w:type="textWrapping"/>
        <w:t xml:space="preserve">      &lt;th style="width: 25%;"&gt;Categoría&lt;/th&gt;</w:t>
        <w:br w:type="textWrapping"/>
        <w:t xml:space="preserve">      &lt;th style="width: 18%;"&gt;Proyección vs. Base&lt;/th&gt;</w:t>
        <w:br w:type="textWrapping"/>
        <w:t xml:space="preserve">      &lt;th style="width: 15%;"&gt;Impacto&lt;/th&gt;</w:t>
        <w:br w:type="textWrapping"/>
        <w:t xml:space="preserve">      &lt;th style="width: 42%;"&gt;Acción Sugerida&lt;/th&gt;</w:t>
        <w:br w:type="textWrapping"/>
        <w:t xml:space="preserve">    &lt;/tr&gt;</w:t>
        <w:br w:type="textWrapping"/>
        <w:t xml:space="preserve">  &lt;/thead&gt;</w:t>
        <w:br w:type="textWrapping"/>
        <w:t xml:space="preserve">  &lt;tbody&gt;</w:t>
        <w:br w:type="textWrapping"/>
        <w:t xml:space="preserve">    &lt;tr&gt;</w:t>
        <w:br w:type="textWrapping"/>
        <w:t xml:space="preserve">      &lt;td&gt;&lt;strong&gt;Gestión de Flota y Mantenimiento Adm.&lt;/strong&gt;&lt;/td&gt;</w:t>
        <w:br w:type="textWrapping"/>
        <w:t xml:space="preserve">      &lt;td&gt;+15% vs. presupuesto base&lt;/td&gt;</w:t>
        <w:br w:type="textWrapping"/>
        <w:t xml:space="preserve">      &lt;td&gt;&lt;span class="badge-alto"&gt;Alto&lt;/span&gt;&lt;/td&gt;</w:t>
        <w:br w:type="textWrapping"/>
        <w:t xml:space="preserve">      &lt;td&gt;Renegociar contratos marco de mantenimiento y auditar bitácoras de uso vehicular.&lt;/td&gt;</w:t>
        <w:br w:type="textWrapping"/>
        <w:t xml:space="preserve">    &lt;/tr&gt;</w:t>
        <w:br w:type="textWrapping"/>
        <w:t xml:space="preserve">    &lt;tr&gt;</w:t>
        <w:br w:type="textWrapping"/>
        <w:t xml:space="preserve">      &lt;td&gt;&lt;strong&gt;Pólizas de Seguro y Permisos&lt;/strong&gt;&lt;/td&gt;</w:t>
        <w:br w:type="textWrapping"/>
        <w:t xml:space="preserve">      &lt;td&gt;+20% vs. presupuesto base&lt;/td&gt;</w:t>
        <w:br w:type="textWrapping"/>
        <w:t xml:space="preserve">      &lt;td&gt;&lt;span class="badge-critico"&gt;Crítico&lt;/span&gt;&lt;/td&gt;</w:t>
        <w:br w:type="textWrapping"/>
        <w:t xml:space="preserve">      &lt;td&gt;Solicitar licitaciones competitivas de pólizas de fidelidad y transporte integral.&lt;/td&gt;</w:t>
        <w:br w:type="textWrapping"/>
        <w:t xml:space="preserve">    &lt;/tr&gt;</w:t>
        <w:br w:type="textWrapping"/>
        <w:t xml:space="preserve">    &lt;tr&gt;</w:t>
        <w:br w:type="textWrapping"/>
        <w:t xml:space="preserve">      &lt;td&gt;&lt;strong&gt;Trámites y Gestoría Aduanal&lt;/strong&gt;&lt;/td&gt;</w:t>
        <w:br w:type="textWrapping"/>
        <w:t xml:space="preserve">      &lt;td&gt;+10% vs. presupuesto base&lt;/td&gt;</w:t>
        <w:br w:type="textWrapping"/>
        <w:t xml:space="preserve">      &lt;td&gt;&lt;span class="badge-moderado"&gt;Moderado&lt;/span&gt;&lt;/td&gt;</w:t>
        <w:br w:type="textWrapping"/>
        <w:t xml:space="preserve">      &lt;td&gt;Consolidar operaciones administrativas de aduana con un agente preferencial.&lt;/td&gt;</w:t>
        <w:br w:type="textWrapping"/>
        <w:t xml:space="preserve">    &lt;/tr&gt;</w:t>
        <w:br w:type="textWrapping"/>
        <w:t xml:space="preserve">    &lt;tr&gt;</w:t>
        <w:br w:type="textWrapping"/>
        <w:t xml:space="preserve">      &lt;td&gt;&lt;strong&gt;Insumos de Oficina y Digitalización&lt;/strong&gt;&lt;/td&gt;</w:t>
        <w:br w:type="textWrapping"/>
        <w:t xml:space="preserve">      &lt;td&gt;-12% vs. presupuesto base (optimización)&lt;/td&gt;</w:t>
        <w:br w:type="textWrapping"/>
        <w:t xml:space="preserve">      &lt;td&gt;&lt;span class="badge-bajo"&gt;Bajo&lt;/span&gt;&lt;/td&gt;</w:t>
        <w:br w:type="textWrapping"/>
        <w:t xml:space="preserve">      &lt;td&gt;Reasignar excedente al software de seguimiento de trámites administrativos.&lt;/td&gt;</w:t>
        <w:br w:type="textWrapping"/>
        <w:t xml:space="preserve">    &lt;/tr&gt;</w:t>
        <w:br w:type="textWrapping"/>
        <w:t xml:space="preserve">  &lt;/tbody&gt;</w:t>
        <w:br w:type="textWrapping"/>
        <w:t xml:space="preserve">&lt;/table&gt;</w:t>
        <w:br w:type="textWrapping"/>
        <w:br w:type="textWrapping"/>
        <w:t xml:space="preserve">&lt;h2&gt;3. Análisis por Categoría&lt;/h2&gt;</w:t>
        <w:br w:type="textWrapping"/>
        <w:br w:type="textWrapping"/>
        <w:t xml:space="preserve">&lt;div class="category-item"&gt;</w:t>
        <w:br w:type="textWrapping"/>
        <w:t xml:space="preserve">  &lt;div class="category-title"&gt;Gestión de Flota y Mantenimiento Administrativo (+15%)&lt;/div&gt;</w:t>
        <w:br w:type="textWrapping"/>
        <w:t xml:space="preserve">  &lt;p&gt;</w:t>
        <w:br w:type="textWrapping"/>
        <w:t xml:space="preserve">  El incremento proyectado responde principalmente al aumento en los costos preventivos y reglamentarios de los vehículos asignados al personal supervisor y administrativo. Se recomienda realizar una auditoría técnica de rendimiento y formalizar contratos de mantenimiento por volumen con proveedores certificados.</w:t>
        <w:br w:type="textWrapping"/>
        <w:t xml:space="preserve">  &lt;/p&gt;</w:t>
        <w:br w:type="textWrapping"/>
        <w:t xml:space="preserve">&lt;/div&gt;</w:t>
        <w:br w:type="textWrapping"/>
        <w:br w:type="textWrapping"/>
        <w:t xml:space="preserve">&lt;div class="category-item"&gt;</w:t>
        <w:br w:type="textWrapping"/>
        <w:t xml:space="preserve">  &lt;div class="category-title"&gt;Pólizas de Seguro y Permisos Operativos (+20%)&lt;/div&gt;</w:t>
        <w:br w:type="textWrapping"/>
        <w:t xml:space="preserve">  &lt;p&gt;</w:t>
        <w:br w:type="textWrapping"/>
        <w:t xml:space="preserve">  La variación más crítica de la proyección. Refleja un ajuste al alza en la siniestralidad del sector logístico y un incremento en los costos de renovación de permisos administrativos de transporte. Se recomienda abrir un proceso de licitación entre diferentes aseguradoras para amortiguar el impacto sobre el margen operativo.</w:t>
        <w:br w:type="textWrapping"/>
        <w:t xml:space="preserve">  &lt;/p&gt;</w:t>
        <w:br w:type="textWrapping"/>
        <w:t xml:space="preserve">&lt;/div&gt;</w:t>
        <w:br w:type="textWrapping"/>
        <w:br w:type="textWrapping"/>
        <w:t xml:space="preserve">&lt;div class="category-item"&gt;</w:t>
        <w:br w:type="textWrapping"/>
        <w:t xml:space="preserve">  &lt;div class="category-title"&gt;Trámites, Mensajería y Gestoría Aduanal (+10%)&lt;/div&gt;</w:t>
        <w:br w:type="textWrapping"/>
        <w:t xml:space="preserve">  &lt;p&gt;</w:t>
        <w:br w:type="textWrapping"/>
        <w:t xml:space="preserve">  El aumento estimado se debe a una mayor complejidad burocrática y frecuencia en el intercambio administrativo transfronterizo. Se sugiere negociar una tarifa plana o escalar el volumen con un único gestor aduanal para reducir costos unitarios por trámite.</w:t>
        <w:br w:type="textWrapping"/>
        <w:t xml:space="preserve">  &lt;/p&gt;</w:t>
        <w:br w:type="textWrapping"/>
        <w:t xml:space="preserve">&lt;/div&gt;</w:t>
        <w:br w:type="textWrapping"/>
        <w:br w:type="textWrapping"/>
        <w:t xml:space="preserve">&lt;div class="category-item"&gt;</w:t>
        <w:br w:type="textWrapping"/>
        <w:t xml:space="preserve">  &lt;div class="category-title"&gt;Insumos de Oficina y Digitalización de Archivo (-12%)&lt;/div&gt;</w:t>
        <w:br w:type="textWrapping"/>
        <w:t xml:space="preserve">  &lt;p&gt;</w:t>
        <w:br w:type="textWrapping"/>
        <w:t xml:space="preserve">  Única categoría con una reducción estimada de costos gracias a la automatización de procesos documentales. El excedente generado puede reasignarse al fortalecimiento de las licencias de software de gestión logística administrativa.</w:t>
        <w:br w:type="textWrapping"/>
        <w:t xml:space="preserve">  &lt;/p&gt;</w:t>
        <w:br w:type="textWrapping"/>
        <w:t xml:space="preserve">&lt;/div&gt;</w:t>
        <w:br w:type="textWrapping"/>
        <w:br w:type="textWrapping"/>
        <w:t xml:space="preserve">&lt;h2&gt;4. Recomendaciones Generales&lt;/h2&gt;</w:t>
        <w:br w:type="textWrapping"/>
        <w:t xml:space="preserve">&lt;ol&gt;</w:t>
        <w:br w:type="textWrapping"/>
        <w:t xml:space="preserve">  &lt;li&gt;Priorizar la renegociación de seguros y permisos por su significativo peso sobre el presupuesto administrativo global.&lt;/li&gt;</w:t>
        <w:br w:type="textWrapping"/>
        <w:t xml:space="preserve">  &lt;li&gt;Establecer controles mensuales estrictos y revisiones de kilometraje para la flota de uso administrativo.&lt;/li&gt;</w:t>
        <w:br w:type="textWrapping"/>
        <w:t xml:space="preserve">  &lt;li&gt;Evaluar la reasignación de los ahorros en papel e insumos de oficina hacia soluciones tecnológicas de firma digital y gestión documental.&lt;/li&gt;</w:t>
        <w:br w:type="textWrapping"/>
        <w:t xml:space="preserve">  &lt;li&gt;Implementar un panel de control trimestral para auditar las desviaciones entre la estimación presente y los gastos reales ejecutados.&lt;/li&gt;</w:t>
        <w:br w:type="textWrapping"/>
        <w:t xml:space="preserve">&lt;/ol&gt;</w:t>
        <w:br w:type="textWrapping"/>
        <w:br w:type="textWrapping"/>
        <w:t xml:space="preserve">&lt;div class="note-box"&gt;</w:t>
        <w:br w:type="textWrapping"/>
        <w:t xml:space="preserve">  &lt;strong&gt;5. Nota Metodológica&lt;/strong&gt;&lt;br&gt;</w:t>
        <w:br w:type="textWrapping"/>
        <w:t xml:space="preserve">  Este informe se basa en un modelo proyectado de estimación de gastos administrativos del sector logístico. Para un análisis con validez financiera plena, se recomienda validar y ajustar las cifras proyectadas con los asientos contables y la ejecución presupuestaria real extraída del sistema ERP de la compañía.</w:t>
        <w:br w:type="textWrapping"/>
        <w:t xml:space="preserve">&lt;/div&gt;</w:t>
        <w:br w:type="textWrapping"/>
        <w:br w:type="textWrapping"/>
        <w:t xml:space="preserve">&lt;/body&gt;</w:t>
        <w:br w:type="textWrapping"/>
        <w:t xml:space="preserve">&lt;/html&gt;</w:t>
        <w:br w:type="textWrapping"/>
        <w:t xml:space="preserve">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"INFORME_ESTIMACION_GASTOS_ADMINISTRATIVOS.html"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f:</w:t>
        <w:br w:type="textWrapping"/>
        <w:t xml:space="preserve">    f.write(html_content)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weasyprint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HTML</w:t>
        <w:br w:type="textWrapping"/>
        <w:t xml:space="preserve">HTML(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"INFORME_ESTIMACION_GASTOS_ADMINISTRATIVOS.html"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).write_pdf(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"INFORME_ESTIMACION_GASTOS_ADMINISTRATIVOS.pdf"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"PDF generado con éxito: INFORME_ESTIMACION_GASTOS_ADMINISTRATIVOS.pdf"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Salida de código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PDF generado con éxito: INFORME_ESTIMACION_GASTOS_ADMINISTRATIVOS.pdf</w:t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PDF file is ready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04800" cy="304800"/>
            <wp:effectExtent b="0" l="0" r="0" t="0"/>
            <wp:docPr descr="Icono de PDF" id="1" name="image1.png"/>
            <a:graphic>
              <a:graphicData uri="http://schemas.openxmlformats.org/drawingml/2006/picture">
                <pic:pic>
                  <pic:nvPicPr>
                    <pic:cNvPr descr="Icono de PD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Arial" w:cs="Arial" w:eastAsia="Arial" w:hAnsi="Arial"/>
          <w:color w:val="000000"/>
          <w:shd w:fill="f2f0f0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2f0f0" w:val="clear"/>
          <w:rtl w:val="0"/>
        </w:rPr>
        <w:t xml:space="preserve">INFORME_ESTIMACION_GASTOS_ADMINISTRATIVOS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Arial" w:cs="Arial" w:eastAsia="Arial" w:hAnsi="Arial"/>
          <w:shd w:fill="f2f0f0" w:val="clear"/>
        </w:rPr>
      </w:pPr>
      <w:r w:rsidDel="00000000" w:rsidR="00000000" w:rsidRPr="00000000">
        <w:rPr>
          <w:rFonts w:ascii="Arial" w:cs="Arial" w:eastAsia="Arial" w:hAnsi="Arial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Arial" w:cs="Arial" w:eastAsia="Arial" w:hAnsi="Arial"/>
          <w:color w:val="000000"/>
          <w:shd w:fill="f2f0f0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2f0f0" w:val="clear"/>
          <w:rtl w:val="0"/>
        </w:rPr>
        <w:t xml:space="preserve">Abierto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continuación, te presento la redacción completa del informe adaptado 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empresa de logística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manteniendo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estrictamente el mismo tono, estructura, secciones y estilo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tu plantilla de ejemplo: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INFORME DE ESTIMACIÓN DE GASTOS ADMINISTRATIVOS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Empresa de Logística — Análisis Proyectado para el Próximo Trimestre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Preparado por: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Análisis Financiero Senior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19 de agosto de 2026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Resumen Ejecutivo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análisis proyectado para el próximo trimestre evidencia fluctuaciones y requerimientos incrementales significativos en tres rubros clave de la gestión administrativa: gestión de flota y mantenimiento operativo, seguros de carga y cumplimiento normativo, y servicios de mensajería y trámites aduanales. Estas tres categorías concentran el mayor impacto sobre la estructura de costos fijos de la compañía y requieren un control presupuestario riguroso. En contraste, la optimización prevista en insumos de oficina y archivo digital representa una oportunidad para reasignar recursos hacia eficiencias operativas.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Estimación de Gastos Administrativos Críticos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 siguiente tabla resume la proyección de gastos administrativos ajustados para el próximo trimestre, su nivel de impacto sobre la rentabilidad operativa y las acciones de control o eficiencias sugeridas.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Categoría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Proyección vs.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Acción Sugerida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Gestión de Flota y Mantenimiento Adm.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+15% vs. presupuesto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Renegociar contratos marco de mantenimiento y auditar bitácoras de uso vehicular.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Pólizas de Seguro y Permisos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+20% vs. presupuesto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Crítico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Solicitar licitaciones competitivas de pólizas de fidelidad y transporte integral.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Trámites y Gestoría Aduanal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+10% vs. presupuesto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Moderado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Consolidar operaciones administrativas de aduana con un agente preferencial.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Insumos de Oficina y Digitalización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-12% vs. presupuesto base (optimización)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Reasignar excedente al software de seguimiento de trámites administrativos.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Análisis por Categoría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Gestión de Flota y Mantenimiento Administrativo (+15%):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incremento proyectado responde principalmente al aumento en los costos preventivos y reglamentarios de los vehículos asignados al personal supervisor y administrativo. Se recomienda realizar una auditoría técnica de rendimiento y formalizar contratos de mantenimiento por volumen con proveedores certificados.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Pólizas de Seguro y Permisos Operativos (+20%):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 variación más crítica de la proyección. Refleja un ajuste al alza en la siniestralidad del sector logístico y un incremento en los costos de renovación de permisos administrativos de transporte. Se recomienda abrir un proceso de licitación entre diferentes aseguradoras para amortiguar el impacto sobre el margen operativo.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Trámites, Mensajería y Gestoría Aduanal (+10%):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aumento estimado se debe a una mayor complejidad burocrática y frecuencia en el intercambio administrativo transfronterizo. Se sugiere negociar una tarifa plana o escalar el volumen con un único gestor aduanal para reducir costos unitarios por trámite.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Insumos de Oficina y Digitalización de Archivo (-12%):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Única categoría con una reducción estimada de costos gracias a la automatización de procesos documentales. El excedente generado puede reasignarse al fortalecimiento de las licencias de software de gestión logística administrativa.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Recomendaciones Generales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Priorizar la renegociación de seguros y permisos por su significativo peso sobre el presupuesto administrativo global.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Establecer controles mensuales estrictos y revisiones de kilometraje para la flota de uso administrativo.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Evaluar la reasignación de los ahorros en papel e insumos de oficina hacia soluciones tecnológicas de firma digital y gestión documental.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Implementar un panel de control trimestral para auditar las desviaciones entre la estimación presente y los gastos reales ejecutados.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Nota Metodológica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informe se basa en un modelo proyectado de estimación de gastos administrativos del sector logístico, presentado como referencia técnica. Para un análisis con validez financiera plena, se recomienda validar y ajustar las cifras proyectadas con los asientos contables y la ejecución presupuestaria real extraída del sistema ERP de la compañía.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