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INFORME DE DESVIACIONES PRESUPUESTARIAS</w:t>
      </w:r>
    </w:p>
    <w:p>
      <w:pPr>
        <w:spacing w:after="300"/>
        <w:jc w:val="center"/>
      </w:pPr>
      <w:r>
        <w:rPr>
          <w:i/>
          <w:iCs/>
          <w:color w:val="595959"/>
          <w:sz w:val="22"/>
          <w:szCs w:val="22"/>
        </w:rPr>
        <w:t xml:space="preserve">Empresa de Software — Análisis del Trimestre en Curso</w:t>
      </w:r>
    </w:p>
    <w:p>
      <w:pPr>
        <w:spacing w:after="60"/>
      </w:pPr>
      <w:r>
        <w:rPr>
          <w:b/>
          <w:bCs/>
          <w:sz w:val="20"/>
          <w:szCs w:val="20"/>
        </w:rPr>
        <w:t xml:space="preserve">Preparado por: </w:t>
      </w:r>
      <w:r>
        <w:rPr>
          <w:sz w:val="20"/>
          <w:szCs w:val="20"/>
        </w:rPr>
        <w:t xml:space="preserve">Análisis Financiero Senior</w:t>
      </w:r>
    </w:p>
    <w:p>
      <w:pPr>
        <w:spacing w:after="300"/>
      </w:pPr>
      <w:r>
        <w:rPr>
          <w:b/>
          <w:bCs/>
          <w:sz w:val="20"/>
          <w:szCs w:val="20"/>
        </w:rPr>
        <w:t xml:space="preserve">Fecha: </w:t>
      </w:r>
      <w:r>
        <w:rPr>
          <w:sz w:val="20"/>
          <w:szCs w:val="20"/>
        </w:rPr>
        <w:t xml:space="preserve">19 de agosto de 2026</w:t>
      </w:r>
    </w:p>
    <w:p>
      <w:pPr>
        <w:pStyle w:val="Heading1"/>
        <w:spacing w:after="150" w:before="300"/>
      </w:pPr>
      <w:r>
        <w:rPr>
          <w:b/>
          <w:bCs/>
          <w:color w:val="1F3864"/>
          <w:sz w:val="26"/>
          <w:szCs w:val="26"/>
        </w:rPr>
        <w:t xml:space="preserve">1. Resumen Ejecutivo</w:t>
      </w:r>
    </w:p>
    <w:p>
      <w:pPr>
        <w:spacing w:after="120"/>
      </w:pPr>
      <w:r>
        <w:rPr>
          <w:sz w:val="21"/>
          <w:szCs w:val="21"/>
        </w:rPr>
        <w:t xml:space="preserve">El análisis del trimestre en curso evidencia desviaciones presupuestarias significativas en tres frentes principales: infraestructura cloud, nómina del área técnica y adquisición de clientes. Estas tres categorías concentran el mayor riesgo sobre el margen operativo de la compañía y requieren acción correctiva inmediata. En contraste, la subejecución en licencias de software representa una oportunidad de reasignación de recursos.</w:t>
      </w:r>
    </w:p>
    <w:p>
      <w:pPr>
        <w:pStyle w:val="Heading1"/>
        <w:spacing w:after="150" w:before="300"/>
      </w:pPr>
      <w:r>
        <w:rPr>
          <w:b/>
          <w:bCs/>
          <w:color w:val="1F3864"/>
          <w:sz w:val="26"/>
          <w:szCs w:val="26"/>
        </w:rPr>
        <w:t xml:space="preserve">2. Desviaciones Presupuestarias Críticas</w:t>
      </w:r>
    </w:p>
    <w:p>
      <w:pPr>
        <w:spacing w:after="120"/>
      </w:pPr>
      <w:r>
        <w:rPr>
          <w:sz w:val="21"/>
          <w:szCs w:val="21"/>
        </w:rPr>
        <w:t xml:space="preserve">La siguiente tabla resume las desviaciones más relevantes identificadas durante el trimestre, su nivel de impacto sobre el resultado operativo y las acciones correctivas sugeridas.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500"/>
      </w:tblGrid>
      <w:tr>
        <w:trPr>
          <w:tblHeader/>
        </w:trPr>
        <w:tc>
          <w:tcPr>
            <w:tcW w:type="dxa" w:w="2600"/>
            <w:shd w:fill="1F3864" w:color="auto" w:val="clear"/>
            <w:tcMar>
              <w:top w:type="dxa" w:w="100"/>
              <w:left w:type="dxa" w:w="120"/>
              <w:bottom w:type="dxa" w:w="100"/>
              <w:right w:type="dxa" w:w="120"/>
            </w:tcMar>
          </w:tcPr>
          <w:p>
            <w:r>
              <w:rPr>
                <w:b/>
                <w:bCs/>
                <w:color w:val="FFFFFF"/>
                <w:sz w:val="20"/>
                <w:szCs w:val="20"/>
              </w:rPr>
              <w:t xml:space="preserve">Categoría</w:t>
            </w:r>
          </w:p>
        </w:tc>
        <w:tc>
          <w:tcPr>
            <w:tcW w:type="dxa" w:w="1700"/>
            <w:shd w:fill="1F3864" w:color="auto" w:val="clear"/>
            <w:tcMar>
              <w:top w:type="dxa" w:w="100"/>
              <w:left w:type="dxa" w:w="120"/>
              <w:bottom w:type="dxa" w:w="100"/>
              <w:right w:type="dxa" w:w="120"/>
            </w:tcMar>
          </w:tcPr>
          <w:p>
            <w:r>
              <w:rPr>
                <w:b/>
                <w:bCs/>
                <w:color w:val="FFFFFF"/>
                <w:sz w:val="20"/>
                <w:szCs w:val="20"/>
              </w:rPr>
              <w:t xml:space="preserve">Desviación</w:t>
            </w:r>
          </w:p>
        </w:tc>
        <w:tc>
          <w:tcPr>
            <w:tcW w:type="dxa" w:w="1700"/>
            <w:shd w:fill="1F3864" w:color="auto" w:val="clear"/>
            <w:tcMar>
              <w:top w:type="dxa" w:w="100"/>
              <w:left w:type="dxa" w:w="120"/>
              <w:bottom w:type="dxa" w:w="100"/>
              <w:right w:type="dxa" w:w="120"/>
            </w:tcMar>
          </w:tcPr>
          <w:p>
            <w:r>
              <w:rPr>
                <w:b/>
                <w:bCs/>
                <w:color w:val="FFFFFF"/>
                <w:sz w:val="20"/>
                <w:szCs w:val="20"/>
              </w:rPr>
              <w:t xml:space="preserve">Impacto</w:t>
            </w:r>
          </w:p>
        </w:tc>
        <w:tc>
          <w:tcPr>
            <w:tcW w:type="dxa" w:w="3500"/>
            <w:shd w:fill="1F3864" w:color="auto" w:val="clear"/>
            <w:tcMar>
              <w:top w:type="dxa" w:w="100"/>
              <w:left w:type="dxa" w:w="120"/>
              <w:bottom w:type="dxa" w:w="100"/>
              <w:right w:type="dxa" w:w="120"/>
            </w:tcMar>
          </w:tcPr>
          <w:p>
            <w:r>
              <w:rPr>
                <w:b/>
                <w:bCs/>
                <w:color w:val="FFFFFF"/>
                <w:sz w:val="20"/>
                <w:szCs w:val="20"/>
              </w:rPr>
              <w:t xml:space="preserve">Acción Sugerida</w:t>
            </w:r>
          </w:p>
        </w:tc>
      </w:tr>
      <w:tr>
        <w:tc>
          <w:tcPr>
            <w:tcW w:type="dxa" w:w="2600"/>
            <w:shd w:fill="FFFFFF" w:color="auto" w:val="clear"/>
            <w:tcMar>
              <w:top w:type="dxa" w:w="100"/>
              <w:left w:type="dxa" w:w="120"/>
              <w:bottom w:type="dxa" w:w="100"/>
              <w:right w:type="dxa" w:w="120"/>
            </w:tcMar>
          </w:tcPr>
          <w:p>
            <w:r>
              <w:rPr>
                <w:b/>
                <w:bCs/>
                <w:color w:val="000000"/>
                <w:sz w:val="20"/>
                <w:szCs w:val="20"/>
              </w:rPr>
              <w:t xml:space="preserve">Infraestructura Cloud</w:t>
            </w:r>
          </w:p>
        </w:tc>
        <w:tc>
          <w:tcPr>
            <w:tcW w:type="dxa" w:w="1700"/>
            <w:shd w:fill="FFFFFF" w:color="auto" w:val="clear"/>
            <w:tcMar>
              <w:top w:type="dxa" w:w="100"/>
              <w:left w:type="dxa" w:w="120"/>
              <w:bottom w:type="dxa" w:w="100"/>
              <w:right w:type="dxa" w:w="120"/>
            </w:tcMar>
          </w:tcPr>
          <w:p>
            <w:r>
              <w:rPr>
                <w:b w:val="false"/>
                <w:bCs w:val="false"/>
                <w:color w:val="C00000"/>
                <w:sz w:val="20"/>
                <w:szCs w:val="20"/>
              </w:rPr>
              <w:t xml:space="preserve">+18% vs. presupuesto</w:t>
            </w:r>
          </w:p>
        </w:tc>
        <w:tc>
          <w:tcPr>
            <w:tcW w:type="dxa" w:w="1700"/>
            <w:shd w:fill="FFFFFF" w:color="auto" w:val="clear"/>
            <w:tcMar>
              <w:top w:type="dxa" w:w="100"/>
              <w:left w:type="dxa" w:w="120"/>
              <w:bottom w:type="dxa" w:w="100"/>
              <w:right w:type="dxa" w:w="120"/>
            </w:tcMar>
          </w:tcPr>
          <w:p>
            <w:r>
              <w:rPr>
                <w:b w:val="false"/>
                <w:bCs w:val="false"/>
                <w:color w:val="000000"/>
                <w:sz w:val="20"/>
                <w:szCs w:val="20"/>
              </w:rPr>
              <w:t xml:space="preserve">Alto</w:t>
            </w:r>
          </w:p>
        </w:tc>
        <w:tc>
          <w:tcPr>
            <w:tcW w:type="dxa" w:w="3500"/>
            <w:shd w:fill="FFFFFF" w:color="auto" w:val="clear"/>
            <w:tcMar>
              <w:top w:type="dxa" w:w="100"/>
              <w:left w:type="dxa" w:w="120"/>
              <w:bottom w:type="dxa" w:w="100"/>
              <w:right w:type="dxa" w:w="120"/>
            </w:tcMar>
          </w:tcPr>
          <w:p>
            <w:r>
              <w:rPr>
                <w:b w:val="false"/>
                <w:bCs w:val="false"/>
                <w:color w:val="000000"/>
                <w:sz w:val="20"/>
                <w:szCs w:val="20"/>
              </w:rPr>
              <w:t xml:space="preserve">Auditar consumo por servicio y migrar cargas a instancias reservadas.</w:t>
            </w:r>
          </w:p>
        </w:tc>
      </w:tr>
      <w:tr>
        <w:tc>
          <w:tcPr>
            <w:tcW w:type="dxa" w:w="2600"/>
            <w:shd w:fill="DCE6F1" w:color="auto" w:val="clear"/>
            <w:tcMar>
              <w:top w:type="dxa" w:w="100"/>
              <w:left w:type="dxa" w:w="120"/>
              <w:bottom w:type="dxa" w:w="100"/>
              <w:right w:type="dxa" w:w="120"/>
            </w:tcMar>
          </w:tcPr>
          <w:p>
            <w:r>
              <w:rPr>
                <w:b/>
                <w:bCs/>
                <w:color w:val="000000"/>
                <w:sz w:val="20"/>
                <w:szCs w:val="20"/>
              </w:rPr>
              <w:t xml:space="preserve">Nómina Técnica (I+D)</w:t>
            </w:r>
          </w:p>
        </w:tc>
        <w:tc>
          <w:tcPr>
            <w:tcW w:type="dxa" w:w="1700"/>
            <w:shd w:fill="DCE6F1" w:color="auto" w:val="clear"/>
            <w:tcMar>
              <w:top w:type="dxa" w:w="100"/>
              <w:left w:type="dxa" w:w="120"/>
              <w:bottom w:type="dxa" w:w="100"/>
              <w:right w:type="dxa" w:w="120"/>
            </w:tcMar>
          </w:tcPr>
          <w:p>
            <w:r>
              <w:rPr>
                <w:b w:val="false"/>
                <w:bCs w:val="false"/>
                <w:color w:val="C00000"/>
                <w:sz w:val="20"/>
                <w:szCs w:val="20"/>
              </w:rPr>
              <w:t xml:space="preserve">+12% vs. presupuesto</w:t>
            </w:r>
          </w:p>
        </w:tc>
        <w:tc>
          <w:tcPr>
            <w:tcW w:type="dxa" w:w="1700"/>
            <w:shd w:fill="DCE6F1" w:color="auto" w:val="clear"/>
            <w:tcMar>
              <w:top w:type="dxa" w:w="100"/>
              <w:left w:type="dxa" w:w="120"/>
              <w:bottom w:type="dxa" w:w="100"/>
              <w:right w:type="dxa" w:w="120"/>
            </w:tcMar>
          </w:tcPr>
          <w:p>
            <w:r>
              <w:rPr>
                <w:b w:val="false"/>
                <w:bCs w:val="false"/>
                <w:color w:val="000000"/>
                <w:sz w:val="20"/>
                <w:szCs w:val="20"/>
              </w:rPr>
              <w:t xml:space="preserve">Alto</w:t>
            </w:r>
          </w:p>
        </w:tc>
        <w:tc>
          <w:tcPr>
            <w:tcW w:type="dxa" w:w="3500"/>
            <w:shd w:fill="DCE6F1" w:color="auto" w:val="clear"/>
            <w:tcMar>
              <w:top w:type="dxa" w:w="100"/>
              <w:left w:type="dxa" w:w="120"/>
              <w:bottom w:type="dxa" w:w="100"/>
              <w:right w:type="dxa" w:w="120"/>
            </w:tcMar>
          </w:tcPr>
          <w:p>
            <w:r>
              <w:rPr>
                <w:b w:val="false"/>
                <w:bCs w:val="false"/>
                <w:color w:val="000000"/>
                <w:sz w:val="20"/>
                <w:szCs w:val="20"/>
              </w:rPr>
              <w:t xml:space="preserve">Revisar bandas salariales; priorizar retención sobre nueva contratación.</w:t>
            </w:r>
          </w:p>
        </w:tc>
      </w:tr>
      <w:tr>
        <w:tc>
          <w:tcPr>
            <w:tcW w:type="dxa" w:w="2600"/>
            <w:shd w:fill="FFFFFF" w:color="auto" w:val="clear"/>
            <w:tcMar>
              <w:top w:type="dxa" w:w="100"/>
              <w:left w:type="dxa" w:w="120"/>
              <w:bottom w:type="dxa" w:w="100"/>
              <w:right w:type="dxa" w:w="120"/>
            </w:tcMar>
          </w:tcPr>
          <w:p>
            <w:r>
              <w:rPr>
                <w:b/>
                <w:bCs/>
                <w:color w:val="000000"/>
                <w:sz w:val="20"/>
                <w:szCs w:val="20"/>
              </w:rPr>
              <w:t xml:space="preserve">Marketing / CAC</w:t>
            </w:r>
          </w:p>
        </w:tc>
        <w:tc>
          <w:tcPr>
            <w:tcW w:type="dxa" w:w="1700"/>
            <w:shd w:fill="FFFFFF" w:color="auto" w:val="clear"/>
            <w:tcMar>
              <w:top w:type="dxa" w:w="100"/>
              <w:left w:type="dxa" w:w="120"/>
              <w:bottom w:type="dxa" w:w="100"/>
              <w:right w:type="dxa" w:w="120"/>
            </w:tcMar>
          </w:tcPr>
          <w:p>
            <w:r>
              <w:rPr>
                <w:b w:val="false"/>
                <w:bCs w:val="false"/>
                <w:color w:val="C00000"/>
                <w:sz w:val="20"/>
                <w:szCs w:val="20"/>
              </w:rPr>
              <w:t xml:space="preserve">+22% vs. presupuesto</w:t>
            </w:r>
          </w:p>
        </w:tc>
        <w:tc>
          <w:tcPr>
            <w:tcW w:type="dxa" w:w="1700"/>
            <w:shd w:fill="FFFFFF" w:color="auto" w:val="clear"/>
            <w:tcMar>
              <w:top w:type="dxa" w:w="100"/>
              <w:left w:type="dxa" w:w="120"/>
              <w:bottom w:type="dxa" w:w="100"/>
              <w:right w:type="dxa" w:w="120"/>
            </w:tcMar>
          </w:tcPr>
          <w:p>
            <w:r>
              <w:rPr>
                <w:b w:val="false"/>
                <w:bCs w:val="false"/>
                <w:color w:val="000000"/>
                <w:sz w:val="20"/>
                <w:szCs w:val="20"/>
              </w:rPr>
              <w:t xml:space="preserve">Crítico</w:t>
            </w:r>
          </w:p>
        </w:tc>
        <w:tc>
          <w:tcPr>
            <w:tcW w:type="dxa" w:w="3500"/>
            <w:shd w:fill="FFFFFF" w:color="auto" w:val="clear"/>
            <w:tcMar>
              <w:top w:type="dxa" w:w="100"/>
              <w:left w:type="dxa" w:w="120"/>
              <w:bottom w:type="dxa" w:w="100"/>
              <w:right w:type="dxa" w:w="120"/>
            </w:tcMar>
          </w:tcPr>
          <w:p>
            <w:r>
              <w:rPr>
                <w:b w:val="false"/>
                <w:bCs w:val="false"/>
                <w:color w:val="000000"/>
                <w:sz w:val="20"/>
                <w:szCs w:val="20"/>
              </w:rPr>
              <w:t xml:space="preserve">Redistribuir inversión hacia canales orgánicos y referidos.</w:t>
            </w:r>
          </w:p>
        </w:tc>
      </w:tr>
      <w:tr>
        <w:tc>
          <w:tcPr>
            <w:tcW w:type="dxa" w:w="2600"/>
            <w:shd w:fill="DCE6F1" w:color="auto" w:val="clear"/>
            <w:tcMar>
              <w:top w:type="dxa" w:w="100"/>
              <w:left w:type="dxa" w:w="120"/>
              <w:bottom w:type="dxa" w:w="100"/>
              <w:right w:type="dxa" w:w="120"/>
            </w:tcMar>
          </w:tcPr>
          <w:p>
            <w:r>
              <w:rPr>
                <w:b/>
                <w:bCs/>
                <w:color w:val="000000"/>
                <w:sz w:val="20"/>
                <w:szCs w:val="20"/>
              </w:rPr>
              <w:t xml:space="preserve">Licencias de Software</w:t>
            </w:r>
          </w:p>
        </w:tc>
        <w:tc>
          <w:tcPr>
            <w:tcW w:type="dxa" w:w="1700"/>
            <w:shd w:fill="DCE6F1" w:color="auto" w:val="clear"/>
            <w:tcMar>
              <w:top w:type="dxa" w:w="100"/>
              <w:left w:type="dxa" w:w="120"/>
              <w:bottom w:type="dxa" w:w="100"/>
              <w:right w:type="dxa" w:w="120"/>
            </w:tcMar>
          </w:tcPr>
          <w:p>
            <w:r>
              <w:rPr>
                <w:b w:val="false"/>
                <w:bCs w:val="false"/>
                <w:color w:val="1E7B34"/>
                <w:sz w:val="20"/>
                <w:szCs w:val="20"/>
              </w:rPr>
              <w:t xml:space="preserve">-8% vs. presupuesto (subejecución)</w:t>
            </w:r>
          </w:p>
        </w:tc>
        <w:tc>
          <w:tcPr>
            <w:tcW w:type="dxa" w:w="1700"/>
            <w:shd w:fill="DCE6F1" w:color="auto" w:val="clear"/>
            <w:tcMar>
              <w:top w:type="dxa" w:w="100"/>
              <w:left w:type="dxa" w:w="120"/>
              <w:bottom w:type="dxa" w:w="100"/>
              <w:right w:type="dxa" w:w="120"/>
            </w:tcMar>
          </w:tcPr>
          <w:p>
            <w:r>
              <w:rPr>
                <w:b w:val="false"/>
                <w:bCs w:val="false"/>
                <w:color w:val="000000"/>
                <w:sz w:val="20"/>
                <w:szCs w:val="20"/>
              </w:rPr>
              <w:t xml:space="preserve">Bajo</w:t>
            </w:r>
          </w:p>
        </w:tc>
        <w:tc>
          <w:tcPr>
            <w:tcW w:type="dxa" w:w="3500"/>
            <w:shd w:fill="DCE6F1" w:color="auto" w:val="clear"/>
            <w:tcMar>
              <w:top w:type="dxa" w:w="100"/>
              <w:left w:type="dxa" w:w="120"/>
              <w:bottom w:type="dxa" w:w="100"/>
              <w:right w:type="dxa" w:w="120"/>
            </w:tcMar>
          </w:tcPr>
          <w:p>
            <w:r>
              <w:rPr>
                <w:b w:val="false"/>
                <w:bCs w:val="false"/>
                <w:color w:val="000000"/>
                <w:sz w:val="20"/>
                <w:szCs w:val="20"/>
              </w:rPr>
              <w:t xml:space="preserve">Reasignar excedente a capacitación o automatización de procesos.</w:t>
            </w:r>
          </w:p>
        </w:tc>
      </w:tr>
    </w:tbl>
    <w:p>
      <w:pPr>
        <w:pStyle w:val="Heading1"/>
        <w:spacing w:after="150" w:before="300"/>
      </w:pPr>
      <w:r>
        <w:rPr>
          <w:b/>
          <w:bCs/>
          <w:color w:val="1F3864"/>
          <w:sz w:val="26"/>
          <w:szCs w:val="26"/>
        </w:rPr>
        <w:t xml:space="preserve">3. Análisis por Categoría</w:t>
      </w:r>
    </w:p>
    <w:p>
      <w:pPr>
        <w:pStyle w:val="Heading2"/>
        <w:spacing w:after="100" w:before="200"/>
      </w:pPr>
      <w:r>
        <w:rPr>
          <w:b/>
          <w:bCs/>
          <w:color w:val="1F3864"/>
          <w:sz w:val="22"/>
          <w:szCs w:val="22"/>
        </w:rPr>
        <w:t xml:space="preserve">Infraestructura Cloud (+18%)</w:t>
      </w:r>
    </w:p>
    <w:p>
      <w:pPr>
        <w:spacing w:after="120"/>
      </w:pPr>
      <w:r>
        <w:rPr>
          <w:sz w:val="21"/>
          <w:szCs w:val="21"/>
        </w:rPr>
        <w:t xml:space="preserve">El sobreconsumo responde principalmente a un escalamiento no planificado de recursos computacionales, posiblemente asociado a picos de demanda o a instancias no optimizadas. Se recomienda una auditoría técnica inmediata y la migración hacia modelos de instancias reservadas o de ahorro comprometido.</w:t>
      </w:r>
    </w:p>
    <w:p>
      <w:pPr>
        <w:pStyle w:val="Heading2"/>
        <w:spacing w:after="100" w:before="200"/>
      </w:pPr>
      <w:r>
        <w:rPr>
          <w:b/>
          <w:bCs/>
          <w:color w:val="1F3864"/>
          <w:sz w:val="22"/>
          <w:szCs w:val="22"/>
        </w:rPr>
        <w:t xml:space="preserve">Nómina Técnica / I+D (+12%)</w:t>
      </w:r>
    </w:p>
    <w:p>
      <w:pPr>
        <w:spacing w:after="120"/>
      </w:pPr>
      <w:r>
        <w:rPr>
          <w:sz w:val="21"/>
          <w:szCs w:val="21"/>
        </w:rPr>
        <w:t xml:space="preserve">El incremento se explica por ajustes salariales no presupuestados, en un contexto de alta competencia por talento técnico. Se sugiere revisar las bandas salariales vigentes y priorizar esquemas de retención frente a la incorporación de nuevo personal.</w:t>
      </w:r>
    </w:p>
    <w:p>
      <w:pPr>
        <w:pStyle w:val="Heading2"/>
        <w:spacing w:after="100" w:before="200"/>
      </w:pPr>
      <w:r>
        <w:rPr>
          <w:b/>
          <w:bCs/>
          <w:color w:val="1F3864"/>
          <w:sz w:val="22"/>
          <w:szCs w:val="22"/>
        </w:rPr>
        <w:t xml:space="preserve">Marketing / Costo de Adquisición de Clientes (+22%)</w:t>
      </w:r>
    </w:p>
    <w:p>
      <w:pPr>
        <w:spacing w:after="120"/>
      </w:pPr>
      <w:r>
        <w:rPr>
          <w:sz w:val="21"/>
          <w:szCs w:val="21"/>
        </w:rPr>
        <w:t xml:space="preserve">La desviación más crítica del trimestre. Refleja una posible saturación de los canales de pago utilizados. Se recomienda redistribuir la inversión hacia canales orgánicos y programas de referidos, con menor costo marginal por adquisición.</w:t>
      </w:r>
    </w:p>
    <w:p>
      <w:pPr>
        <w:pStyle w:val="Heading2"/>
        <w:spacing w:after="100" w:before="200"/>
      </w:pPr>
      <w:r>
        <w:rPr>
          <w:b/>
          <w:bCs/>
          <w:color w:val="1F3864"/>
          <w:sz w:val="22"/>
          <w:szCs w:val="22"/>
        </w:rPr>
        <w:t xml:space="preserve">Licencias de Software (-8%)</w:t>
      </w:r>
    </w:p>
    <w:p>
      <w:pPr>
        <w:spacing w:after="120"/>
      </w:pPr>
      <w:r>
        <w:rPr>
          <w:sz w:val="21"/>
          <w:szCs w:val="21"/>
        </w:rPr>
        <w:t xml:space="preserve">Única categoría con subejecución presupuestaria. El excedente disponible puede reasignarse a iniciativas de capacitación del equipo o a proyectos de automatización de procesos internos.</w:t>
      </w:r>
    </w:p>
    <w:p>
      <w:pPr>
        <w:pStyle w:val="Heading1"/>
        <w:spacing w:after="150" w:before="300"/>
      </w:pPr>
      <w:r>
        <w:rPr>
          <w:b/>
          <w:bCs/>
          <w:color w:val="1F3864"/>
          <w:sz w:val="26"/>
          <w:szCs w:val="26"/>
        </w:rPr>
        <w:t xml:space="preserve">4. Recomendaciones Generales</w:t>
      </w:r>
    </w:p>
    <w:p>
      <w:pPr>
        <w:pStyle w:val="ListParagraph"/>
        <w:numPr>
          <w:ilvl w:val="0"/>
          <w:numId w:val="1"/>
        </w:numPr>
        <w:spacing w:after="80"/>
      </w:pPr>
      <w:r>
        <w:rPr>
          <w:sz w:val="21"/>
          <w:szCs w:val="21"/>
        </w:rPr>
        <w:t xml:space="preserve">Priorizar la revisión de infraestructura cloud y CAC por su mayor efecto acumulado sobre el resultado trimestral.</w:t>
      </w:r>
    </w:p>
    <w:p>
      <w:pPr>
        <w:pStyle w:val="ListParagraph"/>
        <w:numPr>
          <w:ilvl w:val="0"/>
          <w:numId w:val="1"/>
        </w:numPr>
        <w:spacing w:after="80"/>
      </w:pPr>
      <w:r>
        <w:rPr>
          <w:sz w:val="21"/>
          <w:szCs w:val="21"/>
        </w:rPr>
        <w:t xml:space="preserve">Establecer alertas automáticas de consumo cloud para prevenir desviaciones futuras.</w:t>
      </w:r>
    </w:p>
    <w:p>
      <w:pPr>
        <w:pStyle w:val="ListParagraph"/>
        <w:numPr>
          <w:ilvl w:val="0"/>
          <w:numId w:val="1"/>
        </w:numPr>
        <w:spacing w:after="80"/>
      </w:pPr>
      <w:r>
        <w:rPr>
          <w:sz w:val="21"/>
          <w:szCs w:val="21"/>
        </w:rPr>
        <w:t xml:space="preserve">Evaluar la reasignación del excedente en licencias hacia capacitación técnica o automatización.</w:t>
      </w:r>
    </w:p>
    <w:p>
      <w:pPr>
        <w:pStyle w:val="ListParagraph"/>
        <w:numPr>
          <w:ilvl w:val="0"/>
          <w:numId w:val="1"/>
        </w:numPr>
        <w:spacing w:after="80"/>
      </w:pPr>
      <w:r>
        <w:rPr>
          <w:sz w:val="21"/>
          <w:szCs w:val="21"/>
        </w:rPr>
        <w:t xml:space="preserve">Incorporar seguimiento mensual de CAC por canal para optimizar la mezcla de inversión en marketing.</w:t>
      </w:r>
    </w:p>
    <w:p>
      <w:pPr>
        <w:pStyle w:val="Heading1"/>
        <w:spacing w:after="150" w:before="300"/>
      </w:pPr>
      <w:r>
        <w:rPr>
          <w:b/>
          <w:bCs/>
          <w:color w:val="1F3864"/>
          <w:sz w:val="26"/>
          <w:szCs w:val="26"/>
        </w:rPr>
        <w:t xml:space="preserve">5. Nota Metodológica</w:t>
      </w:r>
    </w:p>
    <w:p>
      <w:pPr>
        <w:spacing w:after="120"/>
      </w:pPr>
      <w:r>
        <w:rPr>
          <w:i/>
          <w:iCs/>
          <w:color w:val="595959"/>
          <w:sz w:val="21"/>
          <w:szCs w:val="21"/>
        </w:rPr>
        <w:t xml:space="preserve">Este informe se basa en un modelo ilustrativo de desviaciones típicas del sector software, presentado previamente como referencia. Para un análisis con validez financiera plena, se recomienda sustituir las cifras aquí presentadas por los datos reales del sistema de planificación presupuestaria de la compañía.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Informe 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2026-08-18T23:10:41.469Z</dcterms:created>
  <dcterms:modified xsi:type="dcterms:W3CDTF">2026-08-18T23:10:41.481Z</dcterms:modified>
</cp:coreProperties>
</file>

<file path=docProps/custom.xml><?xml version="1.0" encoding="utf-8"?>
<Properties xmlns="http://schemas.openxmlformats.org/officeDocument/2006/custom-properties" xmlns:vt="http://schemas.openxmlformats.org/officeDocument/2006/docPropsVTypes"/>
</file>