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pPr>
      <w:r>
        <w:rPr>
          <w:i/>
          <w:iCs/>
        </w:rPr>
        <w:t xml:space="preserve">Informe Confidencial — Uso Interno</w:t>
      </w:r>
    </w:p>
    <w:p>
      <w:pPr>
        <w:spacing w:after="100" w:before="150"/>
      </w:pPr>
      <w:r>
        <w:rPr>
          <w:b/>
          <w:bCs/>
          <w:sz w:val="30"/>
          <w:szCs w:val="30"/>
        </w:rPr>
        <w:t xml:space="preserve">INFORME DE ESTIMACIÓN DE GASTOS ADMINISTRATIVOS</w:t>
      </w:r>
    </w:p>
    <w:p>
      <w:pPr>
        <w:spacing w:after="150"/>
      </w:pPr>
      <w:r>
        <w:rPr>
          <w:i/>
          <w:iCs/>
        </w:rPr>
        <w:t xml:space="preserve">Empresa de Logística — Estimación del Próximo Trimestre</w:t>
      </w:r>
    </w:p>
    <w:p>
      <w:pPr>
        <w:spacing w:after="50"/>
      </w:pPr>
      <w:r>
        <w:rPr>
          <w:b/>
          <w:bCs/>
        </w:rPr>
        <w:t xml:space="preserve">Preparado por: </w:t>
      </w:r>
      <w:r>
        <w:t xml:space="preserve">Análisis Financiero Senior</w:t>
      </w:r>
    </w:p>
    <w:p>
      <w:pPr>
        <w:spacing w:after="200"/>
      </w:pPr>
      <w:r>
        <w:rPr>
          <w:b/>
          <w:bCs/>
        </w:rPr>
        <w:t xml:space="preserve">Fecha: </w:t>
      </w:r>
      <w:r>
        <w:t xml:space="preserve">19 de agosto de 2026</w:t>
      </w:r>
    </w:p>
    <w:p>
      <w:pPr>
        <w:pStyle w:val="Heading1"/>
        <w:spacing w:after="150" w:before="300"/>
      </w:pPr>
      <w:r>
        <w:rPr>
          <w:b/>
          <w:bCs/>
        </w:rPr>
        <w:t xml:space="preserve">1. Resumen Ejecutivo</w:t>
      </w:r>
    </w:p>
    <w:p>
      <w:pPr>
        <w:spacing w:after="150"/>
      </w:pPr>
      <w:r>
        <w:rPr>
          <w:i w:val="false"/>
          <w:iCs w:val="false"/>
        </w:rPr>
        <w:t xml:space="preserve">La estimación de gastos administrativos para el próximo trimestre identifica tres focos de atención prioritaria: personal administrativo, arriendo de instalaciones y software de gestión logística (ERP/TMS), este último con el mayor incremento porcentual proyectado. En contraste, el rubro de papelería y suministros generales muestra una leve contracción, sin impacto relevante sobre el presupuesto consolidado.</w:t>
      </w:r>
    </w:p>
    <w:p>
      <w:pPr>
        <w:pStyle w:val="Heading1"/>
        <w:spacing w:after="150" w:before="300"/>
      </w:pPr>
      <w:r>
        <w:rPr>
          <w:b/>
          <w:bCs/>
        </w:rPr>
        <w:t xml:space="preserve">2. Estimación de Gastos Administrativos</w:t>
      </w:r>
    </w:p>
    <w:p>
      <w:pPr>
        <w:spacing w:after="150"/>
      </w:pPr>
      <w:r>
        <w:rPr>
          <w:i w:val="false"/>
          <w:iCs w:val="false"/>
        </w:rPr>
        <w:t xml:space="preserve">La siguiente tabla resume las principales categorías de gasto administrativo proyectadas para el trimestre, su variación respecto al período anterior y las acciones sugeridas para cada una.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3900"/>
      </w:tblGrid>
      <w:tr>
        <w:trPr>
          <w:tblHeader/>
        </w:trPr>
        <w:tc>
          <w:tcPr>
            <w:tcW w:type="dxa" w:w="2200"/>
            <w:tcBorders>
              <w:top w:val="single" w:color="BFBFBF" w:sz="4"/>
              <w:left w:val="single" w:color="BFBFBF" w:sz="4"/>
              <w:bottom w:val="single" w:color="BFBFBF" w:sz="4"/>
              <w:right w:val="single" w:color="BFBFBF" w:sz="4"/>
            </w:tcBorders>
            <w:shd w:fill="F2F2F2" w:color="auto" w:val="clear"/>
          </w:tcPr>
          <w:p>
            <w:r>
              <w:rPr>
                <w:b/>
                <w:bCs/>
              </w:rPr>
              <w:t xml:space="preserve">Categoría</w:t>
            </w:r>
          </w:p>
        </w:tc>
        <w:tc>
          <w:tcPr>
            <w:tcW w:type="dxa" w:w="1700"/>
            <w:tcBorders>
              <w:top w:val="single" w:color="BFBFBF" w:sz="4"/>
              <w:left w:val="single" w:color="BFBFBF" w:sz="4"/>
              <w:bottom w:val="single" w:color="BFBFBF" w:sz="4"/>
              <w:right w:val="single" w:color="BFBFBF" w:sz="4"/>
            </w:tcBorders>
            <w:shd w:fill="F2F2F2" w:color="auto" w:val="clear"/>
          </w:tcPr>
          <w:p>
            <w:r>
              <w:rPr>
                <w:b/>
                <w:bCs/>
              </w:rPr>
              <w:t xml:space="preserve">Estimación</w:t>
            </w:r>
          </w:p>
        </w:tc>
        <w:tc>
          <w:tcPr>
            <w:tcW w:type="dxa" w:w="1700"/>
            <w:tcBorders>
              <w:top w:val="single" w:color="BFBFBF" w:sz="4"/>
              <w:left w:val="single" w:color="BFBFBF" w:sz="4"/>
              <w:bottom w:val="single" w:color="BFBFBF" w:sz="4"/>
              <w:right w:val="single" w:color="BFBFBF" w:sz="4"/>
            </w:tcBorders>
            <w:shd w:fill="F2F2F2" w:color="auto" w:val="clear"/>
          </w:tcPr>
          <w:p>
            <w:r>
              <w:rPr>
                <w:b/>
                <w:bCs/>
              </w:rPr>
              <w:t xml:space="preserve">Variación</w:t>
            </w:r>
          </w:p>
        </w:tc>
        <w:tc>
          <w:tcPr>
            <w:tcW w:type="dxa" w:w="3900"/>
            <w:tcBorders>
              <w:top w:val="single" w:color="BFBFBF" w:sz="4"/>
              <w:left w:val="single" w:color="BFBFBF" w:sz="4"/>
              <w:bottom w:val="single" w:color="BFBFBF" w:sz="4"/>
              <w:right w:val="single" w:color="BFBFBF" w:sz="4"/>
            </w:tcBorders>
            <w:shd w:fill="F2F2F2" w:color="auto" w:val="clear"/>
          </w:tcPr>
          <w:p>
            <w:r>
              <w:rPr>
                <w:b/>
                <w:bCs/>
              </w:rPr>
              <w:t xml:space="preserve">Observación / Acción Sugerida</w:t>
            </w:r>
          </w:p>
        </w:tc>
      </w:tr>
      <w:tr>
        <w:tc>
          <w:tcPr>
            <w:tcW w:type="dxa" w:w="2200"/>
            <w:tcBorders>
              <w:top w:val="single" w:color="BFBFBF" w:sz="4"/>
              <w:left w:val="single" w:color="BFBFBF" w:sz="4"/>
              <w:bottom w:val="single" w:color="BFBFBF" w:sz="4"/>
              <w:right w:val="single" w:color="BFBFBF" w:sz="4"/>
            </w:tcBorders>
          </w:tcPr>
          <w:p>
            <w:r>
              <w:rPr>
                <w:b/>
                <w:bCs/>
              </w:rPr>
              <w:t xml:space="preserve">Personal Administrativo</w:t>
            </w:r>
          </w:p>
        </w:tc>
        <w:tc>
          <w:tcPr>
            <w:tcW w:type="dxa" w:w="1700"/>
            <w:tcBorders>
              <w:top w:val="single" w:color="BFBFBF" w:sz="4"/>
              <w:left w:val="single" w:color="BFBFBF" w:sz="4"/>
              <w:bottom w:val="single" w:color="BFBFBF" w:sz="4"/>
              <w:right w:val="single" w:color="BFBFBF" w:sz="4"/>
            </w:tcBorders>
          </w:tcPr>
          <w:p>
            <w:r>
              <w:rPr>
                <w:b w:val="false"/>
                <w:bCs w:val="false"/>
              </w:rPr>
              <w:t xml:space="preserve">$48,000</w:t>
            </w:r>
          </w:p>
        </w:tc>
        <w:tc>
          <w:tcPr>
            <w:tcW w:type="dxa" w:w="1700"/>
            <w:tcBorders>
              <w:top w:val="single" w:color="BFBFBF" w:sz="4"/>
              <w:left w:val="single" w:color="BFBFBF" w:sz="4"/>
              <w:bottom w:val="single" w:color="BFBFBF" w:sz="4"/>
              <w:right w:val="single" w:color="BFBFBF" w:sz="4"/>
            </w:tcBorders>
          </w:tcPr>
          <w:p>
            <w:r>
              <w:rPr>
                <w:b w:val="false"/>
                <w:bCs w:val="false"/>
              </w:rPr>
              <w:t xml:space="preserve">+6% vs. trimestre anterior</w:t>
            </w:r>
          </w:p>
        </w:tc>
        <w:tc>
          <w:tcPr>
            <w:tcW w:type="dxa" w:w="3900"/>
            <w:tcBorders>
              <w:top w:val="single" w:color="BFBFBF" w:sz="4"/>
              <w:left w:val="single" w:color="BFBFBF" w:sz="4"/>
              <w:bottom w:val="single" w:color="BFBFBF" w:sz="4"/>
              <w:right w:val="single" w:color="BFBFBF" w:sz="4"/>
            </w:tcBorders>
          </w:tcPr>
          <w:p>
            <w:r>
              <w:rPr>
                <w:b w:val="false"/>
                <w:bCs w:val="false"/>
              </w:rPr>
              <w:t xml:space="preserve">Congelar nuevas contrataciones administrativas; evaluar redistribución de funciones.</w:t>
            </w:r>
          </w:p>
        </w:tc>
      </w:tr>
      <w:tr>
        <w:tc>
          <w:tcPr>
            <w:tcW w:type="dxa" w:w="2200"/>
            <w:tcBorders>
              <w:top w:val="single" w:color="BFBFBF" w:sz="4"/>
              <w:left w:val="single" w:color="BFBFBF" w:sz="4"/>
              <w:bottom w:val="single" w:color="BFBFBF" w:sz="4"/>
              <w:right w:val="single" w:color="BFBFBF" w:sz="4"/>
            </w:tcBorders>
          </w:tcPr>
          <w:p>
            <w:r>
              <w:rPr>
                <w:b/>
                <w:bCs/>
              </w:rPr>
              <w:t xml:space="preserve">Arriendo de Bodegas y Oficinas</w:t>
            </w:r>
          </w:p>
        </w:tc>
        <w:tc>
          <w:tcPr>
            <w:tcW w:type="dxa" w:w="1700"/>
            <w:tcBorders>
              <w:top w:val="single" w:color="BFBFBF" w:sz="4"/>
              <w:left w:val="single" w:color="BFBFBF" w:sz="4"/>
              <w:bottom w:val="single" w:color="BFBFBF" w:sz="4"/>
              <w:right w:val="single" w:color="BFBFBF" w:sz="4"/>
            </w:tcBorders>
          </w:tcPr>
          <w:p>
            <w:r>
              <w:rPr>
                <w:b w:val="false"/>
                <w:bCs w:val="false"/>
              </w:rPr>
              <w:t xml:space="preserve">$35,500</w:t>
            </w:r>
          </w:p>
        </w:tc>
        <w:tc>
          <w:tcPr>
            <w:tcW w:type="dxa" w:w="1700"/>
            <w:tcBorders>
              <w:top w:val="single" w:color="BFBFBF" w:sz="4"/>
              <w:left w:val="single" w:color="BFBFBF" w:sz="4"/>
              <w:bottom w:val="single" w:color="BFBFBF" w:sz="4"/>
              <w:right w:val="single" w:color="BFBFBF" w:sz="4"/>
            </w:tcBorders>
          </w:tcPr>
          <w:p>
            <w:r>
              <w:rPr>
                <w:b w:val="false"/>
                <w:bCs w:val="false"/>
              </w:rPr>
              <w:t xml:space="preserve">+3% vs. trimestre anterior</w:t>
            </w:r>
          </w:p>
        </w:tc>
        <w:tc>
          <w:tcPr>
            <w:tcW w:type="dxa" w:w="3900"/>
            <w:tcBorders>
              <w:top w:val="single" w:color="BFBFBF" w:sz="4"/>
              <w:left w:val="single" w:color="BFBFBF" w:sz="4"/>
              <w:bottom w:val="single" w:color="BFBFBF" w:sz="4"/>
              <w:right w:val="single" w:color="BFBFBF" w:sz="4"/>
            </w:tcBorders>
          </w:tcPr>
          <w:p>
            <w:r>
              <w:rPr>
                <w:b w:val="false"/>
                <w:bCs w:val="false"/>
              </w:rPr>
              <w:t xml:space="preserve">Renegociar condiciones contractuales antes del próximo período de renovación.</w:t>
            </w:r>
          </w:p>
        </w:tc>
      </w:tr>
      <w:tr>
        <w:tc>
          <w:tcPr>
            <w:tcW w:type="dxa" w:w="2200"/>
            <w:tcBorders>
              <w:top w:val="single" w:color="BFBFBF" w:sz="4"/>
              <w:left w:val="single" w:color="BFBFBF" w:sz="4"/>
              <w:bottom w:val="single" w:color="BFBFBF" w:sz="4"/>
              <w:right w:val="single" w:color="BFBFBF" w:sz="4"/>
            </w:tcBorders>
          </w:tcPr>
          <w:p>
            <w:r>
              <w:rPr>
                <w:b/>
                <w:bCs/>
              </w:rPr>
              <w:t xml:space="preserve">Software de Gestión (ERP / TMS)</w:t>
            </w:r>
          </w:p>
        </w:tc>
        <w:tc>
          <w:tcPr>
            <w:tcW w:type="dxa" w:w="1700"/>
            <w:tcBorders>
              <w:top w:val="single" w:color="BFBFBF" w:sz="4"/>
              <w:left w:val="single" w:color="BFBFBF" w:sz="4"/>
              <w:bottom w:val="single" w:color="BFBFBF" w:sz="4"/>
              <w:right w:val="single" w:color="BFBFBF" w:sz="4"/>
            </w:tcBorders>
          </w:tcPr>
          <w:p>
            <w:r>
              <w:rPr>
                <w:b w:val="false"/>
                <w:bCs w:val="false"/>
              </w:rPr>
              <w:t xml:space="preserve">$14,200</w:t>
            </w:r>
          </w:p>
        </w:tc>
        <w:tc>
          <w:tcPr>
            <w:tcW w:type="dxa" w:w="1700"/>
            <w:tcBorders>
              <w:top w:val="single" w:color="BFBFBF" w:sz="4"/>
              <w:left w:val="single" w:color="BFBFBF" w:sz="4"/>
              <w:bottom w:val="single" w:color="BFBFBF" w:sz="4"/>
              <w:right w:val="single" w:color="BFBFBF" w:sz="4"/>
            </w:tcBorders>
          </w:tcPr>
          <w:p>
            <w:r>
              <w:rPr>
                <w:b w:val="false"/>
                <w:bCs w:val="false"/>
              </w:rPr>
              <w:t xml:space="preserve">+15% vs. trimestre anterior</w:t>
            </w:r>
          </w:p>
        </w:tc>
        <w:tc>
          <w:tcPr>
            <w:tcW w:type="dxa" w:w="3900"/>
            <w:tcBorders>
              <w:top w:val="single" w:color="BFBFBF" w:sz="4"/>
              <w:left w:val="single" w:color="BFBFBF" w:sz="4"/>
              <w:bottom w:val="single" w:color="BFBFBF" w:sz="4"/>
              <w:right w:val="single" w:color="BFBFBF" w:sz="4"/>
            </w:tcBorders>
          </w:tcPr>
          <w:p>
            <w:r>
              <w:rPr>
                <w:b w:val="false"/>
                <w:bCs w:val="false"/>
              </w:rPr>
              <w:t xml:space="preserve">Auditar licencias activas y consolidar módulos subutilizados.</w:t>
            </w:r>
          </w:p>
        </w:tc>
      </w:tr>
      <w:tr>
        <w:tc>
          <w:tcPr>
            <w:tcW w:type="dxa" w:w="2200"/>
            <w:tcBorders>
              <w:top w:val="single" w:color="BFBFBF" w:sz="4"/>
              <w:left w:val="single" w:color="BFBFBF" w:sz="4"/>
              <w:bottom w:val="single" w:color="BFBFBF" w:sz="4"/>
              <w:right w:val="single" w:color="BFBFBF" w:sz="4"/>
            </w:tcBorders>
          </w:tcPr>
          <w:p>
            <w:r>
              <w:rPr>
                <w:b/>
                <w:bCs/>
              </w:rPr>
              <w:t xml:space="preserve">Papelería, Suministros y Servicios Generales</w:t>
            </w:r>
          </w:p>
        </w:tc>
        <w:tc>
          <w:tcPr>
            <w:tcW w:type="dxa" w:w="1700"/>
            <w:tcBorders>
              <w:top w:val="single" w:color="BFBFBF" w:sz="4"/>
              <w:left w:val="single" w:color="BFBFBF" w:sz="4"/>
              <w:bottom w:val="single" w:color="BFBFBF" w:sz="4"/>
              <w:right w:val="single" w:color="BFBFBF" w:sz="4"/>
            </w:tcBorders>
          </w:tcPr>
          <w:p>
            <w:r>
              <w:rPr>
                <w:b w:val="false"/>
                <w:bCs w:val="false"/>
              </w:rPr>
              <w:t xml:space="preserve">$6,800</w:t>
            </w:r>
          </w:p>
        </w:tc>
        <w:tc>
          <w:tcPr>
            <w:tcW w:type="dxa" w:w="1700"/>
            <w:tcBorders>
              <w:top w:val="single" w:color="BFBFBF" w:sz="4"/>
              <w:left w:val="single" w:color="BFBFBF" w:sz="4"/>
              <w:bottom w:val="single" w:color="BFBFBF" w:sz="4"/>
              <w:right w:val="single" w:color="BFBFBF" w:sz="4"/>
            </w:tcBorders>
          </w:tcPr>
          <w:p>
            <w:r>
              <w:rPr>
                <w:b w:val="false"/>
                <w:bCs w:val="false"/>
              </w:rPr>
              <w:t xml:space="preserve">-5% vs. trimestre anterior</w:t>
            </w:r>
          </w:p>
        </w:tc>
        <w:tc>
          <w:tcPr>
            <w:tcW w:type="dxa" w:w="3900"/>
            <w:tcBorders>
              <w:top w:val="single" w:color="BFBFBF" w:sz="4"/>
              <w:left w:val="single" w:color="BFBFBF" w:sz="4"/>
              <w:bottom w:val="single" w:color="BFBFBF" w:sz="4"/>
              <w:right w:val="single" w:color="BFBFBF" w:sz="4"/>
            </w:tcBorders>
          </w:tcPr>
          <w:p>
            <w:r>
              <w:rPr>
                <w:b w:val="false"/>
                <w:bCs w:val="false"/>
              </w:rPr>
              <w:t xml:space="preserve">Mantener el esquema actual de compras; sin acción prioritaria.</w:t>
            </w:r>
          </w:p>
        </w:tc>
      </w:tr>
    </w:tbl>
    <w:p>
      <w:pPr>
        <w:spacing w:after="200" w:before="200"/>
      </w:pPr>
    </w:p>
    <w:p>
      <w:pPr>
        <w:pStyle w:val="Heading1"/>
        <w:spacing w:after="150" w:before="300"/>
      </w:pPr>
      <w:r>
        <w:rPr>
          <w:b/>
          <w:bCs/>
        </w:rPr>
        <w:t xml:space="preserve">3. Análisis por Categoría</w:t>
      </w:r>
    </w:p>
    <w:p>
      <w:pPr>
        <w:pStyle w:val="Heading2"/>
        <w:spacing w:after="120" w:before="250"/>
      </w:pPr>
      <w:r>
        <w:rPr>
          <w:b/>
          <w:bCs/>
        </w:rPr>
        <w:t xml:space="preserve">Personal Administrativo (+6%)</w:t>
      </w:r>
    </w:p>
    <w:p>
      <w:pPr>
        <w:spacing w:after="150"/>
      </w:pPr>
      <w:r>
        <w:rPr>
          <w:i w:val="false"/>
          <w:iCs w:val="false"/>
        </w:rPr>
        <w:t xml:space="preserve">El incremento responde principalmente a ajustes salariales y a la incorporación puntual de personal de soporte operativo durante el trimestre anterior. Se recomienda congelar nuevas contrataciones en el área administrativa y evaluar la redistribución de funciones entre el equipo existente.</w:t>
      </w:r>
    </w:p>
    <w:p>
      <w:pPr>
        <w:pStyle w:val="Heading2"/>
        <w:spacing w:after="120" w:before="250"/>
      </w:pPr>
      <w:r>
        <w:rPr>
          <w:b/>
          <w:bCs/>
        </w:rPr>
        <w:t xml:space="preserve">Arriendo de Bodegas y Oficinas (+3%)</w:t>
      </w:r>
    </w:p>
    <w:p>
      <w:pPr>
        <w:spacing w:after="150"/>
      </w:pPr>
      <w:r>
        <w:rPr>
          <w:i w:val="false"/>
          <w:iCs w:val="false"/>
        </w:rPr>
        <w:t xml:space="preserve">La variación se explica por el ajuste contractual anual aplicado a los contratos de arriendo vigentes. Se sugiere iniciar conversaciones de renegociación con los arrendadores antes de la próxima fecha de renovación.</w:t>
      </w:r>
    </w:p>
    <w:p>
      <w:pPr>
        <w:pStyle w:val="Heading2"/>
        <w:spacing w:after="120" w:before="250"/>
      </w:pPr>
      <w:r>
        <w:rPr>
          <w:b/>
          <w:bCs/>
        </w:rPr>
        <w:t xml:space="preserve">Software de Gestión — ERP / TMS (+15%)</w:t>
      </w:r>
    </w:p>
    <w:p>
      <w:pPr>
        <w:spacing w:after="150"/>
      </w:pPr>
      <w:r>
        <w:rPr>
          <w:i w:val="false"/>
          <w:iCs w:val="false"/>
        </w:rPr>
        <w:t xml:space="preserve">La categoría con mayor variación del trimestre. Refleja la incorporación de módulos adicionales y ajustes en las licencias por usuario. Se recomienda una auditoría de licencias activas para identificar módulos subutilizados y consolidar el gasto.</w:t>
      </w:r>
    </w:p>
    <w:p>
      <w:pPr>
        <w:pStyle w:val="Heading2"/>
        <w:spacing w:after="120" w:before="250"/>
      </w:pPr>
      <w:r>
        <w:rPr>
          <w:b/>
          <w:bCs/>
        </w:rPr>
        <w:t xml:space="preserve">Papelería, Suministros y Servicios Generales (-5%)</w:t>
      </w:r>
    </w:p>
    <w:p>
      <w:pPr>
        <w:spacing w:after="150"/>
      </w:pPr>
      <w:r>
        <w:rPr>
          <w:i w:val="false"/>
          <w:iCs w:val="false"/>
        </w:rPr>
        <w:t xml:space="preserve">Única categoría con contracción respecto al trimestre anterior, resultado de las medidas de digitalización de procesos administrativos. No se identifican acciones prioritarias; se recomienda mantener el esquema actual de compras.</w:t>
      </w:r>
    </w:p>
    <w:p>
      <w:pPr>
        <w:pStyle w:val="Heading1"/>
        <w:spacing w:after="150" w:before="300"/>
      </w:pPr>
      <w:r>
        <w:rPr>
          <w:b/>
          <w:bCs/>
        </w:rPr>
        <w:t xml:space="preserve">4. Recomendaciones Generales</w:t>
      </w:r>
    </w:p>
    <w:p>
      <w:pPr>
        <w:pStyle w:val="ListParagraph"/>
        <w:numPr>
          <w:ilvl w:val="0"/>
          <w:numId w:val="1"/>
        </w:numPr>
        <w:spacing w:after="100"/>
      </w:pPr>
      <w:r>
        <w:t xml:space="preserve">Priorizar la revisión del gasto en software de gestión (ERP/TMS) por ser la categoría con mayor variación proyectada.</w:t>
      </w:r>
    </w:p>
    <w:p>
      <w:pPr>
        <w:pStyle w:val="ListParagraph"/>
        <w:numPr>
          <w:ilvl w:val="0"/>
          <w:numId w:val="1"/>
        </w:numPr>
        <w:spacing w:after="100"/>
      </w:pPr>
      <w:r>
        <w:t xml:space="preserve">Establecer un tope de crecimiento trimestral para el rubro de personal administrativo.</w:t>
      </w:r>
    </w:p>
    <w:p>
      <w:pPr>
        <w:pStyle w:val="ListParagraph"/>
        <w:numPr>
          <w:ilvl w:val="0"/>
          <w:numId w:val="1"/>
        </w:numPr>
        <w:spacing w:after="100"/>
      </w:pPr>
      <w:r>
        <w:t xml:space="preserve">Formalizar la renegociación de contratos de arriendo antes del vencimiento del período vigente.</w:t>
      </w:r>
    </w:p>
    <w:p>
      <w:pPr>
        <w:pStyle w:val="ListParagraph"/>
        <w:numPr>
          <w:ilvl w:val="0"/>
          <w:numId w:val="1"/>
        </w:numPr>
        <w:spacing w:after="100"/>
      </w:pPr>
      <w:r>
        <w:t xml:space="preserve">Mantener el seguimiento mensual de licencias de software para evitar sobreconsumo no planificado.</w:t>
      </w:r>
    </w:p>
    <w:p>
      <w:pPr>
        <w:pStyle w:val="Heading1"/>
        <w:spacing w:after="150" w:before="300"/>
      </w:pPr>
      <w:r>
        <w:rPr>
          <w:b/>
          <w:bCs/>
        </w:rPr>
        <w:t xml:space="preserve">5. Nota Metodológica</w:t>
      </w:r>
    </w:p>
    <w:p>
      <w:pPr>
        <w:spacing w:after="150"/>
      </w:pPr>
      <w:r>
        <w:rPr>
          <w:i/>
          <w:iCs/>
        </w:rPr>
        <w:t xml:space="preserve">Este informe se basa en un modelo ilustrativo de gastos administrativos típicos del sector logístico, presentado como referencia. Para un análisis con validez financiera plena, se recomienda sustituir las cifras aquí presentadas por los datos reales del sistema de planificación presupuestaria de la compañía.</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Página </w:t>
    </w:r>
    <w:r>
      <w:fldChar w:fldCharType="begin"/>
      <w:instrText xml:space="preserve">PAGE</w:instrText>
      <w:fldChar w:fldCharType="separate"/>
      <w:fldChar w:fldCharType="end"/>
    </w:r>
    <w:r>
      <w:t xml:space="preserve"> de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2026-08-18T23:19:15.078Z</dcterms:created>
  <dcterms:modified xsi:type="dcterms:W3CDTF">2026-08-18T23:19:15.092Z</dcterms:modified>
</cp:coreProperties>
</file>

<file path=docProps/custom.xml><?xml version="1.0" encoding="utf-8"?>
<Properties xmlns="http://schemas.openxmlformats.org/officeDocument/2006/custom-properties" xmlns:vt="http://schemas.openxmlformats.org/officeDocument/2006/docPropsVTypes"/>
</file>