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Resumen Extendido del Informe Anual 2021</w:t>
      </w:r>
    </w:p>
    <w:p>
      <w:pPr>
        <w:spacing w:after="60"/>
      </w:pPr>
      <w:r>
        <w:rPr>
          <w:color w:val="555555"/>
          <w:sz w:val="30"/>
          <w:szCs w:val="30"/>
        </w:rPr>
        <w:t xml:space="preserve">Crown Resorts Limited (ASX: CWN)</w:t>
      </w:r>
    </w:p>
    <w:p>
      <w:pPr>
        <w:spacing w:after="400"/>
      </w:pPr>
      <w:r>
        <w:rPr>
          <w:i/>
          <w:iCs/>
          <w:color w:val="777777"/>
          <w:sz w:val="22"/>
          <w:szCs w:val="22"/>
        </w:rPr>
        <w:t xml:space="preserve">Ejercicio finalizado el 30 de junio de 2021 — Informe publicado el 9 de septiembre de 2021</w:t>
      </w:r>
    </w:p>
    <w:p>
      <w:pPr>
        <w:spacing w:after="160" w:line="300"/>
        <w:jc w:val="both"/>
      </w:pPr>
      <w:r>
        <w:rPr>
          <w:sz w:val="22"/>
          <w:szCs w:val="22"/>
        </w:rPr>
        <w:t xml:space="preserve">Este documento resume, sección por sección, el contenido del Informe Anual 2021 de Crown Resorts Limited (169 páginas en el PDF fuente). Cada dato cuantitativo relevante se acompaña de una referencia de página entre paréntesis, p. ej. (p. 12). Las referencias corresponden a la numeración de página impresa que figura en el propio documento (visible en el pie de cada página), no al número de página del archivo PDF.</w:t>
      </w:r>
    </w:p>
    <w:p>
      <w:r>
        <w:br w:type="page"/>
      </w:r>
    </w:p>
    <w:p>
      <w:pPr>
        <w:pStyle w:val="Heading1"/>
        <w:pBdr>
          <w:bottom w:val="single" w:color="999999" w:sz="6" w:space="4"/>
        </w:pBdr>
        <w:spacing w:after="160" w:before="300"/>
      </w:pPr>
      <w:r>
        <w:t xml:space="preserve">1. Carta de la Junta Directiva (p. 2–5)</w:t>
      </w:r>
    </w:p>
    <w:p>
      <w:pPr>
        <w:spacing w:after="160" w:line="300"/>
        <w:jc w:val="both"/>
      </w:pPr>
      <w:r>
        <w:rPr>
          <w:sz w:val="22"/>
          <w:szCs w:val="22"/>
        </w:rPr>
        <w:t xml:space="preserve">El año fiscal 2021 fue descrito por la Junta como uno de los más desafiantes en la historia de Crown, marcado por el impacto de la pandemia de COVID-19 y un intenso escrutinio público y regulatorio (p. 2). Los resultados financieros reflejan ese impacto: los ingresos cayeron a aproximadamente 1.500 millones de dólares, una baja superior al 30%, mientras que Crown registró una pérdida neta consolidada después de impuestos de más de 260 millones de dólares; no se declararon ni pagaron dividendos respecto del ejercicio 2021 (p. 3).</w:t>
      </w:r>
    </w:p>
    <w:p>
      <w:pPr>
        <w:spacing w:after="160" w:line="300"/>
        <w:jc w:val="both"/>
      </w:pPr>
      <w:r>
        <w:rPr>
          <w:sz w:val="22"/>
          <w:szCs w:val="22"/>
        </w:rPr>
        <w:t xml:space="preserve">El prolongado confinamiento en Victoria implicó que Crown Melbourne permaneciera cerrado gran parte del primer semestre, con las operaciones de juego cerradas durante un total de 160 días del ejercicio (p. 3). Crown Perth, en cambio, tuvo un desempeño sólido, reabriendo hacia fines de junio de 2020 y permaneciendo operativo durante todo el primer semestre, con cierres de corto plazo por un total de 27 días en el segundo semestre (p. 3).</w:t>
      </w:r>
    </w:p>
    <w:p>
      <w:pPr>
        <w:spacing w:after="160" w:line="300"/>
        <w:jc w:val="both"/>
      </w:pPr>
      <w:r>
        <w:rPr>
          <w:sz w:val="22"/>
          <w:szCs w:val="22"/>
        </w:rPr>
        <w:t xml:space="preserve">Tras cuatro años de construcción, Crown Sydney abrió al público operaciones no relacionadas con el juego en diciembre de 2020; los ingresos por venta de apartamentos alcanzaron aproximadamente 650 millones de dólares recibidos durante el año (p. 4). En materia de gobierno corporativo, de los directores presentes en la Junta General Anual de 2020, solo dos permanecían en la Junta a la fecha de este informe, reflejando una renovación sustancial del Directorio (p. 3). La Junta también anticipó los plazos de los informes finales de las Comisiones Reales: la de Victoria antes del 15 de octubre de 2021, y la de Perth antes del 4 de marzo de 2022 (p. 4).</w:t>
      </w:r>
    </w:p>
    <w:p>
      <w:pPr>
        <w:pStyle w:val="Heading1"/>
        <w:pBdr>
          <w:bottom w:val="single" w:color="999999" w:sz="6" w:space="4"/>
        </w:pBdr>
        <w:spacing w:after="160" w:before="300"/>
      </w:pPr>
      <w:r>
        <w:t xml:space="preserve">2. Sobre Crown, Portafolio de Resorts, Intereses Internacionales y Crown Digital (p. 6–11)</w:t>
      </w:r>
    </w:p>
    <w:p>
      <w:pPr>
        <w:spacing w:after="160" w:line="300"/>
        <w:jc w:val="both"/>
      </w:pPr>
      <w:r>
        <w:rPr>
          <w:sz w:val="22"/>
          <w:szCs w:val="22"/>
        </w:rPr>
        <w:t xml:space="preserve">Crown opera dos resorts integrados en Australia —Crown Melbourne y Crown Perth— además de Crown Sydney, su hotel de lujo en Barangaroo (p. 6). En el plano internacional, Crown posee el 100% de Crown Aspinalls en Londres, un 50% del grupo británico Aspers Group y un 20% de la marca de hospitalidad Nobu (p. 6, p. 10). En el ámbito digital, Crown tiene el 100% de Betfair Australasia, el 100% de DGN Games y el 50% de Chill Gaming (p. 6, p. 11).</w:t>
      </w:r>
    </w:p>
    <w:p>
      <w:pPr>
        <w:spacing w:after="160" w:line="300"/>
        <w:jc w:val="both"/>
      </w:pPr>
      <w:r>
        <w:rPr>
          <w:sz w:val="22"/>
          <w:szCs w:val="22"/>
        </w:rPr>
        <w:t xml:space="preserve">Crown Melbourne cuenta con licencia para operar 2.628 máquinas de juego y 540 mesas de juego, y opera tres hoteles: Crown Towers (481 habitaciones), Crown Metropol (658 habitaciones) y Crown Promenade (465 habitaciones); su Centro de Conferencias tiene 7.350 metros cuadrados, y su salón Palladium tiene capacidad para 1.500 personas (p. 7). Crown Perth tiene aprobación para operar 2.500 máquinas y 350 mesas de juego, con tres hoteles que suman 500, 397 y 291 habitaciones respectivamente (Towers, Metropol y Promenade), además del Crown Theatre Perth con capacidad para 2.300 personas (p. 8). Crown Sydney, el primer hotel de seis estrellas de la ciudad, cuenta con 349 habitaciones en el Crown Towers Sydney (p. 9).</w:t>
      </w:r>
    </w:p>
    <w:p>
      <w:pPr>
        <w:spacing w:after="160" w:line="300"/>
        <w:jc w:val="both"/>
      </w:pPr>
      <w:r>
        <w:rPr>
          <w:sz w:val="22"/>
          <w:szCs w:val="22"/>
        </w:rPr>
        <w:t xml:space="preserve">Aspers Group opera cuatro casinos regionales en el Reino Unido: Newcastle, Stratford (Londres), Milton Keynes y Northampton (p. 10). Betfair Australasia da acceso a clientes de Australia y Nueva Zelanda a la mayor casa de apuestas de intercambio del mundo, mientras que DGN Games desarrolla juegos sociales en línea como “Old Vegas Slots” y “Lucky Time Slots” (p. 11).</w:t>
      </w:r>
    </w:p>
    <w:p>
      <w:pPr>
        <w:pStyle w:val="Heading1"/>
        <w:pBdr>
          <w:bottom w:val="single" w:color="999999" w:sz="6" w:space="4"/>
        </w:pBdr>
        <w:spacing w:after="160" w:before="300"/>
      </w:pPr>
      <w:r>
        <w:t xml:space="preserve">3. Resumen Financiero (p. 12–13)</w:t>
      </w:r>
    </w:p>
    <w:p>
      <w:pPr>
        <w:spacing w:after="160" w:line="300"/>
        <w:jc w:val="both"/>
      </w:pPr>
      <w:r>
        <w:rPr>
          <w:sz w:val="22"/>
          <w:szCs w:val="22"/>
        </w:rPr>
        <w:t xml:space="preserve">El ingreso estatutario del Grupo fue de 1.536,8 millones de dólares en FY21, frente a 2.237,2 millones en FY20, una caída del 31,3%. El ingreso teórico operativo (medida no-IFRS que excluye la varianza de la tasa de retorno teórica en el juego VIP) fue de 1.542,0 millones de dólares, un 31,7% menor que el año anterior (p. 12).</w:t>
      </w:r>
    </w:p>
    <w:p>
      <w:pPr>
        <w:spacing w:after="160" w:line="300"/>
        <w:jc w:val="both"/>
      </w:pPr>
      <w:r>
        <w:rPr>
          <w:sz w:val="22"/>
          <w:szCs w:val="22"/>
        </w:rPr>
        <w:t xml:space="preserve">Por segmento, el ingreso teórico de Crown Melbourne fue de 582,5 millones de dólares (-60,6%), Crown Perth 742,8 millones (+21,1%), Crown Sydney 68,6 millones (sin comparación, primer año), Crown Aspinalls 2,3 millones (-93,1%) y Crown Digital 147,0 millones (+8,5%) (p. 12). El EBITDA teórico antes de Costos de Cierre y Partidas Significativas del Grupo fue de 241,7 millones de dólares, una caída del 52,0%, con Melbourne aportando 94,1 millones, Perth 254,2 millones, Sydney una pérdida de 22,8 millones, Aspinalls una pérdida de 6,3 millones, Digital 34,1 millones y Costos Corporativos -111,6 millones (p. 12).</w:t>
      </w:r>
    </w:p>
    <w:p>
      <w:pPr>
        <w:spacing w:after="160" w:line="300"/>
        <w:jc w:val="both"/>
      </w:pPr>
      <w:r>
        <w:rPr>
          <w:sz w:val="22"/>
          <w:szCs w:val="22"/>
        </w:rPr>
        <w:t xml:space="preserve">El EBITDA reportado del Grupo fue de 114,1 millones de dólares, un 77,4% menos que el año anterior, tras absorber Costos de Cierre de 171,4 millones y Partidas Significativas positivas de 47,0 millones (p. 12). La pérdida neta atribuible a los accionistas de la matriz (NPAT) fue de 261,6 millones de dólares, comparada con una utilidad de 79,5 millones en FY20, una caída del 429,1% (p. 12). Al 30 de junio de 2021, la deuda neta de Crown era de 893 millones de dólares, compuesta por una deuda total de 1.283 millones y caja de 390 millones (p. 13).</w:t>
      </w:r>
    </w:p>
    <w:p>
      <w:pPr>
        <w:pStyle w:val="Heading1"/>
        <w:pBdr>
          <w:bottom w:val="single" w:color="999999" w:sz="6" w:space="4"/>
        </w:pBdr>
        <w:spacing w:after="160" w:before="300"/>
      </w:pPr>
      <w:r>
        <w:t xml:space="preserve">4. Actualización Regulatoria y Plan de Remediación (p. 14–15)</w:t>
      </w:r>
    </w:p>
    <w:p>
      <w:pPr>
        <w:spacing w:after="160" w:line="300"/>
        <w:jc w:val="both"/>
      </w:pPr>
      <w:r>
        <w:rPr>
          <w:sz w:val="22"/>
          <w:szCs w:val="22"/>
        </w:rPr>
        <w:t xml:space="preserve">Durante el ejercicio, Crown estuvo sujeta a múltiples investigaciones regulatorias. La Investigación Bergin concluyó en noviembre de 2020 y su informe se publicó el 9 de febrero de 2021 (p. 14). La Comisión Real de Victoria, establecida en febrero de 2021 para evaluar la idoneidad de Crown Melbourne, debía entregar su informe final antes del 15 de octubre de 2021, mientras que la Comisión Real de Perth, iniciada en marzo de 2021, debía entregar el suyo antes del 4 de marzo de 2022 (p. 14). Adicionalmente, Crown Melbourne y Crown Perth enfrentaban investigaciones de cumplimiento de AUSTRAC por presuntos incumplimientos de las leyes contra el lavado de activos (p. 14).</w:t>
      </w:r>
    </w:p>
    <w:p>
      <w:pPr>
        <w:spacing w:after="160" w:line="300"/>
        <w:jc w:val="both"/>
      </w:pPr>
      <w:r>
        <w:rPr>
          <w:sz w:val="22"/>
          <w:szCs w:val="22"/>
        </w:rPr>
        <w:t xml:space="preserve">Como parte del Plan de Remediación, se reportó la salida de nueve directores desde octubre de 2020, incluyendo todos los nominados por el accionista mayoritario (Consolidated Press Holdings) (p. 14). De los once directores listados en el Informe Anual 2020, solo dos permanecían en la Junta a la fecha de este informe (p. 15). En materia de cumplimiento normativo, se aprobaron 55 nuevos cargos bajo el nuevo modelo operativo de Crimen Financiero y Cumplimiento, y se sumaron 14 cargos adicionales (FTE) para reforzar el programa de juego responsable (p. 15).</w:t>
      </w:r>
    </w:p>
    <w:p>
      <w:pPr>
        <w:pStyle w:val="Heading1"/>
        <w:pBdr>
          <w:bottom w:val="single" w:color="999999" w:sz="6" w:space="4"/>
        </w:pBdr>
        <w:spacing w:after="160" w:before="300"/>
      </w:pPr>
      <w:r>
        <w:t xml:space="preserve">5. Actualización de Negocio de los Resorts Australianos (p. 16–21)</w:t>
      </w:r>
    </w:p>
    <w:p>
      <w:pPr>
        <w:pStyle w:val="Heading2"/>
        <w:spacing w:after="100" w:before="160"/>
      </w:pPr>
      <w:r>
        <w:t xml:space="preserve">Crown Melbourne (p. 16–17)</w:t>
      </w:r>
    </w:p>
    <w:p>
      <w:pPr>
        <w:spacing w:after="160" w:line="300"/>
        <w:jc w:val="both"/>
      </w:pPr>
      <w:r>
        <w:rPr>
          <w:sz w:val="22"/>
          <w:szCs w:val="22"/>
        </w:rPr>
        <w:t xml:space="preserve">Las operaciones de juego de Crown Melbourne estuvieron cerradas durante 160 días del ejercicio a causa de restricciones por COVID-19 (p. 17). La ocupación hotelera combinada de los tres hoteles fue de aproximadamente 39% (Crown Towers 39%, Crown Metropol 42% y Crown Promenade 33%) (p. 17). Crown proporcionó más de 1.230 noches de alojamiento gratuito a personas en situación de violencia familiar durante el año (p. 17).</w:t>
      </w:r>
    </w:p>
    <w:p>
      <w:pPr>
        <w:pStyle w:val="Heading2"/>
        <w:spacing w:after="100" w:before="160"/>
      </w:pPr>
      <w:r>
        <w:t xml:space="preserve">Crown Perth (p. 18–19)</w:t>
      </w:r>
    </w:p>
    <w:p>
      <w:pPr>
        <w:spacing w:after="160" w:line="300"/>
        <w:jc w:val="both"/>
      </w:pPr>
      <w:r>
        <w:rPr>
          <w:sz w:val="22"/>
          <w:szCs w:val="22"/>
        </w:rPr>
        <w:t xml:space="preserve">Crown Perth registró un desempeño sólido pese a 27 días de cierre obligatorio de sus operaciones de juego (p. 18). Los tres hoteles del complejo recibieron a más de 573.000 huéspedes durante el ejercicio, con una ocupación de aproximadamente 67% (p. 18). El recinto atrajo a más de 670 eventos con más de 150.000 comidas servidas en sus instalaciones de convenciones, incluyendo 7.902 comidas provistas como parte del ‘AFL Hub’ de Australia Occidental (p. 19).</w:t>
      </w:r>
    </w:p>
    <w:p>
      <w:pPr>
        <w:pStyle w:val="Heading2"/>
        <w:spacing w:after="100" w:before="160"/>
      </w:pPr>
      <w:r>
        <w:t xml:space="preserve">Crown Sydney (p. 20–21)</w:t>
      </w:r>
    </w:p>
    <w:p>
      <w:pPr>
        <w:spacing w:after="160" w:line="300"/>
        <w:jc w:val="both"/>
      </w:pPr>
      <w:r>
        <w:rPr>
          <w:sz w:val="22"/>
          <w:szCs w:val="22"/>
        </w:rPr>
        <w:t xml:space="preserve">La construcción del proyecto insumió más de 7,8 millones de horas-hombre y contó con más de 9.500 trabajadores (p. 20). Crown dio empleo a más de 3.000 personas entre empleados y contratistas en Crown Sydney (p. 20). Desde su apertura a fines de diciembre de 2020, el Crown Towers Sydney había recibido a casi 40.000 huéspedes, con una ocupación de aproximadamente 31% (p. 20–21), mientras que el spa recibió a más de 6.500 huéspedes (p. 21). El restaurante y bar del recinto recibieron 7.500 reservas dentro de las primeras 24 horas de su lanzamiento, y se realizaron más de 30 eventos privados en el año (p. 21).</w:t>
      </w:r>
    </w:p>
    <w:p>
      <w:pPr>
        <w:pStyle w:val="Heading1"/>
        <w:pBdr>
          <w:bottom w:val="single" w:color="999999" w:sz="6" w:space="4"/>
        </w:pBdr>
        <w:spacing w:after="160" w:before="300"/>
      </w:pPr>
      <w:r>
        <w:t xml:space="preserve">6. Responsabilidad Corporativa (p. 22–31)</w:t>
      </w:r>
    </w:p>
    <w:p>
      <w:pPr>
        <w:spacing w:after="160" w:line="300"/>
        <w:jc w:val="both"/>
      </w:pPr>
      <w:r>
        <w:rPr>
          <w:sz w:val="22"/>
          <w:szCs w:val="22"/>
        </w:rPr>
        <w:t xml:space="preserve">El programa de empleabilidad CROWNability, orientado a personas con discapacidad, había logrado desde su lanzamiento en 2014 que 35 personas con discapacidad fueran contratadas dentro de los primeros seis meses del período (p. 26), y cerca de 1.000 empleados habían accedido a instancias de apoyo relacionadas (p. 24). El programa de formación de aprendices e institutos de Crown (CCI) reportó que, desde su creación, más de 11.225 empleados se habían graduado, con más de 8.500 aprendices y estudiantes en formación, de los cuales más de 600 correspondieron al ejercicio 2021 (p. 25); el servicio de asistencia asociado recibió más de 1.459 consultas desde su creación (p. 25).</w:t>
      </w:r>
    </w:p>
    <w:p>
      <w:pPr>
        <w:spacing w:after="160" w:line="300"/>
        <w:jc w:val="both"/>
      </w:pPr>
      <w:r>
        <w:rPr>
          <w:sz w:val="22"/>
          <w:szCs w:val="22"/>
        </w:rPr>
        <w:t xml:space="preserve">En materia de compromiso comunitario, un video de Crown Pride fue visto por más de 18.000 personas, y un evento realizado en noviembre de 2020 convocó a más de 500 asistentes (p. 27). Las iniciativas de recaudación de fondos incluyeron 580.000 dólares reunidos mediante una campaña en línea (p. 29). Durante la pandemia, Crown preparó aproximadamente 133 toneladas de sopa para la comunidad y donó 2,5 millones de dólares a la mayor colecta benéfica de Perth, que en total recaudó 46,3 millones de dólares (p. 30).</w:t>
      </w:r>
    </w:p>
    <w:p>
      <w:pPr>
        <w:spacing w:after="160" w:line="300"/>
        <w:jc w:val="both"/>
      </w:pPr>
      <w:r>
        <w:rPr>
          <w:sz w:val="22"/>
          <w:szCs w:val="22"/>
        </w:rPr>
        <w:t xml:space="preserve">Otras campañas destacadas incluyeron 30.000 dólares recaudados mediante la iniciativa “Dude Tea”, 60.000 dólares recaudados junto a los Perth Wildcats para Breast Cancer Care WA (con una contribución directa de Crown de 27.000 dólares), 79.000 dólares reunidos en un evento solidario y 150.000 dólares destinados al Fondo de Emergencia del Alcalde de Melbourne (p. 30). La Fundación Crown Resorts, con un compromiso declarado de asignar 100 millones de dólares a organizaciones sin fines de lucro a lo largo del tiempo, había distribuido casi 60 millones de dólares acumulados a la fecha de este informe (p. 30). Adicionalmente, más de 350.000 dólares se destinaron a programas de apoyo a comunidades migrantes (p. 31).</w:t>
      </w:r>
    </w:p>
    <w:p>
      <w:pPr>
        <w:pStyle w:val="Heading1"/>
        <w:pBdr>
          <w:bottom w:val="single" w:color="999999" w:sz="6" w:space="4"/>
        </w:pBdr>
        <w:spacing w:after="160" w:before="300"/>
      </w:pPr>
      <w:r>
        <w:t xml:space="preserve">7. Informe de Gobierno Corporativo (p. 33–45)</w:t>
      </w:r>
    </w:p>
    <w:p>
      <w:pPr>
        <w:spacing w:after="160" w:line="300"/>
        <w:jc w:val="both"/>
      </w:pPr>
      <w:r>
        <w:rPr>
          <w:sz w:val="22"/>
          <w:szCs w:val="22"/>
        </w:rPr>
        <w:t xml:space="preserve">En materia de diversidad de género, el Plan de Acción de Género (GAP) de Crown fija un objetivo de representación 40:40:20 (40% mujeres, 40% hombres, 20% flexible). A la fecha del informe, la representación femenina por nivel era: 34% en otros ejecutivos/gerentes generales, 41% en gerencia senior, 39% en otras gerencias y 43% en niveles no gerenciales (p. 35). En términos de movimientos de personal, las mujeres representaron el 45% de las nuevas contrataciones, 43% de las transferencias, 42% de las promociones y 43% de las desvinculaciones y de la dotación total (p. 36).</w:t>
      </w:r>
    </w:p>
    <w:p>
      <w:pPr>
        <w:spacing w:after="160" w:line="300"/>
        <w:jc w:val="both"/>
      </w:pPr>
      <w:r>
        <w:rPr>
          <w:sz w:val="22"/>
          <w:szCs w:val="22"/>
        </w:rPr>
        <w:t xml:space="preserve">El Directorio de Crown se fijó el objetivo de contar con al menos un 30% de directores de cada género para el 30 de junio de 2022; al 30 de junio de 2021, el propio Directorio ya alcanzaba un 75% de representación femenina (p. 37). A nivel de todo el Grupo, había 5.370 mujeres, equivalentes al 43% de una dotación total de 12.489 empleados —una leve baja de 0,19 puntos porcentuales respecto de FY20—, mientras que las mujeres ocupaban el 30% de los cargos ejecutivos senior del Grupo, un aumento de un punto porcentual respecto del 29% de FY20 (p. 37). Tras el proceso de renovación, el Directorio de Crown estaba compuesto por seis Directores, cinco de los cuales serían independientes una vez recibidas las aprobaciones regulatorias correspondientes (p. 41).</w:t>
      </w:r>
    </w:p>
    <w:p>
      <w:pPr>
        <w:pStyle w:val="Heading1"/>
        <w:pBdr>
          <w:bottom w:val="single" w:color="999999" w:sz="6" w:space="4"/>
        </w:pBdr>
        <w:spacing w:after="160" w:before="300"/>
      </w:pPr>
      <w:r>
        <w:t xml:space="preserve">8. Informe Estatutario de los Directores (p. 49–69)</w:t>
      </w:r>
    </w:p>
    <w:p>
      <w:pPr>
        <w:spacing w:after="160" w:line="300"/>
        <w:jc w:val="both"/>
      </w:pPr>
      <w:r>
        <w:rPr>
          <w:sz w:val="22"/>
          <w:szCs w:val="22"/>
        </w:rPr>
        <w:t xml:space="preserve">Esta sección reitera y detalla las cifras consolidadas: ingreso estatutario de 1.536,8 millones de dólares (-31,3%), EBITDA reportado de 114,1 millones de dólares (-77,4%) y una pérdida neta después de impuestos atribuible a la matriz de 261,6 millones de dólares; el EBITDA teórico antes de Costos de Cierre y Partidas Significativas fue de 241,7 millones de dólares (-52,0%) (p. 49).</w:t>
      </w:r>
    </w:p>
    <w:p>
      <w:pPr>
        <w:spacing w:after="160" w:line="300"/>
        <w:jc w:val="both"/>
      </w:pPr>
      <w:r>
        <w:rPr>
          <w:sz w:val="22"/>
          <w:szCs w:val="22"/>
        </w:rPr>
        <w:t xml:space="preserve">Para Crown Melbourne, el ingreso teórico de 582,5 millones de dólares (-60,6%) se descompuso en ingresos de mesas de juego de piso principal de 241,2 millones (-56,0%) y de máquinas de juego de 165,7 millones (-51,5%), sumando un ingreso de juego de piso principal de 406,9 millones (-54,3%); el ingreso teórico del programa VIP fue de apenas 4,4 millones de dólares (-98,0%) y el ingreso no relacionado con el juego fue de 171,2 millones (-52,8%) (p. 50). Los Costos de Cierre de Melbourne fueron de 145,9 millones de dólares, netos de 13,2 millones en subsidios JobKeeper, e incluyeron una provisión de 25 millones de dólares por una garantía de impuesto mínimo con el Gobierno de Victoria; el EBITDA reportado de Melbourne fue una pérdida de 100,6 millones de dólares, frente a una utilidad de 381,8 millones en el año anterior (p. 50). Tras el cierre del ejercicio, Crown pagó 37,4 millones de dólares a la VCGLR por un subpago histórico de impuestos al juego, más 23,8 millones de dólares en intereses asociados (p. 50).</w:t>
      </w:r>
    </w:p>
    <w:p>
      <w:pPr>
        <w:spacing w:after="160" w:line="300"/>
        <w:jc w:val="both"/>
      </w:pPr>
      <w:r>
        <w:rPr>
          <w:sz w:val="22"/>
          <w:szCs w:val="22"/>
        </w:rPr>
        <w:t xml:space="preserve">Crown Perth registró un ingreso teórico de 742,8 millones de dólares (+21,1%), con ingresos de mesas de 171,7 millones (+24,8%) y de máquinas de 306,6 millones (+48,2%); el EBITDA teórico antes de Partidas Significativas fue de 254,2 millones de dólares (+57,1%), e incluyó subsidios JobKeeper de 24,7 millones de dólares; el EBITDA reportado fue de 231,8 millones de dólares (+50,4%). La ocupación hotelera de Perth alcanzó aproximadamente 67% (Towers 71%, Metropol 72%, Promenade 53%) (p. 51). Crown Sydney generó un ingreso total de 68,6 millones de dólares y un EBITDA antes de Partidas Significativas negativo de 22,8 millones de dólares, con un margen operativo de -33,2%; los ingresos por venta de apartamentos alcanzaron aproximadamente 750 millones de dólares brutos, de los cuales unos 650 millones ya se habían recibido, esperándose otros 500 millones adicionales durante el ejercicio siguiente (p. 51).</w:t>
      </w:r>
    </w:p>
    <w:p>
      <w:pPr>
        <w:spacing w:after="160" w:line="300"/>
        <w:jc w:val="both"/>
      </w:pPr>
      <w:r>
        <w:rPr>
          <w:sz w:val="22"/>
          <w:szCs w:val="22"/>
        </w:rPr>
        <w:t xml:space="preserve">En cuanto a la posición financiera del Grupo, al 30 de junio de 2021 la deuda neta era de 892,9 millones de dólares (excluyendo caja de capital de trabajo de 85,9 millones), compuesta por una deuda total de 1.283,0 millones y caja de 390,1 millones. La liquidez total, excluyendo caja de capital de trabajo, ascendía a 560,8 millones de dólares (390,1 millones en caja disponible más 170,7 millones en líneas comprometidas no giradas) (p. 53). El flujo de caja operativo neto del período fue negativo en 14,0 millones de dólares, frente a un flujo positivo de 326,9 millones en el año anterior; el gasto de capital fue de 559,1 millones de dólares, principalmente por la construcción de Crown Sydney. No se declararon ni pagaron dividendos respecto de FY21 (p. 53).</w:t>
      </w:r>
    </w:p>
    <w:p>
      <w:pPr>
        <w:pStyle w:val="Heading1"/>
        <w:pBdr>
          <w:bottom w:val="single" w:color="999999" w:sz="6" w:space="4"/>
        </w:pBdr>
        <w:spacing w:after="160" w:before="300"/>
      </w:pPr>
      <w:r>
        <w:t xml:space="preserve">9. Informe de Remuneración (p. 73–92)</w:t>
      </w:r>
    </w:p>
    <w:p>
      <w:pPr>
        <w:spacing w:after="160" w:line="300"/>
        <w:jc w:val="both"/>
      </w:pPr>
      <w:r>
        <w:rPr>
          <w:sz w:val="22"/>
          <w:szCs w:val="22"/>
        </w:rPr>
        <w:t xml:space="preserve">El informe reitera el deterioro del desempeño del Grupo —EBITDA teórico antes de Costos de Cierre y Partidas Significativas de 241,7 millones de dólares (-52,0%) y EBITDA reportado de 114,1 millones (-77,4%)— como contexto para la decisión de no otorgar pagos de Incentivo de Corto Plazo (STI) ni nuevas asignaciones de Incentivo de Largo Plazo (LTI) a los Ejecutivos Senior durante el ejercicio (p. 74).</w:t>
      </w:r>
    </w:p>
    <w:p>
      <w:pPr>
        <w:spacing w:after="160" w:line="300"/>
        <w:jc w:val="both"/>
      </w:pPr>
      <w:r>
        <w:rPr>
          <w:sz w:val="22"/>
          <w:szCs w:val="22"/>
        </w:rPr>
        <w:t xml:space="preserve">Steve McCann, anunciado como nuevo Director Ejecutivo (CEO) sujeto a aprobación regulatoria, recibió Derechos de Desempeño de Incorporación (‘Sign-on Performance Rights’) anunciados el 10 de mayo de 2021 (p. 83). Bajo la estructura de remuneración objetivo para FY22, la remuneración fija anual del CEO se fijó en 2.500.000 dólares, con un STI máximo de 100% de la remuneración fija (2.500.000 dólares) y un LTI de igual magnitud aplicable desde FY23; el CFO, Alan McGregor, tiene una remuneración fija de 1.100.000 dólares, con STI y LTI máximos de 50% cada uno (550.000 dólares cada componente) (p. 84).</w:t>
      </w:r>
    </w:p>
    <w:p>
      <w:pPr>
        <w:spacing w:after="160" w:line="300"/>
        <w:jc w:val="both"/>
      </w:pPr>
      <w:r>
        <w:rPr>
          <w:sz w:val="22"/>
          <w:szCs w:val="22"/>
        </w:rPr>
        <w:t xml:space="preserve">La tabla de desempeño histórico FY17–FY21 muestra la evolución del dividendo anual total: 143,0 centavos (FY17), 60,0 centavos (FY18 y FY19), 30,0 centavos (FY20) y 0 centavos (FY21); las ganancias básicas por acción normalizadas pasaron de 47,26 centavos (FY17) a -12,43 centavos (FY21) (p. 84). Helen Coonan, quien ejerció como Presidenta Ejecutiva desde febrero de 2021, recibió 1.800.000 dólares anuales por ese rol temporal, sin componente variable (p. 87).</w:t>
      </w:r>
    </w:p>
    <w:p>
      <w:pPr>
        <w:spacing w:after="160" w:line="300"/>
        <w:jc w:val="both"/>
      </w:pPr>
      <w:r>
        <w:rPr>
          <w:sz w:val="22"/>
          <w:szCs w:val="22"/>
        </w:rPr>
        <w:t xml:space="preserve">En cuanto a honorarios de directores no ejecutivos, el honorario de Presidente del Directorio es de 700.000 dólares anuales, el de Vicepresidente 350.000 dólares, y el honorario base de directorio 170.000 dólares; presidir un comité activo del Directorio agrega 25.000 dólares y ser miembro 15.000 dólares, mientras que presidir la mesa de Crown Melbourne Limited agrega 115.000 dólares y ser miembro 60.000 dólares. El tope agregado de honorarios de directores es de 2.500.000 dólares anuales, respecto del cual se propuso un incremento de 500.000 dólares (a 3.000.000 de dólares anuales); se estableció además un honorario de observador de 170.000 dólares anuales (p. 90).</w:t>
      </w:r>
    </w:p>
    <w:p>
      <w:pPr>
        <w:pStyle w:val="Heading1"/>
        <w:pBdr>
          <w:bottom w:val="single" w:color="999999" w:sz="6" w:space="4"/>
        </w:pBdr>
        <w:spacing w:after="160" w:before="300"/>
      </w:pPr>
      <w:r>
        <w:t xml:space="preserve">10. Declaración de Independencia e Informe del Auditor Independiente (p. 96–100)</w:t>
      </w:r>
    </w:p>
    <w:p>
      <w:pPr>
        <w:spacing w:after="160" w:line="300"/>
        <w:jc w:val="both"/>
      </w:pPr>
      <w:r>
        <w:rPr>
          <w:sz w:val="22"/>
          <w:szCs w:val="22"/>
        </w:rPr>
        <w:t xml:space="preserve">KPMG, a través de su socia Rachel Milum, declaró el 9 de septiembre de 2021 no tener conflictos de independencia respecto de la auditoría del ejercicio finalizado el 30 de junio de 2021 (p. 96). En su Informe del Auditor Independiente, KPMG identificó dos Asuntos Clave de Auditoría: (i) una incertidumbre material relacionada con la capacidad de Crown de continuar como negocio en marcha, dada la interdependencia de los procesos regulatorios, la pandemia y los covenants financieros; y (ii) la valorización del plusvalor (goodwill) y los activos intangibles del Grupo, cuyo valor combinado alcanzaba aproximadamente 1.361 millones de dólares y que requería estimaciones complejas sobre flujos de caja futuros, tasas de crecimiento y tasas de descuento en un entorno de alta incertidumbre por COVID-19 (p. 97–99).</w:t>
      </w:r>
    </w:p>
    <w:p>
      <w:pPr>
        <w:pStyle w:val="Heading1"/>
        <w:pBdr>
          <w:bottom w:val="single" w:color="999999" w:sz="6" w:space="4"/>
        </w:pBdr>
        <w:spacing w:after="160" w:before="300"/>
      </w:pPr>
      <w:r>
        <w:t xml:space="preserve">11. Informe Financiero — Estados Financieros (p. 105–109)</w:t>
      </w:r>
    </w:p>
    <w:p>
      <w:pPr>
        <w:spacing w:after="160" w:line="300"/>
        <w:jc w:val="both"/>
      </w:pPr>
      <w:r>
        <w:rPr>
          <w:sz w:val="22"/>
          <w:szCs w:val="22"/>
        </w:rPr>
        <w:t xml:space="preserve">El Estado de Resultados muestra ingresos de 1.536,8 millones de dólares (2020: 2.237,2 millones), otros ingresos de 207,8 millones (impulsados por la ganancia en la venta de apartamentos de Crown Sydney), gastos de 1.975,4 millones y una pérdida antes de impuestos de 308,6 millones; tras un beneficio tributario de 47,3 millones, la pérdida neta después de impuestos fue de 261,3 millones de dólares (261,6 millones atribuibles a la matriz). La pérdida básica y diluida por acción fue de -38,63 centavos, comparada con una utilidad de 11,74 centavos en 2020; no hubo dividendo final declarado ni dividendo interino pagado en el ejercicio, frente a los 30,00 centavos pagados como dividendo interino en 2020 (p. 105).</w:t>
      </w:r>
    </w:p>
    <w:p>
      <w:pPr>
        <w:spacing w:after="160" w:line="300"/>
        <w:jc w:val="both"/>
      </w:pPr>
      <w:r>
        <w:rPr>
          <w:sz w:val="22"/>
          <w:szCs w:val="22"/>
        </w:rPr>
        <w:t xml:space="preserve">El Estado de Situación Financiera reporta caja y equivalentes de 476,0 millones de dólares (2020: 286,9 millones), activos corrientes totales de 1.053,6 millones, propiedades, planta y equipo de 4.316,6 millones, activos totales de 7.100,4 millones, pasivos corrientes totales de 1.047,9 millones, pasivos totales de 2.634,6 millones y un patrimonio neto de 4.465,8 millones de dólares (2020: 4.754,3 millones) (p. 107).</w:t>
      </w:r>
    </w:p>
    <w:p>
      <w:pPr>
        <w:spacing w:after="160" w:line="300"/>
        <w:jc w:val="both"/>
      </w:pPr>
      <w:r>
        <w:rPr>
          <w:sz w:val="22"/>
          <w:szCs w:val="22"/>
        </w:rPr>
        <w:t xml:space="preserve">El Estado de Flujo de Efectivo muestra ingresos por cobros de clientes de 1.605,2 millones de dólares, un flujo de caja operativo neto negativo de 14,0 millones (2020: positivo en 326,9 millones), gastos de capital de 559,1 millones, ingresos por la venta de propiedades, planta y equipo de 650,5 millones (principalmente apartamentos de Crown Sydney), y un aumento neto de caja durante el año de 189,8 millones de dólares, cerrando el ejercicio con 476,0 millones en caja (p. 108). El Estado de Cambios en el Patrimonio confirma la reducción del patrimonio desde 4.754,3 millones de dólares al 1 de julio de 2020 hasta 4.465,8 millones al 30 de junio de 2021, tras una pérdida integral total atribuible a la matriz de 290,4 millones de dólares (p. 109).</w:t>
      </w:r>
    </w:p>
    <w:p>
      <w:pPr>
        <w:pStyle w:val="Heading1"/>
        <w:pBdr>
          <w:bottom w:val="single" w:color="999999" w:sz="6" w:space="4"/>
        </w:pBdr>
        <w:spacing w:after="160" w:before="300"/>
      </w:pPr>
      <w:r>
        <w:t xml:space="preserve">12. Informe Financiero — Notas Seleccionadas (p. 110–150)</w:t>
      </w:r>
    </w:p>
    <w:p>
      <w:pPr>
        <w:spacing w:after="160" w:line="300"/>
        <w:jc w:val="both"/>
      </w:pPr>
      <w:r>
        <w:rPr>
          <w:sz w:val="22"/>
          <w:szCs w:val="22"/>
        </w:rPr>
        <w:t xml:space="preserve">La Nota 1 detalla la evaluación de negocio en marcha: al 30 de junio de 2021 el Grupo tenía una posición neta de activos corrientes de 5,7 millones de dólares, 390,1 millones en caja disponible y 170,7 millones en líneas bancarias comprometidas no giradas; el Grupo tenía 420 millones de dólares girados bajo sus acuerdos de financiamiento a esa fecha (p. 110–111).</w:t>
      </w:r>
    </w:p>
    <w:p>
      <w:pPr>
        <w:spacing w:after="160" w:line="300"/>
        <w:jc w:val="both"/>
      </w:pPr>
      <w:r>
        <w:rPr>
          <w:sz w:val="22"/>
          <w:szCs w:val="22"/>
        </w:rPr>
        <w:t xml:space="preserve">La Nota 2 (Información por Segmentos) detalla los períodos de cierre obligatorio por propiedad: Crown Melbourne estuvo cerrado del 1 de julio al 11 de noviembre de 2020, además de cierres puntuales en febrero y entre el 28 de mayo y el 17 de junio de 2021; Crown Perth tuvo cuatro cierres breves entre febrero y junio de 2021; y Crown Aspinalls permaneció cerrado la mayor parte del ejercicio (1 julio–14 agosto 2020 y 5 noviembre 2020–16 mayo 2021) (p. 121). Los Costos de Cierre del Grupo para el ejercicio fueron de 171,4 millones de dólares (2020: 107,3 millones), incluyendo la provisión de aproximadamente 25 millones de dólares por el incumplimiento del mínimo de impuesto al juego pactado con el Gobierno de Victoria en 2014, que exigía un pago mínimo de 35,0 millones de dólares anuales (p. 121). La Nota 3 desglosa los ingresos por propiedad: Crown Melbourne 567,5 millones de dólares, Crown Perth 740,9 millones, Crown Sydney 68,4 millones, Crown Aspinalls 2,5 millones y Wagering &amp; Online 145,9 millones, sumando 1.522,4 millones de dólares en Ingresos por Contratos con Clientes; los costos de personal (‘Employment costs’) del Grupo fueron de 695,4 millones de dólares (2020: 738,9 millones) (p. 124).</w:t>
      </w:r>
    </w:p>
    <w:p>
      <w:pPr>
        <w:spacing w:after="160" w:line="300"/>
        <w:jc w:val="both"/>
      </w:pPr>
      <w:r>
        <w:rPr>
          <w:sz w:val="22"/>
          <w:szCs w:val="22"/>
        </w:rPr>
        <w:t xml:space="preserve">La Nota 24 (Pasivos Contingentes) señala que, en casos previos de incumplimiento de normas antilavado llevados por AUSTRAC ante el Tribunal Federal contra otras entidades reportantes, las multas civiles ordenadas fueron de 45 millones de dólares (2017), 700 millones de dólares (2018) y 1.300 millones de dólares (2020); Crown consideró probable que AUSTRAC iniciara acciones similares contra Crown Melbourne y/o Crown Perth, aunque no fue posible estimar de forma fiable el monto, por lo que no se constituyó provisión alguna (p. 143). La Nota 25 detalla los honorarios pagados a KPMG (auditor desde 2021, en reemplazo de Ernst &amp; Young): 1.658.100 dólares por auditoría del informe financiero estatutario (2020: 1.534.982 dólares con EY), más 75.525 dólares en otros servicios de aseguramiento, 86.681 dólares en servicios tributarios y 213.372 dólares en otros servicios, totalizando 2.033.678 dólares (2020: 4.112.143 dólares) (p. 145). La Nota 28 informa que la remuneración total del Personal Clave de la Dirección (KMP) fue de 26,2 millones de dólares en 2021 (2020: 16,1 millones), compuesta por 13,8 millones en beneficios de corto plazo, 0,3 millones en beneficios post-empleo, 2,4 millones en incentivos de largo plazo y 9,7 millones en beneficios por término de contrato (p. 146).</w:t>
      </w:r>
    </w:p>
    <w:p>
      <w:pPr>
        <w:pStyle w:val="Heading1"/>
        <w:pBdr>
          <w:bottom w:val="single" w:color="999999" w:sz="6" w:space="4"/>
        </w:pBdr>
        <w:spacing w:after="160" w:before="300"/>
      </w:pPr>
      <w:r>
        <w:t xml:space="preserve">13. Declaración de los Directores (p. 160)</w:t>
      </w:r>
    </w:p>
    <w:p>
      <w:pPr>
        <w:spacing w:after="160" w:line="300"/>
        <w:jc w:val="both"/>
      </w:pPr>
      <w:r>
        <w:rPr>
          <w:sz w:val="22"/>
          <w:szCs w:val="22"/>
        </w:rPr>
        <w:t xml:space="preserve">Firmada por la Presidenta Interina, Jane Halton, el 9 de septiembre de 2021, esta declaración certifica que los estados financieros dan una imagen fiel de la posición financiera del Grupo al 30 de junio de 2021, cumplen con las Normas Contables Australianas y las NIIF, y que existen motivos razonables para creer que la Compañía podrá pagar sus deudas a su vencimiento (p. 160).</w:t>
      </w:r>
    </w:p>
    <w:p>
      <w:pPr>
        <w:pStyle w:val="Heading1"/>
        <w:pBdr>
          <w:bottom w:val="single" w:color="999999" w:sz="6" w:space="4"/>
        </w:pBdr>
        <w:spacing w:after="160" w:before="300"/>
      </w:pPr>
      <w:r>
        <w:t xml:space="preserve">14. Información para Accionistas (p. 161–162)</w:t>
      </w:r>
    </w:p>
    <w:p>
      <w:pPr>
        <w:spacing w:after="160" w:line="300"/>
        <w:jc w:val="both"/>
      </w:pPr>
      <w:r>
        <w:rPr>
          <w:sz w:val="22"/>
          <w:szCs w:val="22"/>
        </w:rPr>
        <w:t xml:space="preserve">Al 31 de agosto de 2021, Crown tenía 677.158.271 acciones ordinarias en circulación distribuidas entre 41.646 accionistas (p. 161). Los principales accionistas sustanciales eran Consolidated Press Holdings Pty Limited con 249.253.302 acciones (36,81% del capital emitido), Midnight Acacia Holdings Pte. Limited con 67.675.000 acciones (9,99%) y Perpetual Limited con 62.418.654 acciones (9,22%) (p. 161).</w:t>
      </w:r>
    </w:p>
    <w:p>
      <w:pPr>
        <w:spacing w:after="160" w:line="300"/>
        <w:jc w:val="both"/>
      </w:pPr>
      <w:r>
        <w:rPr>
          <w:sz w:val="22"/>
          <w:szCs w:val="22"/>
        </w:rPr>
        <w:t xml:space="preserve">La distribución por tamaño de tenencia muestra que 29.865 accionistas (71,7% del total) poseían entre 1 y 1.000 acciones, representando solo 1,56% del capital, mientras que apenas 54 accionistas (100.001 acciones o más) concentraban el 92,70% del capital emitido; 3.404 accionistas tenían una tenencia inferior a un lote comercializable (p. 161). Los 20 mayores accionistas en conjunto controlaban 619.584.947 acciones, equivalentes al 91,50% del capital, encabezados por CPH Crown Holdings Pty Ltd con 237.025.000 acciones (35,00%) (p. 162).</w:t>
      </w:r>
    </w:p>
    <w:p>
      <w:pPr>
        <w:pStyle w:val="Heading1"/>
        <w:pBdr>
          <w:bottom w:val="single" w:color="999999" w:sz="6" w:space="4"/>
        </w:pBdr>
        <w:spacing w:after="160" w:before="300"/>
      </w:pPr>
      <w:r>
        <w:t xml:space="preserve">15. Información Adicional y Corporate (p. 163–164)</w:t>
      </w:r>
    </w:p>
    <w:p>
      <w:pPr>
        <w:spacing w:after="160" w:line="300"/>
        <w:jc w:val="both"/>
      </w:pPr>
      <w:r>
        <w:rPr>
          <w:sz w:val="22"/>
          <w:szCs w:val="22"/>
        </w:rPr>
        <w:t xml:space="preserve">La sección de Información Adicional detalla los canales de contacto con el registro de accionistas, Computershare (p. 163). La Información Corporativa confirma que la Junta General Anual se celebraría el jueves 21 de octubre de 2021 a las 10:00 horas (AEST) en formato virtual, que las acciones ordinarias de Crown cotizan en la Bolsa de Valores de Australia bajo el código “CWN” y sus Notas Subordinadas II bajo el código “CWNHB”, y que KPMG actuaba como auditor de la Compañía (p. 164).</w:t>
      </w:r>
    </w:p>
    <w:p>
      <w:r>
        <w:br w:type="page"/>
      </w:r>
    </w:p>
    <w:p>
      <w:pPr>
        <w:pStyle w:val="Heading1"/>
        <w:pBdr>
          <w:bottom w:val="single" w:color="999999" w:sz="6" w:space="4"/>
        </w:pBdr>
        <w:spacing w:after="160" w:before="300"/>
      </w:pPr>
      <w:r>
        <w:t xml:space="preserve">Nota metodológica</w:t>
      </w:r>
    </w:p>
    <w:p>
      <w:pPr>
        <w:spacing w:after="160" w:line="300"/>
        <w:jc w:val="both"/>
      </w:pPr>
      <w:r>
        <w:rPr>
          <w:sz w:val="22"/>
          <w:szCs w:val="22"/>
        </w:rPr>
        <w:t xml:space="preserve">Este resumen fue elaborado mediante extracción y verificación cruzada del texto del PDF fuente (169 páginas), confirmando en cada caso el número de página impreso real (visible en el pie de página del documento original) antes de citarlo. Todas las cifras monetarias están expresadas en dólares australianos (AUD), tal como figuran en el informe original, salvo indicación en contrario.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2026-09-10T22:09:56.484Z</dcterms:created>
  <dcterms:modified xsi:type="dcterms:W3CDTF">2026-09-10T22:09:56.494Z</dcterms:modified>
</cp:coreProperties>
</file>

<file path=docProps/custom.xml><?xml version="1.0" encoding="utf-8"?>
<Properties xmlns="http://schemas.openxmlformats.org/officeDocument/2006/custom-properties" xmlns:vt="http://schemas.openxmlformats.org/officeDocument/2006/docPropsVTypes"/>
</file>