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Crown Resorts Limited</w:t>
      </w:r>
    </w:p>
    <w:p>
      <w:pPr>
        <w:pStyle w:val="Heading1"/>
        <w:spacing w:after="200"/>
      </w:pPr>
      <w:r>
        <w:t xml:space="preserve">Annual Report 2021 — Resumen extendido</w:t>
      </w:r>
    </w:p>
    <w:p>
      <w:pPr>
        <w:spacing w:after="160"/>
        <w:jc w:val="both"/>
      </w:pPr>
      <w:r>
        <w:t xml:space="preserve">Este documento resume, sección por sección, el Informe Anual 2021 de Crown Resorts Limited (ASX: CWN), presentado el 9 de septiembre de 2021 y correspondiente al ejercicio finalizado el 30 de junio de 2021. La extensión de cada resumen es proporcional a la extensión de la sección original: las secciones más extensas del informe (p. ej. Corporate Responsibility, Corporate Governance, el Directors' Statutory Report, el Remuneration Report y el Financial Report) reciben un tratamiento de una página completa; las secciones breves del informe original (p. ej. About Crown, International Interests, Crown Digital) se resumen de forma proporcionalmente más breve, sin rellenar con contenido no presente en el original.</w:t>
      </w:r>
    </w:p>
    <w:p>
      <w:pPr>
        <w:spacing w:after="160"/>
        <w:jc w:val="both"/>
      </w:pPr>
      <w:r>
        <w:t xml:space="preserve">Convención de citas: todas las citas de página, en formato (p. X), corresponden a la numeración impresa que aparece al pie de cada página del informe (la que usa el propio documento y su índice), no al número de página del archivo PDF. El PDF tiene un desfase constante de +3 respecto a esta numeración impresa (por ejemplo, la p. 12 impresa es la página real 15 del archivo).</w:t>
      </w:r>
    </w:p>
    <w:p>
      <w:r>
        <w:br w:type="page"/>
      </w:r>
    </w:p>
    <w:p>
      <w:pPr>
        <w:pStyle w:val="Heading1"/>
        <w:spacing w:after="150" w:before="300"/>
      </w:pPr>
      <w:r>
        <w:t xml:space="preserve">1. Letter from the Board (pp. 2–4)</w:t>
      </w:r>
    </w:p>
    <w:p>
      <w:pPr>
        <w:spacing w:after="160"/>
        <w:jc w:val="both"/>
      </w:pPr>
      <w:r>
        <w:t xml:space="preserve">La carta del Consejo, firmada por Jane Halton AO PSM (Interim Chairman), Toni Korsanos, Nigel Morrison y Bruce Carter, describe el ejercicio 2021 como uno de los más desafiantes de la historia de Crown por el impacto de la pandemia de COVID-19 y el escrutinio regulatorio (p. 2).</w:t>
      </w:r>
    </w:p>
    <w:p>
      <w:pPr>
        <w:spacing w:after="160"/>
        <w:jc w:val="both"/>
      </w:pPr>
      <w:r>
        <w:t xml:space="preserve">En materia de gobierno corporativo, se destaca una renovación casi total del Consejo y la alta dirección: de los directores presentes en la Junta General de 2020, solo dos permanecían en el Consejo a la fecha de la carta (p. 2). El Dr. Ziggy Switkowski se incorporaría como Chairman sujeto a aprobaciones regulatorias, y Nigel Morrison y Bruce Carter se sumaron como nuevos directores no ejecutivos independientes (p. 2). Steve McCann fue anunciado como CEO pendiente de aprobación regulatoria (p. 2).</w:t>
      </w:r>
    </w:p>
    <w:p>
      <w:pPr>
        <w:spacing w:after="160"/>
        <w:jc w:val="both"/>
      </w:pPr>
      <w:r>
        <w:t xml:space="preserve">Sobre el desempeño financiero, la carta anticipa los resultados del año: ingresos de aproximadamente 1.500 millones de dólares australianos, una caída superior al 30% respecto al año anterior, y una pérdida neta consolidada después de impuestos superior a los 260 millones de dólares (p. 3). No se declararon ni pagaron dividendos correspondientes al ejercicio 2021 (p. 3).</w:t>
      </w:r>
    </w:p>
    <w:p>
      <w:pPr>
        <w:spacing w:after="160"/>
        <w:jc w:val="both"/>
      </w:pPr>
      <w:r>
        <w:t xml:space="preserve">Se detallan los cierres operativos por COVID-19: Crown Melbourne permaneció con sus operaciones de juego cerradas durante 160 días del ejercicio (p. 3), mientras que Crown Perth registró 27 días de cierre (p. 3). Respecto a Crown Sydney, se señala que las operaciones no de juego comenzaron de forma restringida en diciembre de 2020, y que la venta de apartamentos de "Crown Residences" generó aproximadamente 650 millones de dólares en ingresos por venta durante el año (p. 3).</w:t>
      </w:r>
    </w:p>
    <w:p>
      <w:pPr>
        <w:spacing w:after="160"/>
        <w:jc w:val="both"/>
      </w:pPr>
      <w:r>
        <w:t xml:space="preserve">En cuanto a los procesos regulatorios, se anticipa que la Royal Commission de Victoria entregaría su informe final antes del 15 de octubre de 2021, y la Royal Commission del casino de Perth antes del 4 de marzo de 2022 (p. 4). Finalmente, se menciona que Crown acordó con sus financiadores no declarar ni pagar dividendos respecto del semestre que finaliza el 31 de diciembre de 2021, o en caso de que se activasen ciertos gatillos vinculados a eventos de la licencia de casino (p. 4).</w:t>
      </w:r>
    </w:p>
    <w:p>
      <w:pPr>
        <w:pStyle w:val="Heading1"/>
        <w:spacing w:after="150" w:before="300"/>
      </w:pPr>
      <w:r>
        <w:t xml:space="preserve">2. About Crown (p. 6)</w:t>
      </w:r>
    </w:p>
    <w:p>
      <w:pPr>
        <w:spacing w:after="160"/>
        <w:jc w:val="both"/>
      </w:pPr>
      <w:r>
        <w:t xml:space="preserve">Esta sección, de una sola página en el informe original, presenta a Crown como uno de los mayores grupos de entretenimiento de Australia (p. 6). Enumera sus tres resorts australianos —Crown Melbourne, Crown Perth y Crown Sydney— y sus intereses internacionales: Crown Aspinalls (Londres, propiedad total), una participación del 50% en el grupo británico Aspers y una participación del 20% en Nobu (p. 6). En Crown Digital, se listan las participaciones en Betfair Australasia (100%), DGN Games (100%) y Chill Gaming (50%) (p. 6).</w:t>
      </w:r>
    </w:p>
    <w:p>
      <w:pPr>
        <w:pStyle w:val="Heading1"/>
        <w:spacing w:after="150" w:before="300"/>
      </w:pPr>
      <w:r>
        <w:t xml:space="preserve">3. Crown's Resort Portfolio (pp. 7–9)</w:t>
      </w:r>
    </w:p>
    <w:p>
      <w:pPr>
        <w:spacing w:after="160"/>
        <w:jc w:val="both"/>
      </w:pPr>
      <w:r>
        <w:t xml:space="preserve">Crown Melbourne cuenta con licencia para operar 2.628 máquinas de juego y 540 mesas de juego (p. 7), y opera tres hoteles: Crown Towers Melbourne (481 habitaciones), Crown Metropol Melbourne (658 habitaciones) y Crown Promenade Melbourne (465 habitaciones) (p. 7). El Crown Conference Centre dispone de 7.350 metros cuadrados de espacio para conferencias (p. 7), y el Palladium tiene capacidad para 1.500 personas en formato banquete, mientras que The Palms acomoda a 900 personas (p. 7).</w:t>
      </w:r>
    </w:p>
    <w:p>
      <w:pPr>
        <w:spacing w:after="160"/>
        <w:jc w:val="both"/>
      </w:pPr>
      <w:r>
        <w:t xml:space="preserve">Crown Perth tiene aprobación para operar 2.500 máquinas de juego y 350 mesas de juego (p. 8), con tres hoteles: Crown Towers Perth (500 habitaciones), Crown Metropol Perth (397 habitaciones) y Crown Promenade Perth (291 habitaciones) (p. 8). Sus instalaciones de entretenimiento incluyen el Crown Ballroom (1.500 asientos) y el Crown Theatre Perth (2.300 asientos) (p. 8).</w:t>
      </w:r>
    </w:p>
    <w:p>
      <w:pPr>
        <w:spacing w:after="160"/>
        <w:jc w:val="both"/>
      </w:pPr>
      <w:r>
        <w:t xml:space="preserve">Crown Sydney, ubicada en One Barangaroo Avenue, es el primer hotel de seis estrellas de Sídney y cuenta con 349 habitaciones en el hotel Crown Towers Sydney (p. 9). El proyecto incluye además las residencias de lujo "Crown Residences", ya completadas, con mudanzas de residentes desde abril de 2021 (p. 9).</w:t>
      </w:r>
    </w:p>
    <w:p>
      <w:pPr>
        <w:pStyle w:val="Heading1"/>
        <w:spacing w:after="150" w:before="300"/>
      </w:pPr>
      <w:r>
        <w:t xml:space="preserve">4. International Interests (p. 10)</w:t>
      </w:r>
    </w:p>
    <w:p>
      <w:pPr>
        <w:spacing w:after="160"/>
        <w:jc w:val="both"/>
      </w:pPr>
      <w:r>
        <w:t xml:space="preserve">Crown Aspinalls opera un casino de alta gama en el West End de Londres, de propiedad íntegra de Crown (p. 10). Crown mantiene además una participación del 50% en Aspers Group, que opera cuatro casinos regionales en el Reino Unido —Newcastle, Stratford (Londres), Milton Keynes y Northampton— contabilizada por el método de participación patrimonial (equity accounting) (p. 10). Asimismo, Crown posee una participación del 20% en Nobu, marca de hotelería y restauración cuyos otros inversores incluyen a Nobu Matsuhisa, Robert De Niro y Meir Teper (p. 10).</w:t>
      </w:r>
    </w:p>
    <w:p>
      <w:pPr>
        <w:pStyle w:val="Heading1"/>
        <w:spacing w:after="150" w:before="300"/>
      </w:pPr>
      <w:r>
        <w:t xml:space="preserve">5. Crown Digital (p. 11)</w:t>
      </w:r>
    </w:p>
    <w:p>
      <w:pPr>
        <w:spacing w:after="160"/>
        <w:jc w:val="both"/>
      </w:pPr>
      <w:r>
        <w:t xml:space="preserve">Crown Digital agrupa las operaciones de apuestas y juego social en línea del grupo (p. 11). Betfair Australasia es de propiedad 100% de Crown y ofrece acceso a clientes de Australia y Nueva Zelanda al mercado de apuestas de intercambio (betting exchange) (p. 11). DGN Games, también 100% de Crown, desarrolla juegos sociales y casuales en línea, incluyendo los títulos "Old Vegas Slots" y "Lucky Time Slots" (p. 11). Chill Gaming es una empresa conjunta al 50/50 entre Crown y New Gaming Pty Ltd (vinculada a los fundadores de Wymac Gaming Solutions), contabilizada también por el método de participación patrimonial (p. 11).</w:t>
      </w:r>
    </w:p>
    <w:p>
      <w:pPr>
        <w:pStyle w:val="Heading1"/>
        <w:spacing w:after="150" w:before="300"/>
      </w:pPr>
      <w:r>
        <w:t xml:space="preserve">6. Financial Summary (pp. 12–13)</w:t>
      </w:r>
    </w:p>
    <w:p>
      <w:pPr>
        <w:spacing w:after="160"/>
        <w:jc w:val="both"/>
      </w:pPr>
      <w:r>
        <w:t xml:space="preserve">Crown registró una pérdida neta después de impuestos de 261,6 millones de dólares para el ejercicio finalizado el 30 de junio de 2021, y no se declararon dividendos (p. 12). Los ingresos operativos teóricos totales cayeron un 31,7%, de 2.258,6 a 1.542,0 millones de dólares; los ingresos estatutarios cayeron un 31,3%, de 2.237,2 a 1.536,8 millones de dólares (p. 12).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c>
          <w:tcPr>
            <w:tcW w:type="dxa" w:w="3600"/>
            <w:shd w:fill="F2F2F2" w:val="clear"/>
          </w:tcPr>
          <w:p>
            <w:r>
              <w:rPr>
                <w:b/>
                <w:bCs/>
              </w:rPr>
              <w:t xml:space="preserve">Segmento — ingreso teórico</w:t>
            </w:r>
          </w:p>
        </w:tc>
        <w:tc>
          <w:tcPr>
            <w:tcW w:type="dxa" w:w="1800"/>
            <w:shd w:fill="F2F2F2" w:val="clear"/>
          </w:tcPr>
          <w:p>
            <w:r>
              <w:rPr>
                <w:b/>
                <w:bCs/>
              </w:rPr>
              <w:t xml:space="preserve">F21 ($m)</w:t>
            </w:r>
          </w:p>
        </w:tc>
        <w:tc>
          <w:tcPr>
            <w:tcW w:type="dxa" w:w="1800"/>
            <w:shd w:fill="F2F2F2" w:val="clear"/>
          </w:tcPr>
          <w:p>
            <w:r>
              <w:rPr>
                <w:b/>
                <w:bCs/>
              </w:rPr>
              <w:t xml:space="preserve">F20 ($m)</w:t>
            </w:r>
          </w:p>
        </w:tc>
        <w:tc>
          <w:tcPr>
            <w:tcW w:type="dxa" w:w="1800"/>
            <w:shd w:fill="F2F2F2" w:val="clear"/>
          </w:tcPr>
          <w:p>
            <w:r>
              <w:rPr>
                <w:b/>
                <w:bCs/>
              </w:rPr>
              <w:t xml:space="preserve">Variación</w:t>
            </w:r>
          </w:p>
        </w:tc>
      </w:tr>
      <w:tr>
        <w:tc>
          <w:tcPr>
            <w:tcW w:type="dxa" w:w="3600"/>
          </w:tcPr>
          <w:p>
            <w:r>
              <w:rPr>
                <w:b w:val="false"/>
                <w:bCs w:val="false"/>
              </w:rPr>
              <w:t xml:space="preserve">Crown Melbourne</w:t>
            </w:r>
          </w:p>
        </w:tc>
        <w:tc>
          <w:tcPr>
            <w:tcW w:type="dxa" w:w="1800"/>
          </w:tcPr>
          <w:p>
            <w:r>
              <w:rPr>
                <w:b w:val="false"/>
                <w:bCs w:val="false"/>
              </w:rPr>
              <w:t xml:space="preserve">582,5</w:t>
            </w:r>
          </w:p>
        </w:tc>
        <w:tc>
          <w:tcPr>
            <w:tcW w:type="dxa" w:w="1800"/>
          </w:tcPr>
          <w:p>
            <w:r>
              <w:rPr>
                <w:b w:val="false"/>
                <w:bCs w:val="false"/>
              </w:rPr>
              <w:t xml:space="preserve">1.477,8</w:t>
            </w:r>
          </w:p>
        </w:tc>
        <w:tc>
          <w:tcPr>
            <w:tcW w:type="dxa" w:w="1800"/>
          </w:tcPr>
          <w:p>
            <w:r>
              <w:rPr>
                <w:b w:val="false"/>
                <w:bCs w:val="false"/>
              </w:rPr>
              <w:t xml:space="preserve">-60,6%</w:t>
            </w:r>
          </w:p>
        </w:tc>
      </w:tr>
      <w:tr>
        <w:tc>
          <w:tcPr>
            <w:tcW w:type="dxa" w:w="3600"/>
          </w:tcPr>
          <w:p>
            <w:r>
              <w:rPr>
                <w:b w:val="false"/>
                <w:bCs w:val="false"/>
              </w:rPr>
              <w:t xml:space="preserve">Crown Perth</w:t>
            </w:r>
          </w:p>
        </w:tc>
        <w:tc>
          <w:tcPr>
            <w:tcW w:type="dxa" w:w="1800"/>
          </w:tcPr>
          <w:p>
            <w:r>
              <w:rPr>
                <w:b w:val="false"/>
                <w:bCs w:val="false"/>
              </w:rPr>
              <w:t xml:space="preserve">742,8</w:t>
            </w:r>
          </w:p>
        </w:tc>
        <w:tc>
          <w:tcPr>
            <w:tcW w:type="dxa" w:w="1800"/>
          </w:tcPr>
          <w:p>
            <w:r>
              <w:rPr>
                <w:b w:val="false"/>
                <w:bCs w:val="false"/>
              </w:rPr>
              <w:t xml:space="preserve">613,3</w:t>
            </w:r>
          </w:p>
        </w:tc>
        <w:tc>
          <w:tcPr>
            <w:tcW w:type="dxa" w:w="1800"/>
          </w:tcPr>
          <w:p>
            <w:r>
              <w:rPr>
                <w:b w:val="false"/>
                <w:bCs w:val="false"/>
              </w:rPr>
              <w:t xml:space="preserve">+21,1%</w:t>
            </w:r>
          </w:p>
        </w:tc>
      </w:tr>
      <w:tr>
        <w:tc>
          <w:tcPr>
            <w:tcW w:type="dxa" w:w="3600"/>
          </w:tcPr>
          <w:p>
            <w:r>
              <w:rPr>
                <w:b w:val="false"/>
                <w:bCs w:val="false"/>
              </w:rPr>
              <w:t xml:space="preserve">Crown Sydney</w:t>
            </w:r>
          </w:p>
        </w:tc>
        <w:tc>
          <w:tcPr>
            <w:tcW w:type="dxa" w:w="1800"/>
          </w:tcPr>
          <w:p>
            <w:r>
              <w:rPr>
                <w:b w:val="false"/>
                <w:bCs w:val="false"/>
              </w:rPr>
              <w:t xml:space="preserve">68,6</w:t>
            </w:r>
          </w:p>
        </w:tc>
        <w:tc>
          <w:tcPr>
            <w:tcW w:type="dxa" w:w="1800"/>
          </w:tcPr>
          <w:p>
            <w:r>
              <w:rPr>
                <w:b w:val="false"/>
                <w:bCs w:val="false"/>
              </w:rPr>
              <w:t xml:space="preserve">-</w:t>
            </w:r>
          </w:p>
        </w:tc>
        <w:tc>
          <w:tcPr>
            <w:tcW w:type="dxa" w:w="1800"/>
          </w:tcPr>
          <w:p>
            <w:r>
              <w:rPr>
                <w:b w:val="false"/>
                <w:bCs w:val="false"/>
              </w:rPr>
              <w:t xml:space="preserve">N/A</w:t>
            </w:r>
          </w:p>
        </w:tc>
      </w:tr>
      <w:tr>
        <w:tc>
          <w:tcPr>
            <w:tcW w:type="dxa" w:w="3600"/>
          </w:tcPr>
          <w:p>
            <w:r>
              <w:rPr>
                <w:b w:val="false"/>
                <w:bCs w:val="false"/>
              </w:rPr>
              <w:t xml:space="preserve">Crown Aspinalls</w:t>
            </w:r>
          </w:p>
        </w:tc>
        <w:tc>
          <w:tcPr>
            <w:tcW w:type="dxa" w:w="1800"/>
          </w:tcPr>
          <w:p>
            <w:r>
              <w:rPr>
                <w:b w:val="false"/>
                <w:bCs w:val="false"/>
              </w:rPr>
              <w:t xml:space="preserve">2,3</w:t>
            </w:r>
          </w:p>
        </w:tc>
        <w:tc>
          <w:tcPr>
            <w:tcW w:type="dxa" w:w="1800"/>
          </w:tcPr>
          <w:p>
            <w:r>
              <w:rPr>
                <w:b w:val="false"/>
                <w:bCs w:val="false"/>
              </w:rPr>
              <w:t xml:space="preserve">33,1</w:t>
            </w:r>
          </w:p>
        </w:tc>
        <w:tc>
          <w:tcPr>
            <w:tcW w:type="dxa" w:w="1800"/>
          </w:tcPr>
          <w:p>
            <w:r>
              <w:rPr>
                <w:b w:val="false"/>
                <w:bCs w:val="false"/>
              </w:rPr>
              <w:t xml:space="preserve">-93,1%</w:t>
            </w:r>
          </w:p>
        </w:tc>
      </w:tr>
      <w:tr>
        <w:tc>
          <w:tcPr>
            <w:tcW w:type="dxa" w:w="3600"/>
          </w:tcPr>
          <w:p>
            <w:r>
              <w:rPr>
                <w:b w:val="false"/>
                <w:bCs w:val="false"/>
              </w:rPr>
              <w:t xml:space="preserve">Crown Digital</w:t>
            </w:r>
          </w:p>
        </w:tc>
        <w:tc>
          <w:tcPr>
            <w:tcW w:type="dxa" w:w="1800"/>
          </w:tcPr>
          <w:p>
            <w:r>
              <w:rPr>
                <w:b w:val="false"/>
                <w:bCs w:val="false"/>
              </w:rPr>
              <w:t xml:space="preserve">147,0</w:t>
            </w:r>
          </w:p>
        </w:tc>
        <w:tc>
          <w:tcPr>
            <w:tcW w:type="dxa" w:w="1800"/>
          </w:tcPr>
          <w:p>
            <w:r>
              <w:rPr>
                <w:b w:val="false"/>
                <w:bCs w:val="false"/>
              </w:rPr>
              <w:t xml:space="preserve">135,5</w:t>
            </w:r>
          </w:p>
        </w:tc>
        <w:tc>
          <w:tcPr>
            <w:tcW w:type="dxa" w:w="1800"/>
          </w:tcPr>
          <w:p>
            <w:r>
              <w:rPr>
                <w:b w:val="false"/>
                <w:bCs w:val="false"/>
              </w:rPr>
              <w:t xml:space="preserve">+8,5%</w:t>
            </w:r>
          </w:p>
        </w:tc>
      </w:tr>
    </w:tbl>
    <w:p>
      <w:pPr>
        <w:spacing w:after="160"/>
        <w:jc w:val="both"/>
      </w:pPr>
      <w:r>
        <w:t xml:space="preserve">(p. 12)</w:t>
      </w:r>
    </w:p>
    <w:p>
      <w:pPr>
        <w:spacing w:after="160"/>
        <w:jc w:val="both"/>
      </w:pPr>
      <w:r>
        <w:t xml:space="preserve">El EBITDA teórico antes de costos de cierre y partidas significativas cayó un 52,0%, de 503,8 a 241,7 millones de dólares (p. 12); el EBITDA reportado cayó un 77,4%, de 504,6 a 114,1 millones de dólares (p. 12). Los costos de cierre (Closure Costs) atribuibles a los cierres ordenados por el gobierno ascendieron a 171,4 millones de dólares, frente a 107,3 millones el año anterior (p. 12).</w:t>
      </w:r>
    </w:p>
    <w:p>
      <w:pPr>
        <w:spacing w:after="160"/>
        <w:jc w:val="both"/>
      </w:pPr>
      <w:r>
        <w:t xml:space="preserve">Por segmento operativo: Crown Melbourne cerró sus operaciones de juego 160 días durante el ejercicio (p. 13); Crown Perth registró un EBITDA reportado de 231,8 millones de dólares, un 50,4% más que el año anterior, pese a 27 días de cierre obligatorio (p. 13); Crown Sydney recibió aproximadamente 650 millones de dólares en ingresos por venta de apartamentos desde abril de 2021 (p. 13). Al 30 de junio de 2021, la deuda neta de Crown era de 893 millones de dólares, compuesta por una deuda total de 1.283 millones de dólares y caja por 390 millones de dólares (excluyendo 86 millones de dólares de caja de capital de trabajo) (p. 13).</w:t>
      </w:r>
    </w:p>
    <w:p>
      <w:pPr>
        <w:pStyle w:val="Heading1"/>
        <w:spacing w:after="150" w:before="300"/>
      </w:pPr>
      <w:r>
        <w:t xml:space="preserve">7. Regulatory Update and Remediation Plan (pp. 14–15)</w:t>
      </w:r>
    </w:p>
    <w:p>
      <w:pPr>
        <w:spacing w:after="160"/>
        <w:jc w:val="both"/>
      </w:pPr>
      <w:r>
        <w:t xml:space="preserve">La Bergin Inquiry, instaurada bajo la sección 143 de la Casino Control Act 1992 (NSW), concluyó sus audiencias en noviembre de 2020 y su informe (Bergin Report) se publicó el 9 de febrero de 2021 (p. 14). A raíz de dicho informe, el regulador de juego de Nueva Gales del Sur (ILGA) comunicó que consideraba que Crown Sydney Gaming ya no era una persona idónea ("suitable") para operar la licencia restringida de juego (p. 14).</w:t>
      </w:r>
    </w:p>
    <w:p>
      <w:pPr>
        <w:spacing w:after="160"/>
        <w:jc w:val="both"/>
      </w:pPr>
      <w:r>
        <w:t xml:space="preserve">La Royal Commission de Victoria, establecida en febrero de 2021, inició audiencias en marzo de 2021 y se esperaba su informe final para el 15 de octubre de 2021 (p. 14). La Royal Commission del casino de Perth, establecida en marzo de 2021 con audiencias desde abril de 2021, tenía como fecha esperada de informe final el 4 de marzo de 2022 (p. 14). Adicionalmente, Crown Melbourne y Crown Perth eran objeto de investigaciones formales de cumplimiento por parte de AUSTRAC en relación con la normativa contra el lavado de dinero y financiamiento del terrorismo (p. 14).</w:t>
      </w:r>
    </w:p>
    <w:p>
      <w:pPr>
        <w:spacing w:after="160"/>
        <w:jc w:val="both"/>
      </w:pPr>
      <w:r>
        <w:t xml:space="preserve">En el Plan de Remediación: de los 11 directores listados en el Informe Anual 2020, solo dos permanecían en el cargo (p. 15); de los cuatro Senior Executives listados como personal clave de dirección (KMP) en 2020, ninguno permanecía (p. 15). Se aprobaron 55 nuevos puestos bajo el nuevo modelo operativo de cumplimiento y delitos financieros (p. 15), y el Consejo aprobó mejoras al programa de juego responsable que incluyen 14 nuevos puestos equivalentes a tiempo completo (FTE) (p. 15). Nueve directores dejaron el Consejo desde octubre de 2020, incluidos todos los nominados por el accionista mayoritario (CPH) (p. 14).</w:t>
      </w:r>
    </w:p>
    <w:p>
      <w:pPr>
        <w:pStyle w:val="Heading1"/>
        <w:spacing w:after="150" w:before="300"/>
      </w:pPr>
      <w:r>
        <w:t xml:space="preserve">8. Australian Resorts Business Update (pp. 16–21)</w:t>
      </w:r>
    </w:p>
    <w:p>
      <w:pPr>
        <w:spacing w:after="160"/>
        <w:jc w:val="both"/>
      </w:pPr>
      <w:r>
        <w:t xml:space="preserve">Crown Melbourne: sus operaciones de juego permanecieron cerradas 160 días por restricciones de COVID-19 (p. 16). El resort ofrece más de 1.600 habitaciones en sus tres hoteles (p. 16). La ocupación hotelera combinada de las tres marcas fue de aproximadamente 39% (Crown Towers 39%, Crown Metropol 42%, Crown Promenade 33%) (p. 17). Crown proporcionó más de 1.230 noches de alojamiento gratuito a víctimas de violencia doméstica durante el año (p. 17).</w:t>
      </w:r>
    </w:p>
    <w:p>
      <w:pPr>
        <w:spacing w:after="160"/>
        <w:jc w:val="both"/>
      </w:pPr>
      <w:r>
        <w:t xml:space="preserve">Crown Perth: registró 27 días de cierre obligatorio de las operaciones de juego (p. 18). Sus tres hoteles —con aproximadamente 1.200 habitaciones combinadas— recibieron a más de 573.000 huéspedes durante el ejercicio, con una ocupación de aproximadamente 67% (p. 18). En eventos y convenciones, Crown Perth atrajo a más de 670 eventos con más de 150.000 comidas servidas, incluyendo 7.902 comidas para la ‘AFL Hub’ (p. 19).</w:t>
      </w:r>
    </w:p>
    <w:p>
      <w:pPr>
        <w:spacing w:after="160"/>
        <w:jc w:val="both"/>
      </w:pPr>
      <w:r>
        <w:t xml:space="preserve">Crown Sydney: tras cuatro años de construcción, las operaciones no relacionadas con el juego abrieron al público de forma restringida desde el 28 de diciembre de 2020 (p. 20). Se trabajaron más de 7,8 millones de horas de construcción con más de 9.500 trabajadores (p. 20). El edificio alcanza 275 metros de altura (p. 20). Crown Towers Sydney había recibido a casi 40.000 huéspedes desde su apertura, con una ocupación de aproximadamente 31% (p. 20). Crown Spa Sydney recibió a más de 6.500 huéspedes (p. 21), y el restaurante The Waiting Room recibió 7.500 reservas dentro de las 24 horas siguientes a su lanzamiento (p. 21).</w:t>
      </w:r>
    </w:p>
    <w:p>
      <w:pPr>
        <w:pStyle w:val="Heading1"/>
        <w:spacing w:after="150" w:before="300"/>
      </w:pPr>
      <w:r>
        <w:t xml:space="preserve">9. Corporate Responsibility (pp. 22–32)</w:t>
      </w:r>
    </w:p>
    <w:p>
      <w:pPr>
        <w:spacing w:after="160"/>
        <w:jc w:val="both"/>
      </w:pPr>
      <w:r>
        <w:t xml:space="preserve">En juego responsable, Crown mantiene un Panel Asesor independiente de tres profesores especializados en juego problemático, que entregó una revisión en agosto de 2020 (p. 22).</w:t>
      </w:r>
    </w:p>
    <w:p>
      <w:pPr>
        <w:spacing w:after="160"/>
        <w:jc w:val="both"/>
      </w:pPr>
      <w:r>
        <w:t xml:space="preserve">En personas y cultura, cerca de 1.000 empleados accedieron al Crown Resorts Hardship Fund por dificultades financieras derivadas de la pandemia (p. 24). Crown cuenta con seis acuerdos de empresa (enterprise agreements) vigentes, incluido uno nuevo para Crown Sydney (p. 25). Crown College celebra 25 años de operación, con más de 11.225 empleados graduados desde su creación, incluidos más de 8.500 aprendices y trainees, y más de 600 empleados y estudiantes matriculados en programas de Certificado III, IV, Diploma y Diploma Avanzado durante el ejercicio 2021 (p. 25). El programa de 500 Training Places recibió más de 1.459 consultas desde su creación, con más de 352 participantes activos y 184 egresados empleados (p. 25). Crown College International recibió más de 680 solicitudes, con 356 matrículas de 25 países (p. 26).</w:t>
      </w:r>
    </w:p>
    <w:p>
      <w:pPr>
        <w:spacing w:after="160"/>
        <w:jc w:val="both"/>
      </w:pPr>
      <w:r>
        <w:t xml:space="preserve">El programa CROWNability ha colocado a más de 650 candidatos con discapacidad en empleo desde 2014, y se expandió a Crown Sydney con la incorporación de 35 personas en los primeros seis meses (p. 26). El programa de empleo indígena ha generado más de 1.000 oportunidades laborales desde su creación en noviembre de 2009 (p. 27). En diversidad de género, la representación femenina alcanzó 34% entre otros ejecutivos/gerentes generales, 41% en gerencia senior, 39% en otros niveles de gerencia y 43% en no gerenciales (p. 30 según numeración de la sección de gobierno corporativo).</w:t>
      </w:r>
    </w:p>
    <w:p>
      <w:pPr>
        <w:spacing w:after="160"/>
        <w:jc w:val="both"/>
      </w:pPr>
      <w:r>
        <w:t xml:space="preserve">En apoyo comunitario: el Telethon Ball 2020 en Crown Perth recaudó un total de 46,3 millones de dólares para 65 organizaciones benéficas de Perth, de los cuales Crown donó 2,5 millones de dólares (p. 31). Crown Perth donó 150.000 dólares al Lord Mayor's Distress Fund para la reconstrucción de Kalbarri (p. 31). El CEO de Crown Perth, Lonnie Bossi, recaudó 79.000 dólares en el Vinnies CEO Sleepout 2021 (p. 31). La Crown Resorts Foundation, en su séptimo año, ha asignado casi 60 millones de dólares de un compromiso total de 100 millones de dólares, apoyando a más de 100 organizaciones este año (p. 31). El programa de donación de libros ha distribuido más de 5.000 libros, y el Community Grants Program ha donado más de 350.000 dólares en Melbourne y Perth (p. 32).</w:t>
      </w:r>
    </w:p>
    <w:p>
      <w:pPr>
        <w:pStyle w:val="Heading1"/>
        <w:spacing w:after="150" w:before="300"/>
      </w:pPr>
      <w:r>
        <w:t xml:space="preserve">10. Corporate Governance Statement (pp. 33–48)</w:t>
      </w:r>
    </w:p>
    <w:p>
      <w:pPr>
        <w:spacing w:after="160"/>
        <w:jc w:val="both"/>
      </w:pPr>
      <w:r>
        <w:t xml:space="preserve">La declaración de gobierno corporativo está vigente al 9 de septiembre de 2021 (p. 33). El Consejo mantiene cinco comités permanentes: Auditoría y Gobierno Corporativo, Personas, Remuneración y Nominación, Seguridad y Sostenibilidad, Juego Responsable, y Gestión de Riesgos (p. 33).</w:t>
      </w:r>
    </w:p>
    <w:p>
      <w:pPr>
        <w:spacing w:after="160"/>
        <w:jc w:val="both"/>
      </w:pPr>
      <w:r>
        <w:t xml:space="preserve">En materia de diversidad de género, el Consejo se fijó el objetivo de no menos del 30% de directores de cada género para el 30 de junio de 2022; al 30 de junio de 2021, el Consejo tenía una representación femenina del 75% (tres de cuatro directores) (p. 37). En el conjunto del grupo, había 5.370 mujeres, un 43% de la dotación total de 12.489 empleados (una leve disminución del 0,19% respecto a F20) (p. 37). Las mujeres representaban el 30% de los cargos ejecutivos senior del grupo, un incremento de un punto porcentual respecto al 29% de F20 (p. 37).</w:t>
      </w:r>
    </w:p>
    <w:p>
      <w:pPr>
        <w:spacing w:after="160"/>
        <w:jc w:val="both"/>
      </w:pPr>
      <w:r>
        <w:t xml:space="preserve">Sobre la renovación del Consejo, la salida de cinco directores durante febrero de 2021 no permitió una sucesión ordenada según reconoce el propio informe (p. 41). Ms. Coonan asumió como Interim Executive Chairman tras la salida de Mr. Barton en febrero de 2021, hasta su propio retiro el 27 de agosto de 2021 (p. 41). El presidente de una de las comisiones de riesgo cuenta con más de 25 años de experiencia financiera (p. 44), y otro director independiente tuvo una carrera de 34 años (p. 46).</w:t>
      </w:r>
    </w:p>
    <w:p>
      <w:pPr>
        <w:pStyle w:val="Heading1"/>
        <w:spacing w:after="150" w:before="300"/>
      </w:pPr>
      <w:r>
        <w:t xml:space="preserve">11. Directors' Statutory Report (pp. 49–72)</w:t>
      </w:r>
    </w:p>
    <w:p>
      <w:pPr>
        <w:spacing w:after="160"/>
        <w:jc w:val="both"/>
      </w:pPr>
      <w:r>
        <w:t xml:space="preserve">Para el ejercicio finalizado el 30 de junio de 2021, Crown registró ingresos estatutarios de 1.536,8 millones de dólares, una caída del 31,3% (p. 49). Los ingresos teóricos de Crown Melbourne cayeron un 60,6%, hasta 582,5 millones de dólares (p. 50); los ingresos de la planta principal de juego (main floor) fueron de 406,9 millones de dólares, una caída del 54,3%, compuestos por 241,2 millones de dólares en mesas de juego (-56,0%) y 165,7 millones de dólares en máquinas (-51,5%) (p. 50).</w:t>
      </w:r>
    </w:p>
    <w:p>
      <w:pPr>
        <w:spacing w:after="160"/>
        <w:jc w:val="both"/>
      </w:pPr>
      <w:r>
        <w:t xml:space="preserve">Crown Perth registró costos de cierre de 20,3 millones de dólares y partidas significativas de 2,3 millones de dólares; su EBITDA reportado fue de 231,8 millones de dólares, un 50,4% más que el año anterior (p. 51). Crown Sydney tuvo un EBITDA teórico negativo de 6,3 millones de dólares antes de costos de cierre y partidas significativas, y un EBITDA reportado de 123,0 millones de dólares, que incluye la ganancia por venta de apartamentos, con costos de cierre de 5,2 millones de dólares netos de 3,5 millones de dólares de subsidios del Coronavirus Job Retention Scheme del Reino Unido, y partidas significativas de 16,9 millones de dólares por una provisión única de pérdidas crediticias esperadas (p. 52). Crown Aspinalls registró un EBITDA reportado negativo de 28,4 millones de dólares, frente a una ganancia de 2,3 millones de dólares el año anterior (p. 52). Durante el período, Crown incrementó su participación en DGN Games del 85% al 100% (p. 52).</w:t>
      </w:r>
    </w:p>
    <w:p>
      <w:pPr>
        <w:spacing w:after="160"/>
        <w:jc w:val="both"/>
      </w:pPr>
      <w:r>
        <w:t xml:space="preserve">La ganancia por venta de apartamentos de Crown Sydney ascendió a 207,8 millones de dólares (p. 53). Al 30 de junio de 2021, la posición de deuda neta era de 892,9 millones de dólares (excluyendo 85,9 millones de dólares de caja de capital de trabajo), compuesta por deuda total de 1.283,0 millones de dólares y caja de 390,1 millones de dólares (p. 53). En agosto de 2020, Crown suscribió una facilidad de financiamiento de proyecto de 450 millones de dólares para la construcción de Crown Sydney (p. 53); la liquidez total al cierre del ejercicio era de 560,8 millones de dólares, compuesta por 390,1 millones de dólares en caja disponible y 170,7 millones de dólares en facilidades comprometidas no utilizadas (p. 53). El flujo de caja operativo neto del período fue una salida de 14,0 millones de dólares (p. 53).</w:t>
      </w:r>
    </w:p>
    <w:p>
      <w:pPr>
        <w:spacing w:after="160"/>
        <w:jc w:val="both"/>
      </w:pPr>
      <w:r>
        <w:t xml:space="preserve">En hechos regulatorios posteriores al cierre: el 27 de abril de 2021 Crown anunció una multa de 1,0 millón de dólares impuesta por el VCGLR (p. 59); el 27 de julio de 2021 Crown reconoció un pago insuficiente histórico de impuesto al juego en Crown Melbourne por 37,4 millones de dólares desde 2012 (p. 62). Sobre propuestas de adquisición: el 19 de abril de 2021 Crown recibió una propuesta no vinculante de Blackstone a A$11,85 por acción en efectivo (p. 59); el 10 de mayo de 2021 se recibió una propuesta de fusión con una alternativa en efectivo de A$12,50 por acción, sujeta a un tope del 25% del total de acciones en circulación (p. 60). El listado de directores muestra que ocho directores dejaron el cargo entre octubre de 2020 y agosto de 2021 (p. 69).</w:t>
      </w:r>
    </w:p>
    <w:p>
      <w:pPr>
        <w:pStyle w:val="Heading1"/>
        <w:spacing w:after="150" w:before="300"/>
      </w:pPr>
      <w:r>
        <w:t xml:space="preserve">12. Remuneration Report (pp. 73–95)</w:t>
      </w:r>
    </w:p>
    <w:p>
      <w:pPr>
        <w:spacing w:after="160"/>
        <w:jc w:val="both"/>
      </w:pPr>
      <w:r>
        <w:t xml:space="preserve">En la votación de la Junta anterior, el Informe de Remuneración de F20 recibió un 34,34% de votos en contra ('primer strike') (p. 74).</w:t>
      </w:r>
    </w:p>
    <w:p>
      <w:pPr>
        <w:spacing w:after="160"/>
        <w:jc w:val="both"/>
      </w:pPr>
      <w:r>
        <w:t xml:space="preserve">El EBITDA teórico de F21 cayó un 52,0% hasta 241,7 millones de dólares, y el EBITDA reportado cayó un 77,4% hasta 114,1 millones de dólares, cifras utilizadas como referencia para los resultados de remuneración a corto plazo (STI) (p. 74).</w:t>
      </w:r>
    </w:p>
    <w:p>
      <w:pPr>
        <w:spacing w:after="160"/>
        <w:jc w:val="both"/>
      </w:pPr>
      <w:r>
        <w:t xml:space="preserve">Como incentivo de incorporación, Steve McCann recibió el 1 de junio de 2021 un otorgamiento único de 400.000 Performance Rights, sujeto a aprobación de los accionistas en la Junta 2021 (p. 83). El precio de la acción de Crown al cierre de cada ejercicio fue: $12,61 (F17), $12,28 (F18), $13,50 (F19), $12,45 (F20) y $9,67 (F21) (p. 84).</w:t>
      </w:r>
    </w:p>
    <w:p>
      <w:pPr>
        <w:spacing w:after="160"/>
        <w:jc w:val="both"/>
      </w:pPr>
      <w:r>
        <w:t xml:space="preserve">Entre los honorarios fijos de F21, Steve McCann tenía un componente de remuneración fija de US/A$2.500.000 (100% del objetivo) y Alan McGregor de A$1.100.000 (p. 84). En cuanto a honorarios de directores no ejecutivos: el Chairman Fee ascendía a $700.000, el Deputy Chairman Fee a $350.000 y los Base Board Fees a $170.000 anuales, con honorarios adicionales de $25.000 (presidente) y $15.000 (miembro) por comité activo (p. 90).</w:t>
      </w:r>
    </w:p>
    <w:p>
      <w:pPr>
        <w:spacing w:after="160"/>
        <w:jc w:val="both"/>
      </w:pPr>
      <w:r>
        <w:t xml:space="preserve">Helen Coonan recibió una remuneración total de $1.352.500 en F21 (frente a $437.434 en F20), que incluye $1.800.000 anuales adicionales por sus funciones ejecutivas temporales como Interim Executive Chairman desde febrero de 2021 (p. 87 y p. 90). Durante 2020, los directores no ejecutivos aceptaron una reducción del 20% en sus honorarios entre el 16 de abril y el 30 de junio de 2020 (p. 91).</w:t>
      </w:r>
    </w:p>
    <w:p>
      <w:pPr>
        <w:spacing w:after="160"/>
        <w:jc w:val="both"/>
      </w:pPr>
      <w:r>
        <w:t xml:space="preserve">En participaciones accionarias de directores al 30 de junio de 2021: Helen Coonan mantenía 10.000 acciones y Antonia Korsanos 10.000 acciones, sin cambios en el año (p. 93). El valor del préstamo de adquisición bajo el 2019 Senior Executive Incentive Plan alcanzaba $765.407 para Ken Barton y $634.950 para Xavier Walsh (p. 95).</w:t>
      </w:r>
    </w:p>
    <w:p>
      <w:pPr>
        <w:pStyle w:val="Heading1"/>
        <w:spacing w:after="150" w:before="300"/>
      </w:pPr>
      <w:r>
        <w:t xml:space="preserve">13. Auditor's Independence Declaration (p. 96)</w:t>
      </w:r>
    </w:p>
    <w:p>
      <w:pPr>
        <w:spacing w:after="160"/>
        <w:jc w:val="both"/>
      </w:pPr>
      <w:r>
        <w:t xml:space="preserve">KPMG, a través de la socia Rachel Milum (Sídney), declaró el 9 de septiembre de 2021, conforme a la sección 307C de la Corporations Act 2001, que no hubo contravenciones a los requisitos de independencia del auditor ni al código de conducta profesional aplicable durante la auditoría del ejercicio finalizado el 30 de junio de 2021 (p. 96).</w:t>
      </w:r>
    </w:p>
    <w:p>
      <w:pPr>
        <w:pStyle w:val="Heading1"/>
        <w:spacing w:after="150" w:before="300"/>
      </w:pPr>
      <w:r>
        <w:t xml:space="preserve">14. Independent Auditor's Report (pp. 97–103)</w:t>
      </w:r>
    </w:p>
    <w:p>
      <w:pPr>
        <w:spacing w:after="160"/>
        <w:jc w:val="both"/>
      </w:pPr>
      <w:r>
        <w:t xml:space="preserve">KPMG identificó como una de las cuestiones clave de auditoría ("key audit matter") la valuación del goodwill y los activos intangibles, por un valor de 1.361 millones de dólares, equivalente al 19% del total de activos del grupo (p. 100). El auditor señala que la mayor incertidumbre de estimación derivada de la disrupción del negocio por la pandemia de COVID-19, junto con el estado de los asuntos legales y regulatorios en curso, incrementó el juicio profesional requerido para evaluar los supuestos prospectivos usados en los modelos de valor en uso (p. 100). Otra cuestión clave de auditoría se refirió a las provisiones y contingencias relacionadas con procesos legales y regulatorios (nota 24 de los estados financieros) (p. 100).</w:t>
      </w:r>
    </w:p>
    <w:p>
      <w:pPr>
        <w:pStyle w:val="Heading1"/>
        <w:spacing w:after="150" w:before="300"/>
      </w:pPr>
      <w:r>
        <w:t xml:space="preserve">15. Financial Report (pp. 104–159)</w:t>
      </w:r>
    </w:p>
    <w:p>
      <w:pPr>
        <w:pStyle w:val="Heading2"/>
        <w:spacing w:after="100" w:before="200"/>
      </w:pPr>
      <w:r>
        <w:t xml:space="preserve">Estado de resultados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2000"/>
      </w:tblGrid>
      <w:tr>
        <w:tc>
          <w:tcPr>
            <w:tcW w:type="dxa" w:w="4200"/>
            <w:shd w:fill="F2F2F2" w:val="clear"/>
          </w:tcPr>
          <w:p>
            <w:r>
              <w:rPr>
                <w:b/>
                <w:bCs/>
              </w:rPr>
              <w:t xml:space="preserve">Concepto</w:t>
            </w:r>
          </w:p>
        </w:tc>
        <w:tc>
          <w:tcPr>
            <w:tcW w:type="dxa" w:w="2000"/>
            <w:shd w:fill="F2F2F2" w:val="clear"/>
          </w:tcPr>
          <w:p>
            <w:r>
              <w:rPr>
                <w:b/>
                <w:bCs/>
              </w:rPr>
              <w:t xml:space="preserve">2021 ($m)</w:t>
            </w:r>
          </w:p>
        </w:tc>
        <w:tc>
          <w:tcPr>
            <w:tcW w:type="dxa" w:w="2000"/>
            <w:shd w:fill="F2F2F2" w:val="clear"/>
          </w:tcPr>
          <w:p>
            <w:r>
              <w:rPr>
                <w:b/>
                <w:bCs/>
              </w:rPr>
              <w:t xml:space="preserve">2020 ($m)</w:t>
            </w:r>
          </w:p>
        </w:tc>
      </w:tr>
      <w:tr>
        <w:tc>
          <w:tcPr>
            <w:tcW w:type="dxa" w:w="4200"/>
          </w:tcPr>
          <w:p>
            <w:r>
              <w:rPr>
                <w:b w:val="false"/>
                <w:bCs w:val="false"/>
              </w:rPr>
              <w:t xml:space="preserve">Ingresos (Revenues)</w:t>
            </w:r>
          </w:p>
        </w:tc>
        <w:tc>
          <w:tcPr>
            <w:tcW w:type="dxa" w:w="2000"/>
          </w:tcPr>
          <w:p>
            <w:r>
              <w:rPr>
                <w:b w:val="false"/>
                <w:bCs w:val="false"/>
              </w:rPr>
              <w:t xml:space="preserve">1.536,8</w:t>
            </w:r>
          </w:p>
        </w:tc>
        <w:tc>
          <w:tcPr>
            <w:tcW w:type="dxa" w:w="2000"/>
          </w:tcPr>
          <w:p>
            <w:r>
              <w:rPr>
                <w:b w:val="false"/>
                <w:bCs w:val="false"/>
              </w:rPr>
              <w:t xml:space="preserve">2.237,2</w:t>
            </w:r>
          </w:p>
        </w:tc>
      </w:tr>
      <w:tr>
        <w:tc>
          <w:tcPr>
            <w:tcW w:type="dxa" w:w="4200"/>
          </w:tcPr>
          <w:p>
            <w:r>
              <w:rPr>
                <w:b w:val="false"/>
                <w:bCs w:val="false"/>
              </w:rPr>
              <w:t xml:space="preserve">Otros ingresos</w:t>
            </w:r>
          </w:p>
        </w:tc>
        <w:tc>
          <w:tcPr>
            <w:tcW w:type="dxa" w:w="2000"/>
          </w:tcPr>
          <w:p>
            <w:r>
              <w:rPr>
                <w:b w:val="false"/>
                <w:bCs w:val="false"/>
              </w:rPr>
              <w:t xml:space="preserve">207,8</w:t>
            </w:r>
          </w:p>
        </w:tc>
        <w:tc>
          <w:tcPr>
            <w:tcW w:type="dxa" w:w="2000"/>
          </w:tcPr>
          <w:p>
            <w:r>
              <w:rPr>
                <w:b w:val="false"/>
                <w:bCs w:val="false"/>
              </w:rPr>
              <w:t xml:space="preserve">0,1</w:t>
            </w:r>
          </w:p>
        </w:tc>
      </w:tr>
      <w:tr>
        <w:tc>
          <w:tcPr>
            <w:tcW w:type="dxa" w:w="4200"/>
          </w:tcPr>
          <w:p>
            <w:r>
              <w:rPr>
                <w:b w:val="false"/>
                <w:bCs w:val="false"/>
              </w:rPr>
              <w:t xml:space="preserve">Gastos</w:t>
            </w:r>
          </w:p>
        </w:tc>
        <w:tc>
          <w:tcPr>
            <w:tcW w:type="dxa" w:w="2000"/>
          </w:tcPr>
          <w:p>
            <w:r>
              <w:rPr>
                <w:b w:val="false"/>
                <w:bCs w:val="false"/>
              </w:rPr>
              <w:t xml:space="preserve">(1.975,4)</w:t>
            </w:r>
          </w:p>
        </w:tc>
        <w:tc>
          <w:tcPr>
            <w:tcW w:type="dxa" w:w="2000"/>
          </w:tcPr>
          <w:p>
            <w:r>
              <w:rPr>
                <w:b w:val="false"/>
                <w:bCs w:val="false"/>
              </w:rPr>
              <w:t xml:space="preserve">(2.074,2)</w:t>
            </w:r>
          </w:p>
        </w:tc>
      </w:tr>
      <w:tr>
        <w:tc>
          <w:tcPr>
            <w:tcW w:type="dxa" w:w="4200"/>
          </w:tcPr>
          <w:p>
            <w:r>
              <w:rPr>
                <w:b w:val="false"/>
                <w:bCs w:val="false"/>
              </w:rPr>
              <w:t xml:space="preserve">Resultado antes de impuestos e intereses</w:t>
            </w:r>
          </w:p>
        </w:tc>
        <w:tc>
          <w:tcPr>
            <w:tcW w:type="dxa" w:w="2000"/>
          </w:tcPr>
          <w:p>
            <w:r>
              <w:rPr>
                <w:b w:val="false"/>
                <w:bCs w:val="false"/>
              </w:rPr>
              <w:t xml:space="preserve">(239,5)</w:t>
            </w:r>
          </w:p>
        </w:tc>
        <w:tc>
          <w:tcPr>
            <w:tcW w:type="dxa" w:w="2000"/>
          </w:tcPr>
          <w:p>
            <w:r>
              <w:rPr>
                <w:b w:val="false"/>
                <w:bCs w:val="false"/>
              </w:rPr>
              <w:t xml:space="preserve">163,4</w:t>
            </w:r>
          </w:p>
        </w:tc>
      </w:tr>
      <w:tr>
        <w:tc>
          <w:tcPr>
            <w:tcW w:type="dxa" w:w="4200"/>
          </w:tcPr>
          <w:p>
            <w:r>
              <w:rPr>
                <w:b w:val="false"/>
                <w:bCs w:val="false"/>
              </w:rPr>
              <w:t xml:space="preserve">Costos financieros</w:t>
            </w:r>
          </w:p>
        </w:tc>
        <w:tc>
          <w:tcPr>
            <w:tcW w:type="dxa" w:w="2000"/>
          </w:tcPr>
          <w:p>
            <w:r>
              <w:rPr>
                <w:b w:val="false"/>
                <w:bCs w:val="false"/>
              </w:rPr>
              <w:t xml:space="preserve">(69,1)</w:t>
            </w:r>
          </w:p>
        </w:tc>
        <w:tc>
          <w:tcPr>
            <w:tcW w:type="dxa" w:w="2000"/>
          </w:tcPr>
          <w:p>
            <w:r>
              <w:rPr>
                <w:b w:val="false"/>
                <w:bCs w:val="false"/>
              </w:rPr>
              <w:t xml:space="preserve">(10,2)</w:t>
            </w:r>
          </w:p>
        </w:tc>
      </w:tr>
      <w:tr>
        <w:tc>
          <w:tcPr>
            <w:tcW w:type="dxa" w:w="4200"/>
          </w:tcPr>
          <w:p>
            <w:r>
              <w:rPr>
                <w:b w:val="false"/>
                <w:bCs w:val="false"/>
              </w:rPr>
              <w:t xml:space="preserve">Resultado antes de impuestos</w:t>
            </w:r>
          </w:p>
        </w:tc>
        <w:tc>
          <w:tcPr>
            <w:tcW w:type="dxa" w:w="2000"/>
          </w:tcPr>
          <w:p>
            <w:r>
              <w:rPr>
                <w:b w:val="false"/>
                <w:bCs w:val="false"/>
              </w:rPr>
              <w:t xml:space="preserve">(308,6)</w:t>
            </w:r>
          </w:p>
        </w:tc>
        <w:tc>
          <w:tcPr>
            <w:tcW w:type="dxa" w:w="2000"/>
          </w:tcPr>
          <w:p>
            <w:r>
              <w:rPr>
                <w:b w:val="false"/>
                <w:bCs w:val="false"/>
              </w:rPr>
              <w:t xml:space="preserve">153,2</w:t>
            </w:r>
          </w:p>
        </w:tc>
      </w:tr>
      <w:tr>
        <w:tc>
          <w:tcPr>
            <w:tcW w:type="dxa" w:w="4200"/>
          </w:tcPr>
          <w:p>
            <w:r>
              <w:rPr>
                <w:b w:val="false"/>
                <w:bCs w:val="false"/>
              </w:rPr>
              <w:t xml:space="preserve">Beneficio/(gasto) por impuesto a la renta</w:t>
            </w:r>
          </w:p>
        </w:tc>
        <w:tc>
          <w:tcPr>
            <w:tcW w:type="dxa" w:w="2000"/>
          </w:tcPr>
          <w:p>
            <w:r>
              <w:rPr>
                <w:b w:val="false"/>
                <w:bCs w:val="false"/>
              </w:rPr>
              <w:t xml:space="preserve">47,3</w:t>
            </w:r>
          </w:p>
        </w:tc>
        <w:tc>
          <w:tcPr>
            <w:tcW w:type="dxa" w:w="2000"/>
          </w:tcPr>
          <w:p>
            <w:r>
              <w:rPr>
                <w:b w:val="false"/>
                <w:bCs w:val="false"/>
              </w:rPr>
              <w:t xml:space="preserve">(71,3)</w:t>
            </w:r>
          </w:p>
        </w:tc>
      </w:tr>
      <w:tr>
        <w:tc>
          <w:tcPr>
            <w:tcW w:type="dxa" w:w="4200"/>
          </w:tcPr>
          <w:p>
            <w:r>
              <w:rPr>
                <w:b w:val="false"/>
                <w:bCs w:val="false"/>
              </w:rPr>
              <w:t xml:space="preserve">Resultado neto después de impuestos</w:t>
            </w:r>
          </w:p>
        </w:tc>
        <w:tc>
          <w:tcPr>
            <w:tcW w:type="dxa" w:w="2000"/>
          </w:tcPr>
          <w:p>
            <w:r>
              <w:rPr>
                <w:b w:val="false"/>
                <w:bCs w:val="false"/>
              </w:rPr>
              <w:t xml:space="preserve">(261,3)</w:t>
            </w:r>
          </w:p>
        </w:tc>
        <w:tc>
          <w:tcPr>
            <w:tcW w:type="dxa" w:w="2000"/>
          </w:tcPr>
          <w:p>
            <w:r>
              <w:rPr>
                <w:b w:val="false"/>
                <w:bCs w:val="false"/>
              </w:rPr>
              <w:t xml:space="preserve">81,9</w:t>
            </w:r>
          </w:p>
        </w:tc>
      </w:tr>
      <w:tr>
        <w:tc>
          <w:tcPr>
            <w:tcW w:type="dxa" w:w="4200"/>
          </w:tcPr>
          <w:p>
            <w:r>
              <w:rPr>
                <w:b w:val="false"/>
                <w:bCs w:val="false"/>
              </w:rPr>
              <w:t xml:space="preserve">Atribuible a los accionistas de la matriz</w:t>
            </w:r>
          </w:p>
        </w:tc>
        <w:tc>
          <w:tcPr>
            <w:tcW w:type="dxa" w:w="2000"/>
          </w:tcPr>
          <w:p>
            <w:r>
              <w:rPr>
                <w:b w:val="false"/>
                <w:bCs w:val="false"/>
              </w:rPr>
              <w:t xml:space="preserve">(261,6)</w:t>
            </w:r>
          </w:p>
        </w:tc>
        <w:tc>
          <w:tcPr>
            <w:tcW w:type="dxa" w:w="2000"/>
          </w:tcPr>
          <w:p>
            <w:r>
              <w:rPr>
                <w:b w:val="false"/>
                <w:bCs w:val="false"/>
              </w:rPr>
              <w:t xml:space="preserve">79,5</w:t>
            </w:r>
          </w:p>
        </w:tc>
      </w:tr>
    </w:tbl>
    <w:p>
      <w:pPr>
        <w:spacing w:after="160"/>
        <w:jc w:val="both"/>
      </w:pPr>
      <w:r>
        <w:t xml:space="preserve">(p. 105). La utilidad por acción básica y diluida fue de -38,63 centavos en F21, frente a 11,74 centavos en F20 (p. 105). No se declaró dividendo final en F21; el dividendo interino pagado en F20 fue de 30,00 centavos por acción (p. 105).</w:t>
      </w:r>
    </w:p>
    <w:p>
      <w:pPr>
        <w:pStyle w:val="Heading2"/>
        <w:spacing w:after="100" w:before="200"/>
      </w:pPr>
      <w:r>
        <w:t xml:space="preserve">Estado de situación financiera</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2000"/>
      </w:tblGrid>
      <w:tr>
        <w:tc>
          <w:tcPr>
            <w:tcW w:type="dxa" w:w="4200"/>
            <w:shd w:fill="F2F2F2" w:val="clear"/>
          </w:tcPr>
          <w:p>
            <w:r>
              <w:rPr>
                <w:b/>
                <w:bCs/>
              </w:rPr>
              <w:t xml:space="preserve">Concepto</w:t>
            </w:r>
          </w:p>
        </w:tc>
        <w:tc>
          <w:tcPr>
            <w:tcW w:type="dxa" w:w="2000"/>
            <w:shd w:fill="F2F2F2" w:val="clear"/>
          </w:tcPr>
          <w:p>
            <w:r>
              <w:rPr>
                <w:b/>
                <w:bCs/>
              </w:rPr>
              <w:t xml:space="preserve">2021 ($m)</w:t>
            </w:r>
          </w:p>
        </w:tc>
        <w:tc>
          <w:tcPr>
            <w:tcW w:type="dxa" w:w="2000"/>
            <w:shd w:fill="F2F2F2" w:val="clear"/>
          </w:tcPr>
          <w:p>
            <w:r>
              <w:rPr>
                <w:b/>
                <w:bCs/>
              </w:rPr>
              <w:t xml:space="preserve">2020 ($m)</w:t>
            </w:r>
          </w:p>
        </w:tc>
      </w:tr>
      <w:tr>
        <w:tc>
          <w:tcPr>
            <w:tcW w:type="dxa" w:w="4200"/>
          </w:tcPr>
          <w:p>
            <w:r>
              <w:rPr>
                <w:b w:val="false"/>
                <w:bCs w:val="false"/>
              </w:rPr>
              <w:t xml:space="preserve">Total activos corrientes</w:t>
            </w:r>
          </w:p>
        </w:tc>
        <w:tc>
          <w:tcPr>
            <w:tcW w:type="dxa" w:w="2000"/>
          </w:tcPr>
          <w:p>
            <w:r>
              <w:rPr>
                <w:b w:val="false"/>
                <w:bCs w:val="false"/>
              </w:rPr>
              <w:t xml:space="preserve">1.053,6</w:t>
            </w:r>
          </w:p>
        </w:tc>
        <w:tc>
          <w:tcPr>
            <w:tcW w:type="dxa" w:w="2000"/>
          </w:tcPr>
          <w:p>
            <w:r>
              <w:rPr>
                <w:b w:val="false"/>
                <w:bCs w:val="false"/>
              </w:rPr>
              <w:t xml:space="preserve">456,9</w:t>
            </w:r>
          </w:p>
        </w:tc>
      </w:tr>
      <w:tr>
        <w:tc>
          <w:tcPr>
            <w:tcW w:type="dxa" w:w="4200"/>
          </w:tcPr>
          <w:p>
            <w:r>
              <w:rPr>
                <w:b w:val="false"/>
                <w:bCs w:val="false"/>
              </w:rPr>
              <w:t xml:space="preserve">Propiedad, planta y equipo</w:t>
            </w:r>
          </w:p>
        </w:tc>
        <w:tc>
          <w:tcPr>
            <w:tcW w:type="dxa" w:w="2000"/>
          </w:tcPr>
          <w:p>
            <w:r>
              <w:rPr>
                <w:b w:val="false"/>
                <w:bCs w:val="false"/>
              </w:rPr>
              <w:t xml:space="preserve">4.316,6</w:t>
            </w:r>
          </w:p>
        </w:tc>
        <w:tc>
          <w:tcPr>
            <w:tcW w:type="dxa" w:w="2000"/>
          </w:tcPr>
          <w:p>
            <w:r>
              <w:rPr>
                <w:b w:val="false"/>
                <w:bCs w:val="false"/>
              </w:rPr>
              <w:t xml:space="preserve">4.871,2</w:t>
            </w:r>
          </w:p>
        </w:tc>
      </w:tr>
      <w:tr>
        <w:tc>
          <w:tcPr>
            <w:tcW w:type="dxa" w:w="4200"/>
          </w:tcPr>
          <w:p>
            <w:r>
              <w:rPr>
                <w:b w:val="false"/>
                <w:bCs w:val="false"/>
              </w:rPr>
              <w:t xml:space="preserve">Intangibles — licencias</w:t>
            </w:r>
          </w:p>
        </w:tc>
        <w:tc>
          <w:tcPr>
            <w:tcW w:type="dxa" w:w="2000"/>
          </w:tcPr>
          <w:p>
            <w:r>
              <w:rPr>
                <w:b w:val="false"/>
                <w:bCs w:val="false"/>
              </w:rPr>
              <w:t xml:space="preserve">1.030,6</w:t>
            </w:r>
          </w:p>
        </w:tc>
        <w:tc>
          <w:tcPr>
            <w:tcW w:type="dxa" w:w="2000"/>
          </w:tcPr>
          <w:p>
            <w:r>
              <w:rPr>
                <w:b w:val="false"/>
                <w:bCs w:val="false"/>
              </w:rPr>
              <w:t xml:space="preserve">1.047,3</w:t>
            </w:r>
          </w:p>
        </w:tc>
      </w:tr>
      <w:tr>
        <w:tc>
          <w:tcPr>
            <w:tcW w:type="dxa" w:w="4200"/>
          </w:tcPr>
          <w:p>
            <w:r>
              <w:rPr>
                <w:b w:val="false"/>
                <w:bCs w:val="false"/>
              </w:rPr>
              <w:t xml:space="preserve">Total activos</w:t>
            </w:r>
          </w:p>
        </w:tc>
        <w:tc>
          <w:tcPr>
            <w:tcW w:type="dxa" w:w="2000"/>
          </w:tcPr>
          <w:p>
            <w:r>
              <w:rPr>
                <w:b w:val="false"/>
                <w:bCs w:val="false"/>
              </w:rPr>
              <w:t xml:space="preserve">7.100,4</w:t>
            </w:r>
          </w:p>
        </w:tc>
        <w:tc>
          <w:tcPr>
            <w:tcW w:type="dxa" w:w="2000"/>
          </w:tcPr>
          <w:p>
            <w:r>
              <w:rPr>
                <w:b w:val="false"/>
                <w:bCs w:val="false"/>
              </w:rPr>
              <w:t xml:space="preserve">7.165,8</w:t>
            </w:r>
          </w:p>
        </w:tc>
      </w:tr>
      <w:tr>
        <w:tc>
          <w:tcPr>
            <w:tcW w:type="dxa" w:w="4200"/>
          </w:tcPr>
          <w:p>
            <w:r>
              <w:rPr>
                <w:b w:val="false"/>
                <w:bCs w:val="false"/>
              </w:rPr>
              <w:t xml:space="preserve">Total pasivos corrientes</w:t>
            </w:r>
          </w:p>
        </w:tc>
        <w:tc>
          <w:tcPr>
            <w:tcW w:type="dxa" w:w="2000"/>
          </w:tcPr>
          <w:p>
            <w:r>
              <w:rPr>
                <w:b w:val="false"/>
                <w:bCs w:val="false"/>
              </w:rPr>
              <w:t xml:space="preserve">1.047,9</w:t>
            </w:r>
          </w:p>
        </w:tc>
        <w:tc>
          <w:tcPr>
            <w:tcW w:type="dxa" w:w="2000"/>
          </w:tcPr>
          <w:p>
            <w:r>
              <w:rPr>
                <w:b w:val="false"/>
                <w:bCs w:val="false"/>
              </w:rPr>
              <w:t xml:space="preserve">669,9</w:t>
            </w:r>
          </w:p>
        </w:tc>
      </w:tr>
      <w:tr>
        <w:tc>
          <w:tcPr>
            <w:tcW w:type="dxa" w:w="4200"/>
          </w:tcPr>
          <w:p>
            <w:r>
              <w:rPr>
                <w:b w:val="false"/>
                <w:bCs w:val="false"/>
              </w:rPr>
              <w:t xml:space="preserve">Préstamos e intereses por pagar (no corriente)</w:t>
            </w:r>
          </w:p>
        </w:tc>
        <w:tc>
          <w:tcPr>
            <w:tcW w:type="dxa" w:w="2000"/>
          </w:tcPr>
          <w:p>
            <w:r>
              <w:rPr>
                <w:b w:val="false"/>
                <w:bCs w:val="false"/>
              </w:rPr>
              <w:t xml:space="preserve">974,1</w:t>
            </w:r>
          </w:p>
        </w:tc>
        <w:tc>
          <w:tcPr>
            <w:tcW w:type="dxa" w:w="2000"/>
          </w:tcPr>
          <w:p>
            <w:r>
              <w:rPr>
                <w:b w:val="false"/>
                <w:bCs w:val="false"/>
              </w:rPr>
              <w:t xml:space="preserve">1.121,8</w:t>
            </w:r>
          </w:p>
        </w:tc>
      </w:tr>
      <w:tr>
        <w:tc>
          <w:tcPr>
            <w:tcW w:type="dxa" w:w="4200"/>
          </w:tcPr>
          <w:p>
            <w:r>
              <w:rPr>
                <w:b w:val="false"/>
                <w:bCs w:val="false"/>
              </w:rPr>
              <w:t xml:space="preserve">Total pasivos</w:t>
            </w:r>
          </w:p>
        </w:tc>
        <w:tc>
          <w:tcPr>
            <w:tcW w:type="dxa" w:w="2000"/>
          </w:tcPr>
          <w:p>
            <w:r>
              <w:rPr>
                <w:b w:val="false"/>
                <w:bCs w:val="false"/>
              </w:rPr>
              <w:t xml:space="preserve">2.634,6</w:t>
            </w:r>
          </w:p>
        </w:tc>
        <w:tc>
          <w:tcPr>
            <w:tcW w:type="dxa" w:w="2000"/>
          </w:tcPr>
          <w:p>
            <w:r>
              <w:rPr>
                <w:b w:val="false"/>
                <w:bCs w:val="false"/>
              </w:rPr>
              <w:t xml:space="preserve">2.411,5</w:t>
            </w:r>
          </w:p>
        </w:tc>
      </w:tr>
      <w:tr>
        <w:tc>
          <w:tcPr>
            <w:tcW w:type="dxa" w:w="4200"/>
          </w:tcPr>
          <w:p>
            <w:r>
              <w:rPr>
                <w:b w:val="false"/>
                <w:bCs w:val="false"/>
              </w:rPr>
              <w:t xml:space="preserve">Activos netos / Patrimonio total</w:t>
            </w:r>
          </w:p>
        </w:tc>
        <w:tc>
          <w:tcPr>
            <w:tcW w:type="dxa" w:w="2000"/>
          </w:tcPr>
          <w:p>
            <w:r>
              <w:rPr>
                <w:b w:val="false"/>
                <w:bCs w:val="false"/>
              </w:rPr>
              <w:t xml:space="preserve">4.465,8</w:t>
            </w:r>
          </w:p>
        </w:tc>
        <w:tc>
          <w:tcPr>
            <w:tcW w:type="dxa" w:w="2000"/>
          </w:tcPr>
          <w:p>
            <w:r>
              <w:rPr>
                <w:b w:val="false"/>
                <w:bCs w:val="false"/>
              </w:rPr>
              <w:t xml:space="preserve">4.754,3</w:t>
            </w:r>
          </w:p>
        </w:tc>
      </w:tr>
    </w:tbl>
    <w:p>
      <w:pPr>
        <w:spacing w:after="160"/>
        <w:jc w:val="both"/>
      </w:pPr>
      <w:r>
        <w:t xml:space="preserve">(p. 107). El efectivo y equivalentes de efectivo aumentó de 286,9 a 476,0 millones de dólares (p. 107).</w:t>
      </w:r>
    </w:p>
    <w:p>
      <w:pPr>
        <w:pStyle w:val="Heading2"/>
        <w:spacing w:after="100" w:before="200"/>
      </w:pPr>
      <w:r>
        <w:t xml:space="preserve">Estado de flujo de efectivo</w:t>
      </w:r>
    </w:p>
    <w:p>
      <w:pPr>
        <w:spacing w:after="160"/>
        <w:jc w:val="both"/>
      </w:pPr>
      <w:r>
        <w:t xml:space="preserve">El flujo de caja neto usado en actividades operativas fue de -14,0 millones de dólares en F21 (frente a +326,9 millones de dólares en F20) (p. 108). Las actividades de inversión generaron un flujo neto positivo de 73,6 millones de dólares, impulsado por 650,5 millones de dólares de ingresos por venta de propiedad, planta y equipo (fundamentalmente los apartamentos de Crown Sydney), frente a compras de propiedad, planta y equipo por 559,1 millones de dólares (p. 108). Las actividades de financiamiento generaron un flujo neto positivo de 130,2 millones de dólares, con 590,0 millones de dólares obtenidos en nuevos préstamos y 459,8 millones de dólares en pagos de deuda; no se pagaron dividendos en F21 (frente a 406,2 millones de dólares pagados en F20) (p. 108).</w:t>
      </w:r>
    </w:p>
    <w:p>
      <w:pPr>
        <w:pStyle w:val="Heading2"/>
        <w:spacing w:after="100" w:before="200"/>
      </w:pPr>
      <w:r>
        <w:t xml:space="preserve">Nota sobre negocio en marcha (going concern)</w:t>
      </w:r>
    </w:p>
    <w:p>
      <w:pPr>
        <w:spacing w:after="160"/>
        <w:jc w:val="both"/>
      </w:pPr>
      <w:r>
        <w:t xml:space="preserve">El informe revela una incertidumbre material relacionada con el negocio en marcha, derivada de la interdependencia entre el impacto de COVID-19 y los resultados de las diversas investigaciones regulatorias en curso (p. 110). Se señala que, de los 420 millones de dólares girados de las facilidades de financiamiento del grupo al 30 de junio de 2021, existía riesgo de incumplimiento de covenants financieros bajo ciertos escenarios de cierre prolongado (p. 110).</w:t>
      </w:r>
    </w:p>
    <w:p>
      <w:pPr>
        <w:pStyle w:val="Heading1"/>
        <w:spacing w:after="150" w:before="300"/>
      </w:pPr>
      <w:r>
        <w:t xml:space="preserve">16. Directors' Declaration (p. 160)</w:t>
      </w:r>
    </w:p>
    <w:p>
      <w:pPr>
        <w:spacing w:after="160"/>
        <w:jc w:val="both"/>
      </w:pPr>
      <w:r>
        <w:t xml:space="preserve">Los directores declaran, con fecha 9 de septiembre de 2021, que los estados financieros presentan una visión fiel y razonable de la posición financiera del grupo consolidado al 30 de junio de 2021 y de su desempeño para el ejercicio finalizado en esa fecha, cumpliendo con la Corporations Act 2001 y las Normas Internacionales de Información Financiera (IFRS) (p. 160). Asimismo, declaran que existen motivos razonables para creer que la compañía podrá pagar sus deudas a su vencimiento, y que los miembros del Closed Group identificado en la Nota 30 del Informe Financiero podrán cumplir sus obligaciones bajo el Deed of Cross Guarantee (p. 160).</w:t>
      </w:r>
    </w:p>
    <w:p>
      <w:pPr>
        <w:pStyle w:val="Heading1"/>
        <w:spacing w:after="150" w:before="300"/>
      </w:pPr>
      <w:r>
        <w:t xml:space="preserve">17. Shareholder Information (pp. 161–162)</w:t>
      </w:r>
    </w:p>
    <w:p>
      <w:pPr>
        <w:spacing w:after="160"/>
        <w:jc w:val="both"/>
      </w:pPr>
      <w:r>
        <w:t xml:space="preserve">Al 31 de agosto de 2021, Crown tenía 677.158.271 acciones ordinarias en circulación, en poder de 41.646 accionistas (p. 161). Los principales accionistas sustanciales eran Consolidated Press Holdings Pty Limited, con 249.253.302 acciones (36,81% del capital emitido); Midnight Acacia Holdings Pte. Limited, con 67.675.000 acciones (9,99%); y Perpetual Limited, con 62.418.654 acciones (9,22%) (p. 161).</w:t>
      </w:r>
    </w:p>
    <w:p>
      <w:pPr>
        <w:spacing w:after="160"/>
        <w:jc w:val="both"/>
      </w:pPr>
      <w:r>
        <w:t xml:space="preserve">En la distribución de accionistas: 29.865 accionistas (1,56% del capital) tenían entre 1 y 1.000 acciones; 54 accionistas (92,70% del capital) tenían más de 100.000 acciones (p. 161). 3.404 accionistas tenían menos de un lote comercializable de acciones ordinarias al 31 de agosto de 2021 (p. 161).</w:t>
      </w:r>
    </w:p>
    <w:p>
      <w:pPr>
        <w:spacing w:after="160"/>
        <w:jc w:val="both"/>
      </w:pPr>
      <w:r>
        <w:t xml:space="preserve">Entre los 20 mayores accionistas, CPH Crown Holdings Pty Ltd encabezaba la lista con 237.025.000 acciones (35,00%), seguido de Citicorp Nominees Pty Limited con 127.062.018 acciones (18,76%) y HSBC Custody Nominees (Australia) Limited con 113.321.488 acciones (16,73%); en conjunto, los 20 mayores accionistas concentraban el 91,50% del capital emitido (p. 162).</w:t>
      </w:r>
    </w:p>
    <w:p>
      <w:pPr>
        <w:pStyle w:val="Heading1"/>
        <w:spacing w:after="150" w:before="300"/>
      </w:pPr>
      <w:r>
        <w:t xml:space="preserve">18. Additional Information (p. 163)</w:t>
      </w:r>
    </w:p>
    <w:p>
      <w:pPr>
        <w:spacing w:after="160"/>
        <w:jc w:val="both"/>
      </w:pPr>
      <w:r>
        <w:t xml:space="preserve">Esta sección administrativa detalla los canales de contacto con el registro de accionistas, Computershare Investor Services, incluyendo su número telefónico dentro de Australia (1300 659 795) y desde el exterior (+61 3 9415 4000) (p. 163). Se explican los procedimientos para consultas de tenencia accionaria, comunicaciones electrónicas, pago directo de dividendos, y suministro del Tax File Number (TFN) para evitar la retención del impuesto a la tasa marginal máxima más el Medicare levy sobre dividendos no franqueados o parcialmente franqueados (p. 163).</w:t>
      </w:r>
    </w:p>
    <w:p>
      <w:pPr>
        <w:pStyle w:val="Heading1"/>
        <w:spacing w:after="150" w:before="300"/>
      </w:pPr>
      <w:r>
        <w:t xml:space="preserve">19. Corporate Information (p. 164)</w:t>
      </w:r>
    </w:p>
    <w:p>
      <w:pPr>
        <w:spacing w:after="160"/>
        <w:jc w:val="both"/>
      </w:pPr>
      <w:r>
        <w:t xml:space="preserve">El Consejo de Crown a la fecha del informe estaba compuesto por Jane Halton AO PSM (Interim Chairman), el Dr. Ziggy Switkowski AO (Chairman-Elect, sujeto a aprobación regulatoria), Steve McCann (CEO y Managing Director-Elect, sujeto a aprobación regulatoria), Antonia Korsanos, Nigel Morrison y Bruce Carter (p. 164). Alan F McGregor ejercía como Company Secretary (p. 164). Las acciones ordinarias de Crown cotizan en la Australian Securities Exchange bajo el código "CWN", y sus Subordinated Notes II bajo el código "CWNHB" (p. 164). La Junta General Anual estaba programada para el jueves 21 de octubre de 2021 a las 10:00 horas (AEST), en formato virtual (p. 164). El auditor designado era KPMG (p. 164).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2026-09-10T22:06:11.257Z</dcterms:created>
  <dcterms:modified xsi:type="dcterms:W3CDTF">2026-09-10T22:06:11.267Z</dcterms:modified>
</cp:coreProperties>
</file>

<file path=docProps/custom.xml><?xml version="1.0" encoding="utf-8"?>
<Properties xmlns="http://schemas.openxmlformats.org/officeDocument/2006/custom-properties" xmlns:vt="http://schemas.openxmlformats.org/officeDocument/2006/docPropsVTypes"/>
</file>