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Analista de Procesos de Negocio, el objetivo de este diseño es automatizar las consultas de autoservicio de Recursos Humanos (beneficios y servicios contractuales) mediante un Agente de IA integrador, reduciendo la carga operativa del equipo de RRHH y garantizando un nivel de respuesta inmediato y preciso para los colaboradores del banco.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Definición del Proceso: "Agente de Asistencia Contractual y Beneficios"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 del Proceso: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Gestión y Autoservicio de Beneficios y Servicios Contractuales con IA.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Permitir a los colaboradores consultar, solicitar y gestionar de forma autónoma beneficios (seguros, créditos empleados, becas) y servicios contractuales (cartas de trabajo, vacaciones, constancias), manteniendo la trazabilidad y seguridad de la información.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Sistemas Involucrados: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Sistema de RRHH (Core HR / SAP / SuccessFactors), Repositorio Documental (SharePoint/DMS), Sistema de Ticket (Jira/ServiceNow), Directorio Activo (Azure AD / Okta).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Diagrama de Flujo del Proceso (Pasos Secuenciales)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1.Autenticación e Identificación de Perfil: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Punto de inicio.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colaborador inicia la interacción a través de Teams, WhatsApp Corporativo o la Intranet.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liquida la identidad del colaborador mediante Single Sign-On (SSO).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Extrae la metadata del perfil: tipo de contrato, antigüedad, rol, grupo salarial y país/región.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2.Clasificación de Intención (NLP Engine):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Procesamiento del lenguaje.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colaborador formula su consulta en lenguaje natural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"¿Cómo pido el reembolso de odontología?"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"Necesito una carta de trabajo"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categoriza la solicitud en una de tres vías: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Información General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Trámite Transaccional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Soporte Complejo/Caso Especial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3.Ejecución de la Vía de Atención: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Lógica de resolución.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Vía A (Informativa):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El agente consulta el repositorio de políticas vigentes mediante RAG (Retrieval-Augmented Generation) y entrega la respuesta precisa indicando la cláusula o política de origen.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Vía B (Transaccional):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Se activa un flujo guiado. El agente solicita datos faltantes, valida elegibilidad según el perfil y envía el Payload a la API del Core de RRHH (ej. generación instantánea de constancia en PDF o registro de días de vacaciones).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Vía C (Excepción / Derivación):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Si la regla de negocio exige validación humana (ej. excepción de póliza de salud), el agente recopila los datos y crea un ticket priorizado en el gestor de casos de RRHH.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4.Confirmación y Registro de Trazabilidad: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Cierre operativo.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envía el comprobante del trámite, documento generado o número de ticket al usuario.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Registra el log de interacción en la base de auditoría para fines de cumplimiento normativo y métricas de autoservicio.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Matriz de Roles y Reglas de Negocio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Elemento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Descripción / Regla Operativa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Público Objetivo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Empleados fijos, contratados y directivos (las respuestas se ajustan según la convención colectiva o contrato).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Regla de Elegibilidad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 IA verifica automáticamente los requisitos previos antes de habilitar un trámite (ej. antigüedad mínima de 6 meses para solicitud de créditos corporativos).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Seguridad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Enmascaramiento automático de PII (información de identificación personal) y datos sensibles de salud/salario en las interacciones con el modelo de lenguaje.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Escalamiento Humano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Desviación automática al equipo de RRHH cuando la satisfacción (CSAT) de la sesión decae o si la consulta supera un umbral de 2 intentos sin resolución.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