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C9A15A" w:sz="12" w:space="10"/>
        </w:pBdr>
        <w:spacing w:after="400"/>
        <w:jc w:val="center"/>
      </w:pPr>
      <w:r>
        <w:rPr>
          <w:rFonts w:ascii="Calibri" w:cs="Calibri" w:eastAsia="Calibri" w:hAnsi="Calibri"/>
          <w:color w:val="C9A15A"/>
          <w:spacing w:val="40"/>
          <w:sz w:val="22"/>
          <w:szCs w:val="22"/>
        </w:rPr>
        <w:t xml:space="preserve">E B O O K</w:t>
      </w:r>
    </w:p>
    <w:p>
      <w:pPr>
        <w:spacing w:after="200"/>
        <w:jc w:val="center"/>
      </w:pPr>
      <w:r>
        <w:rPr>
          <w:rFonts w:ascii="Georgia" w:cs="Georgia" w:eastAsia="Georgia" w:hAnsi="Georgia"/>
          <w:b/>
          <w:bCs/>
          <w:color w:val="7A1F2B"/>
          <w:sz w:val="72"/>
          <w:szCs w:val="72"/>
        </w:rPr>
        <w:t xml:space="preserve">LA INFLACIÓN</w:t>
      </w:r>
    </w:p>
    <w:p>
      <w:pPr>
        <w:spacing w:after="500"/>
        <w:jc w:val="center"/>
      </w:pPr>
      <w:r>
        <w:rPr>
          <w:rFonts w:ascii="Georgia" w:cs="Georgia" w:eastAsia="Georgia" w:hAnsi="Georgia"/>
          <w:b/>
          <w:bCs/>
          <w:color w:val="2B2B2B"/>
          <w:sz w:val="72"/>
          <w:szCs w:val="72"/>
        </w:rPr>
        <w:t xml:space="preserve">EN VENEZUELA</w:t>
      </w:r>
    </w:p>
    <w:p>
      <w:pPr>
        <w:spacing w:after="1600"/>
        <w:jc w:val="center"/>
      </w:pPr>
      <w:r>
        <w:rPr>
          <w:rFonts w:ascii="Calibri" w:cs="Calibri" w:eastAsia="Calibri" w:hAnsi="Calibri"/>
          <w:i/>
          <w:iCs/>
          <w:color w:val="5A5A5A"/>
          <w:sz w:val="26"/>
          <w:szCs w:val="26"/>
        </w:rPr>
        <w:t xml:space="preserve">Causas, hiperinflación, dolarización y el panorama económico actual</w:t>
      </w:r>
    </w:p>
    <w:p>
      <w:pPr>
        <w:spacing w:before="3000"/>
        <w:jc w:val="center"/>
      </w:pPr>
      <w:r>
        <w:rPr>
          <w:rFonts w:ascii="Calibri" w:cs="Calibri" w:eastAsia="Calibri" w:hAnsi="Calibri"/>
          <w:b/>
          <w:bCs/>
          <w:color w:val="C9A15A"/>
          <w:sz w:val="22"/>
          <w:szCs w:val="22"/>
        </w:rPr>
        <w:t xml:space="preserve">Edición 2026</w:t>
      </w:r>
    </w:p>
    <w:p>
      <w:pPr>
        <w:sectPr>
          <w:pgSz w:w="12240" w:h="15840" w:orient="portrait"/>
          <w:pgMar w:top="1440" w:right="1440" w:bottom="1440" w:left="1440" w:header="708" w:footer="708" w:gutter="0"/>
          <w:pgNumType/>
          <w:docGrid w:linePitch="360"/>
        </w:sectPr>
      </w:pPr>
    </w:p>
    <w:p>
      <w:pPr>
        <w:spacing w:before="3000"/>
      </w:pPr>
    </w:p>
    <w:p>
      <w:pPr>
        <w:spacing w:after="160" w:line="300"/>
        <w:jc w:val="both"/>
      </w:pPr>
      <w:r>
        <w:rPr>
          <w:rFonts w:ascii="Calibri" w:cs="Calibri" w:eastAsia="Calibri" w:hAnsi="Calibri"/>
          <w:b/>
          <w:bCs/>
          <w:color w:val="2B2B2B"/>
          <w:sz w:val="24"/>
          <w:szCs w:val="24"/>
        </w:rPr>
        <w:t xml:space="preserve">La Inflación en Venezuela</w:t>
      </w:r>
    </w:p>
    <w:p>
      <w:pPr>
        <w:spacing w:after="160" w:line="300"/>
        <w:jc w:val="both"/>
      </w:pPr>
      <w:r>
        <w:rPr>
          <w:rFonts w:ascii="Calibri" w:cs="Calibri" w:eastAsia="Calibri" w:hAnsi="Calibri"/>
          <w:color w:val="2B2B2B"/>
          <w:sz w:val="22"/>
          <w:szCs w:val="22"/>
        </w:rPr>
        <w:t xml:space="preserve">Edición digital, 2026.</w:t>
      </w:r>
    </w:p>
    <w:p>
      <w:pPr>
        <w:spacing w:after="160" w:line="300"/>
        <w:jc w:val="both"/>
      </w:pPr>
      <w:r>
        <w:rPr>
          <w:rFonts w:ascii="Calibri" w:cs="Calibri" w:eastAsia="Calibri" w:hAnsi="Calibri"/>
          <w:color w:val="2B2B2B"/>
          <w:sz w:val="22"/>
          <w:szCs w:val="22"/>
        </w:rPr>
        <w:t xml:space="preserve">Este ebook tiene fines informativos y educativos. Los datos económicos citados provienen de fuentes públicas —Banco Central de Venezuela (BCV), Observatorio Venezolano de Finanzas (OVF), Fondo Monetario Internacional (FMI) y medios especializados— y pueden estar sujetos a revisión o disponer de metodologías distintas según la fuente. Se recomienda contrastar las cifras más recientes con las fuentes primarias antes de tomar decisiones económicas o financieras.</w:t>
      </w:r>
    </w:p>
    <w:p>
      <w:pPr>
        <w:spacing w:after="160" w:line="300"/>
        <w:jc w:val="both"/>
      </w:pPr>
      <w:r>
        <w:rPr>
          <w:rFonts w:ascii="Calibri" w:cs="Calibri" w:eastAsia="Calibri" w:hAnsi="Calibri"/>
          <w:color w:val="2B2B2B"/>
          <w:sz w:val="22"/>
          <w:szCs w:val="22"/>
        </w:rPr>
        <w:t xml:space="preserve">Todos los nombres, cifras e instituciones mencionados se citan con fines exclusivamente informativos.</w:t>
      </w:r>
    </w:p>
    <w:p>
      <w:pPr>
        <w:sectPr>
          <w:pgSz w:w="12240" w:h="15840" w:orient="portrait"/>
          <w:pgMar w:top="1440" w:right="1800" w:bottom="1440" w:left="1800" w:header="708" w:footer="708" w:gutter="0"/>
          <w:pgNumType/>
          <w:docGrid w:linePitch="360"/>
        </w:sectPr>
      </w:pPr>
    </w:p>
    <w:p>
      <w:pPr>
        <w:pStyle w:val="Heading1"/>
        <w:spacing w:after="300"/>
      </w:pPr>
      <w:r>
        <w:rPr>
          <w:rFonts w:ascii="Georgia" w:cs="Georgia" w:eastAsia="Georgia" w:hAnsi="Georgia"/>
          <w:b/>
          <w:bCs/>
          <w:color w:val="7A1F2B"/>
          <w:sz w:val="34"/>
          <w:szCs w:val="34"/>
        </w:rPr>
        <w:t xml:space="preserve">Índice</w:t>
      </w:r>
    </w:p>
    <w:p>
      <w:pPr>
        <w:tabs>
          <w:tab w:val="right" w:pos="9072" w:leader="dot"/>
        </w:tabs>
        <w:spacing w:after="160"/>
      </w:pPr>
      <w:r>
        <w:rPr>
          <w:rFonts w:ascii="Calibri" w:cs="Calibri" w:eastAsia="Calibri" w:hAnsi="Calibri"/>
          <w:color w:val="2B2B2B"/>
          <w:sz w:val="23"/>
          <w:szCs w:val="23"/>
        </w:rPr>
        <w:t xml:space="preserve">1. Introducción</w:t>
      </w:r>
      <w:r>
        <w:ptab w:alignment="right" w:relativeTo="margin" w:leader="dot"/>
      </w:r>
      <w:r>
        <w:rPr>
          <w:rFonts w:ascii="Calibri" w:cs="Calibri" w:eastAsia="Calibri" w:hAnsi="Calibri"/>
          <w:b/>
          <w:bCs/>
          <w:color w:val="7A1F2B"/>
          <w:sz w:val="23"/>
          <w:szCs w:val="23"/>
        </w:rPr>
        <w:t xml:space="preserve">4</w:t>
      </w:r>
    </w:p>
    <w:p>
      <w:pPr>
        <w:tabs>
          <w:tab w:val="right" w:pos="9072" w:leader="dot"/>
        </w:tabs>
        <w:spacing w:after="160"/>
      </w:pPr>
      <w:r>
        <w:rPr>
          <w:rFonts w:ascii="Calibri" w:cs="Calibri" w:eastAsia="Calibri" w:hAnsi="Calibri"/>
          <w:color w:val="2B2B2B"/>
          <w:sz w:val="23"/>
          <w:szCs w:val="23"/>
        </w:rPr>
        <w:t xml:space="preserve">2. ¿Qué es la inflación? Conceptos básicos</w:t>
      </w:r>
      <w:r>
        <w:ptab w:alignment="right" w:relativeTo="margin" w:leader="dot"/>
      </w:r>
      <w:r>
        <w:rPr>
          <w:rFonts w:ascii="Calibri" w:cs="Calibri" w:eastAsia="Calibri" w:hAnsi="Calibri"/>
          <w:b/>
          <w:bCs/>
          <w:color w:val="7A1F2B"/>
          <w:sz w:val="23"/>
          <w:szCs w:val="23"/>
        </w:rPr>
        <w:t xml:space="preserve">5</w:t>
      </w:r>
    </w:p>
    <w:p>
      <w:pPr>
        <w:tabs>
          <w:tab w:val="right" w:pos="9072" w:leader="dot"/>
        </w:tabs>
        <w:spacing w:after="160"/>
      </w:pPr>
      <w:r>
        <w:rPr>
          <w:rFonts w:ascii="Calibri" w:cs="Calibri" w:eastAsia="Calibri" w:hAnsi="Calibri"/>
          <w:color w:val="2B2B2B"/>
          <w:sz w:val="23"/>
          <w:szCs w:val="23"/>
        </w:rPr>
        <w:t xml:space="preserve">3. Antecedentes: la inflación venezolana antes de la crisis</w:t>
      </w:r>
      <w:r>
        <w:ptab w:alignment="right" w:relativeTo="margin" w:leader="dot"/>
      </w:r>
      <w:r>
        <w:rPr>
          <w:rFonts w:ascii="Calibri" w:cs="Calibri" w:eastAsia="Calibri" w:hAnsi="Calibri"/>
          <w:b/>
          <w:bCs/>
          <w:color w:val="7A1F2B"/>
          <w:sz w:val="23"/>
          <w:szCs w:val="23"/>
        </w:rPr>
        <w:t xml:space="preserve">6</w:t>
      </w:r>
    </w:p>
    <w:p>
      <w:pPr>
        <w:tabs>
          <w:tab w:val="right" w:pos="9072" w:leader="dot"/>
        </w:tabs>
        <w:spacing w:after="160"/>
      </w:pPr>
      <w:r>
        <w:rPr>
          <w:rFonts w:ascii="Calibri" w:cs="Calibri" w:eastAsia="Calibri" w:hAnsi="Calibri"/>
          <w:color w:val="2B2B2B"/>
          <w:sz w:val="23"/>
          <w:szCs w:val="23"/>
        </w:rPr>
        <w:t xml:space="preserve">4. La hiperinflación (2017–2021): cifras y cronología</w:t>
      </w:r>
      <w:r>
        <w:ptab w:alignment="right" w:relativeTo="margin" w:leader="dot"/>
      </w:r>
      <w:r>
        <w:rPr>
          <w:rFonts w:ascii="Calibri" w:cs="Calibri" w:eastAsia="Calibri" w:hAnsi="Calibri"/>
          <w:b/>
          <w:bCs/>
          <w:color w:val="7A1F2B"/>
          <w:sz w:val="23"/>
          <w:szCs w:val="23"/>
        </w:rPr>
        <w:t xml:space="preserve">7</w:t>
      </w:r>
    </w:p>
    <w:p>
      <w:pPr>
        <w:tabs>
          <w:tab w:val="right" w:pos="9072" w:leader="dot"/>
        </w:tabs>
        <w:spacing w:after="160"/>
      </w:pPr>
      <w:r>
        <w:rPr>
          <w:rFonts w:ascii="Calibri" w:cs="Calibri" w:eastAsia="Calibri" w:hAnsi="Calibri"/>
          <w:color w:val="2B2B2B"/>
          <w:sz w:val="23"/>
          <w:szCs w:val="23"/>
        </w:rPr>
        <w:t xml:space="preserve">5. El fin de la hiperinflación y la dolarización de facto</w:t>
      </w:r>
      <w:r>
        <w:ptab w:alignment="right" w:relativeTo="margin" w:leader="dot"/>
      </w:r>
      <w:r>
        <w:rPr>
          <w:rFonts w:ascii="Calibri" w:cs="Calibri" w:eastAsia="Calibri" w:hAnsi="Calibri"/>
          <w:b/>
          <w:bCs/>
          <w:color w:val="7A1F2B"/>
          <w:sz w:val="23"/>
          <w:szCs w:val="23"/>
        </w:rPr>
        <w:t xml:space="preserve">9</w:t>
      </w:r>
    </w:p>
    <w:p>
      <w:pPr>
        <w:tabs>
          <w:tab w:val="right" w:pos="9072" w:leader="dot"/>
        </w:tabs>
        <w:spacing w:after="160"/>
      </w:pPr>
      <w:r>
        <w:rPr>
          <w:rFonts w:ascii="Calibri" w:cs="Calibri" w:eastAsia="Calibri" w:hAnsi="Calibri"/>
          <w:color w:val="2B2B2B"/>
          <w:sz w:val="23"/>
          <w:szCs w:val="23"/>
        </w:rPr>
        <w:t xml:space="preserve">6. La situación actual (2025–2026)</w:t>
      </w:r>
      <w:r>
        <w:ptab w:alignment="right" w:relativeTo="margin" w:leader="dot"/>
      </w:r>
      <w:r>
        <w:rPr>
          <w:rFonts w:ascii="Calibri" w:cs="Calibri" w:eastAsia="Calibri" w:hAnsi="Calibri"/>
          <w:b/>
          <w:bCs/>
          <w:color w:val="7A1F2B"/>
          <w:sz w:val="23"/>
          <w:szCs w:val="23"/>
        </w:rPr>
        <w:t xml:space="preserve">10</w:t>
      </w:r>
    </w:p>
    <w:p>
      <w:pPr>
        <w:tabs>
          <w:tab w:val="right" w:pos="9072" w:leader="dot"/>
        </w:tabs>
        <w:spacing w:after="160"/>
      </w:pPr>
      <w:r>
        <w:rPr>
          <w:rFonts w:ascii="Calibri" w:cs="Calibri" w:eastAsia="Calibri" w:hAnsi="Calibri"/>
          <w:color w:val="2B2B2B"/>
          <w:sz w:val="23"/>
          <w:szCs w:val="23"/>
        </w:rPr>
        <w:t xml:space="preserve">7. Consecuencias económicas y sociales</w:t>
      </w:r>
      <w:r>
        <w:ptab w:alignment="right" w:relativeTo="margin" w:leader="dot"/>
      </w:r>
      <w:r>
        <w:rPr>
          <w:rFonts w:ascii="Calibri" w:cs="Calibri" w:eastAsia="Calibri" w:hAnsi="Calibri"/>
          <w:b/>
          <w:bCs/>
          <w:color w:val="7A1F2B"/>
          <w:sz w:val="23"/>
          <w:szCs w:val="23"/>
        </w:rPr>
        <w:t xml:space="preserve">11</w:t>
      </w:r>
    </w:p>
    <w:p>
      <w:pPr>
        <w:tabs>
          <w:tab w:val="right" w:pos="9072" w:leader="dot"/>
        </w:tabs>
        <w:spacing w:after="160"/>
      </w:pPr>
      <w:r>
        <w:rPr>
          <w:rFonts w:ascii="Calibri" w:cs="Calibri" w:eastAsia="Calibri" w:hAnsi="Calibri"/>
          <w:color w:val="2B2B2B"/>
          <w:sz w:val="23"/>
          <w:szCs w:val="23"/>
        </w:rPr>
        <w:t xml:space="preserve">8. Perspectivas y desafíos</w:t>
      </w:r>
      <w:r>
        <w:ptab w:alignment="right" w:relativeTo="margin" w:leader="dot"/>
      </w:r>
      <w:r>
        <w:rPr>
          <w:rFonts w:ascii="Calibri" w:cs="Calibri" w:eastAsia="Calibri" w:hAnsi="Calibri"/>
          <w:b/>
          <w:bCs/>
          <w:color w:val="7A1F2B"/>
          <w:sz w:val="23"/>
          <w:szCs w:val="23"/>
        </w:rPr>
        <w:t xml:space="preserve">12</w:t>
      </w:r>
    </w:p>
    <w:p>
      <w:pPr>
        <w:tabs>
          <w:tab w:val="right" w:pos="9072" w:leader="dot"/>
        </w:tabs>
        <w:spacing w:after="160"/>
      </w:pPr>
      <w:r>
        <w:rPr>
          <w:rFonts w:ascii="Calibri" w:cs="Calibri" w:eastAsia="Calibri" w:hAnsi="Calibri"/>
          <w:color w:val="2B2B2B"/>
          <w:sz w:val="23"/>
          <w:szCs w:val="23"/>
        </w:rPr>
        <w:t xml:space="preserve">9. Conclusión</w:t>
      </w:r>
      <w:r>
        <w:ptab w:alignment="right" w:relativeTo="margin" w:leader="dot"/>
      </w:r>
      <w:r>
        <w:rPr>
          <w:rFonts w:ascii="Calibri" w:cs="Calibri" w:eastAsia="Calibri" w:hAnsi="Calibri"/>
          <w:b/>
          <w:bCs/>
          <w:color w:val="7A1F2B"/>
          <w:sz w:val="23"/>
          <w:szCs w:val="23"/>
        </w:rPr>
        <w:t xml:space="preserve">13</w:t>
      </w:r>
    </w:p>
    <w:p>
      <w:pPr>
        <w:tabs>
          <w:tab w:val="right" w:pos="9072" w:leader="dot"/>
        </w:tabs>
        <w:spacing w:after="160"/>
      </w:pPr>
      <w:r>
        <w:rPr>
          <w:rFonts w:ascii="Calibri" w:cs="Calibri" w:eastAsia="Calibri" w:hAnsi="Calibri"/>
          <w:color w:val="2B2B2B"/>
          <w:sz w:val="23"/>
          <w:szCs w:val="23"/>
        </w:rPr>
        <w:t xml:space="preserve">10. Glosario</w:t>
      </w:r>
      <w:r>
        <w:ptab w:alignment="right" w:relativeTo="margin" w:leader="dot"/>
      </w:r>
      <w:r>
        <w:rPr>
          <w:rFonts w:ascii="Calibri" w:cs="Calibri" w:eastAsia="Calibri" w:hAnsi="Calibri"/>
          <w:b/>
          <w:bCs/>
          <w:color w:val="7A1F2B"/>
          <w:sz w:val="23"/>
          <w:szCs w:val="23"/>
        </w:rPr>
        <w:t xml:space="preserve">14</w:t>
      </w:r>
    </w:p>
    <w:p>
      <w:pPr>
        <w:tabs>
          <w:tab w:val="right" w:pos="9072" w:leader="dot"/>
        </w:tabs>
        <w:spacing w:after="160"/>
      </w:pPr>
      <w:r>
        <w:rPr>
          <w:rFonts w:ascii="Calibri" w:cs="Calibri" w:eastAsia="Calibri" w:hAnsi="Calibri"/>
          <w:color w:val="2B2B2B"/>
          <w:sz w:val="23"/>
          <w:szCs w:val="23"/>
        </w:rPr>
        <w:t xml:space="preserve">11. Fuentes y referencias</w:t>
      </w:r>
      <w:r>
        <w:ptab w:alignment="right" w:relativeTo="margin" w:leader="dot"/>
      </w:r>
      <w:r>
        <w:rPr>
          <w:rFonts w:ascii="Calibri" w:cs="Calibri" w:eastAsia="Calibri" w:hAnsi="Calibri"/>
          <w:b/>
          <w:bCs/>
          <w:color w:val="7A1F2B"/>
          <w:sz w:val="23"/>
          <w:szCs w:val="23"/>
        </w:rPr>
        <w:t xml:space="preserve">15</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1. Introducción</w:t>
      </w:r>
    </w:p>
    <w:p>
      <w:pPr>
        <w:spacing w:after="220" w:line="320"/>
        <w:jc w:val="both"/>
      </w:pPr>
      <w:r>
        <w:rPr>
          <w:rFonts w:ascii="Calibri" w:cs="Calibri" w:eastAsia="Calibri" w:hAnsi="Calibri"/>
          <w:i/>
          <w:iCs/>
          <w:color w:val="5A5A5A"/>
          <w:sz w:val="24"/>
          <w:szCs w:val="24"/>
        </w:rPr>
        <w:t xml:space="preserve">Pocos fenómenos han transformado tan profundamente la vida cotidiana de un país como la inflación lo ha hecho en Venezuela.</w:t>
      </w:r>
    </w:p>
    <w:p>
      <w:pPr>
        <w:spacing w:after="160" w:line="300"/>
        <w:jc w:val="both"/>
      </w:pPr>
      <w:r>
        <w:rPr>
          <w:rFonts w:ascii="Calibri" w:cs="Calibri" w:eastAsia="Calibri" w:hAnsi="Calibri"/>
          <w:color w:val="2B2B2B"/>
          <w:sz w:val="22"/>
          <w:szCs w:val="22"/>
        </w:rPr>
        <w:t xml:space="preserve">Durante más de una década, los venezolanos han convivido con la pérdida constante del valor de su moneda: precios que cambian de un día para otro, salarios que se licúan antes de fin de mes y una economía que aprendió a funcionar, primero, a punta de cálculos mentales en dólares y, después, mediante una dolarización de facto que reordenó buena parte de la vida comercial del país.</w:t>
      </w:r>
    </w:p>
    <w:p>
      <w:pPr>
        <w:spacing w:after="160" w:line="300"/>
        <w:jc w:val="both"/>
      </w:pPr>
      <w:r>
        <w:rPr>
          <w:rFonts w:ascii="Calibri" w:cs="Calibri" w:eastAsia="Calibri" w:hAnsi="Calibri"/>
          <w:color w:val="2B2B2B"/>
          <w:sz w:val="22"/>
          <w:szCs w:val="22"/>
        </w:rPr>
        <w:t xml:space="preserve">Este ebook ofrece un recorrido claro y documentado por el fenómeno inflacionario venezolano: sus raíces estructurales, el episodio de hiperinflación que marcó los años 2017-2021 —uno de los más severos registrados en la historia económica moderna—, el proceso de estabilización relativa que le siguió, y la situación de inflación alta pero no hiperinflacionaria que atraviesa el país en la actualidad.</w:t>
      </w:r>
    </w:p>
    <w:p>
      <w:pPr>
        <w:spacing w:after="160" w:line="300"/>
        <w:jc w:val="both"/>
      </w:pPr>
      <w:r>
        <w:rPr>
          <w:rFonts w:ascii="Calibri" w:cs="Calibri" w:eastAsia="Calibri" w:hAnsi="Calibri"/>
          <w:color w:val="2B2B2B"/>
          <w:sz w:val="22"/>
          <w:szCs w:val="22"/>
        </w:rPr>
        <w:t xml:space="preserve">El objetivo no es solo mostrar cifras, sino explicar los mecanismos económicos detrás de ellas: por qué ocurrió, qué la alimentó, cómo se combatió parcialmente y qué retos persisten. Los datos se presentan citando sus fuentes oficiales y alternativas, dado que en Venezuela la medición misma de la inflación ha sido, en distintos períodos, motivo de controversia.</w:t>
      </w:r>
    </w:p>
    <w:tbl>
      <w:tblPr>
        <w:tblW w:type="pct" w:w="100%"/>
        <w:tblBorders>
          <w:top w:val="single" w:color="C9A15A" w:sz="4"/>
          <w:left w:val="single" w:color="7A1F2B" w:sz="24"/>
          <w:bottom w:val="single" w:color="C9A15A" w:sz="4"/>
          <w:right w:val="none" w:color="FFFFFF" w:sz="0"/>
          <w:insideH w:val="none" w:color="FFFFFF" w:sz="0"/>
          <w:insideV w:val="none" w:color="FFFFFF" w:sz="0"/>
        </w:tblBorders>
      </w:tblPr>
      <w:tblGrid>
        <w:gridCol w:w="100"/>
      </w:tblGrid>
      <w:tr>
        <w:tc>
          <w:tcPr>
            <w:shd w:fill="F4EFE9" w:color="auto" w:val="clear"/>
            <w:tcMar>
              <w:top w:type="dxa" w:w="200"/>
              <w:left w:type="dxa" w:w="300"/>
              <w:bottom w:type="dxa" w:w="200"/>
              <w:right w:type="dxa" w:w="300"/>
            </w:tcMar>
          </w:tcPr>
          <w:p>
            <w:pPr>
              <w:spacing w:after="80"/>
            </w:pPr>
            <w:r>
              <w:rPr>
                <w:rFonts w:ascii="Calibri" w:cs="Calibri" w:eastAsia="Calibri" w:hAnsi="Calibri"/>
                <w:i/>
                <w:iCs/>
                <w:color w:val="2B2B2B"/>
                <w:sz w:val="22"/>
                <w:szCs w:val="22"/>
              </w:rPr>
              <w:t xml:space="preserve">La inflación es siempre y en todo lugar un fenómeno monetario, pero en Venezuela se entrelazó con el colapso petrolero, el control de cambios y una crisis institucional de fondo.</w:t>
            </w:r>
          </w:p>
          <w:p>
            <w:pPr>
              <w:jc w:val="right"/>
            </w:pPr>
            <w:r>
              <w:rPr>
                <w:rFonts w:ascii="Calibri" w:cs="Calibri" w:eastAsia="Calibri" w:hAnsi="Calibri"/>
                <w:color w:val="5A5A5A"/>
                <w:sz w:val="20"/>
                <w:szCs w:val="20"/>
              </w:rPr>
              <w:t xml:space="preserve">— Síntesis del debate económico sobre el caso venezolano</w:t>
            </w:r>
          </w:p>
        </w:tc>
      </w:tr>
    </w:tbl>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2. ¿Qué es la inflación? Conceptos básicos</w:t>
      </w:r>
    </w:p>
    <w:p>
      <w:pPr>
        <w:spacing w:after="160" w:line="300"/>
        <w:jc w:val="both"/>
      </w:pPr>
      <w:r>
        <w:rPr>
          <w:rFonts w:ascii="Calibri" w:cs="Calibri" w:eastAsia="Calibri" w:hAnsi="Calibri"/>
          <w:color w:val="2B2B2B"/>
          <w:sz w:val="22"/>
          <w:szCs w:val="22"/>
        </w:rPr>
        <w:t xml:space="preserve">Antes de analizar el caso venezolano conviene precisar algunos conceptos que se usarán a lo largo del libro.</w:t>
      </w:r>
    </w:p>
    <w:p>
      <w:pPr>
        <w:pStyle w:val="Heading2"/>
        <w:spacing w:after="160" w:before="260"/>
      </w:pPr>
      <w:r>
        <w:rPr>
          <w:rFonts w:ascii="Georgia" w:cs="Georgia" w:eastAsia="Georgia" w:hAnsi="Georgia"/>
          <w:b/>
          <w:bCs/>
          <w:color w:val="7A1F2B"/>
          <w:sz w:val="26"/>
          <w:szCs w:val="26"/>
        </w:rPr>
        <w:t xml:space="preserve">Inflación</w:t>
      </w:r>
    </w:p>
    <w:p>
      <w:pPr>
        <w:spacing w:after="160" w:line="300"/>
        <w:jc w:val="both"/>
      </w:pPr>
      <w:r>
        <w:rPr>
          <w:rFonts w:ascii="Calibri" w:cs="Calibri" w:eastAsia="Calibri" w:hAnsi="Calibri"/>
          <w:color w:val="2B2B2B"/>
          <w:sz w:val="22"/>
          <w:szCs w:val="22"/>
        </w:rPr>
        <w:t xml:space="preserve">Es el aumento sostenido y generalizado del nivel de precios de una economía durante un período de tiempo. Se mide habitualmente mediante el Índice Nacional de Precios al Consumidor (INPC), que compara el costo de una canasta representativa de bienes y servicios entre dos momentos.</w:t>
      </w:r>
    </w:p>
    <w:p>
      <w:pPr>
        <w:pStyle w:val="Heading2"/>
        <w:spacing w:after="160" w:before="260"/>
      </w:pPr>
      <w:r>
        <w:rPr>
          <w:rFonts w:ascii="Georgia" w:cs="Georgia" w:eastAsia="Georgia" w:hAnsi="Georgia"/>
          <w:b/>
          <w:bCs/>
          <w:color w:val="7A1F2B"/>
          <w:sz w:val="26"/>
          <w:szCs w:val="26"/>
        </w:rPr>
        <w:t xml:space="preserve">Inflación mensual, acumulada e interanual</w:t>
      </w:r>
    </w:p>
    <w:p>
      <w:pPr>
        <w:pStyle w:val="ListParagraph"/>
        <w:numPr>
          <w:ilvl w:val="0"/>
          <w:numId w:val="2"/>
        </w:numPr>
        <w:spacing w:after="100"/>
      </w:pPr>
      <w:r>
        <w:rPr>
          <w:rFonts w:ascii="Calibri" w:cs="Calibri" w:eastAsia="Calibri" w:hAnsi="Calibri"/>
          <w:color w:val="2B2B2B"/>
          <w:sz w:val="22"/>
          <w:szCs w:val="22"/>
        </w:rPr>
        <w:t xml:space="preserve">Inflación mensual: variación de precios respecto al mes anterior.</w:t>
      </w:r>
    </w:p>
    <w:p>
      <w:pPr>
        <w:pStyle w:val="ListParagraph"/>
        <w:numPr>
          <w:ilvl w:val="0"/>
          <w:numId w:val="2"/>
        </w:numPr>
        <w:spacing w:after="100"/>
      </w:pPr>
      <w:r>
        <w:rPr>
          <w:rFonts w:ascii="Calibri" w:cs="Calibri" w:eastAsia="Calibri" w:hAnsi="Calibri"/>
          <w:color w:val="2B2B2B"/>
          <w:sz w:val="22"/>
          <w:szCs w:val="22"/>
        </w:rPr>
        <w:t xml:space="preserve">Inflación acumulada: variación de precios desde el inicio del año hasta el mes de referencia.</w:t>
      </w:r>
    </w:p>
    <w:p>
      <w:pPr>
        <w:pStyle w:val="ListParagraph"/>
        <w:numPr>
          <w:ilvl w:val="0"/>
          <w:numId w:val="2"/>
        </w:numPr>
        <w:spacing w:after="100"/>
      </w:pPr>
      <w:r>
        <w:rPr>
          <w:rFonts w:ascii="Calibri" w:cs="Calibri" w:eastAsia="Calibri" w:hAnsi="Calibri"/>
          <w:color w:val="2B2B2B"/>
          <w:sz w:val="22"/>
          <w:szCs w:val="22"/>
        </w:rPr>
        <w:t xml:space="preserve">Inflación interanual: variación de precios respecto al mismo mes del año anterior; es la métrica más usada para comparaciones internacionales.</w:t>
      </w:r>
    </w:p>
    <w:p>
      <w:pPr>
        <w:pStyle w:val="Heading2"/>
        <w:spacing w:after="160" w:before="260"/>
      </w:pPr>
      <w:r>
        <w:rPr>
          <w:rFonts w:ascii="Georgia" w:cs="Georgia" w:eastAsia="Georgia" w:hAnsi="Georgia"/>
          <w:b/>
          <w:bCs/>
          <w:color w:val="7A1F2B"/>
          <w:sz w:val="26"/>
          <w:szCs w:val="26"/>
        </w:rPr>
        <w:t xml:space="preserve">Hiperinflación</w:t>
      </w:r>
    </w:p>
    <w:p>
      <w:pPr>
        <w:spacing w:after="160" w:line="300"/>
        <w:jc w:val="both"/>
      </w:pPr>
      <w:r>
        <w:rPr>
          <w:rFonts w:ascii="Calibri" w:cs="Calibri" w:eastAsia="Calibri" w:hAnsi="Calibri"/>
          <w:color w:val="2B2B2B"/>
          <w:sz w:val="22"/>
          <w:szCs w:val="22"/>
        </w:rPr>
        <w:t xml:space="preserve">No existe una única definición, pero el criterio más citado —propuesto por el economista Phillip Cagan— establece que un país entra en hiperinflación cuando la inflación mensual supera el 50% durante al menos un mes, y se considera que el episodio concluye cuando esa tasa se mantiene por debajo del 50% mensual durante doce meses consecutivos. Bajo ese criterio, Venezuela vivió una hiperinflación entre 2017 y 2021.</w:t>
      </w:r>
    </w:p>
    <w:p>
      <w:pPr>
        <w:pStyle w:val="Heading2"/>
        <w:spacing w:after="160" w:before="260"/>
      </w:pPr>
      <w:r>
        <w:rPr>
          <w:rFonts w:ascii="Georgia" w:cs="Georgia" w:eastAsia="Georgia" w:hAnsi="Georgia"/>
          <w:b/>
          <w:bCs/>
          <w:color w:val="7A1F2B"/>
          <w:sz w:val="26"/>
          <w:szCs w:val="26"/>
        </w:rPr>
        <w:t xml:space="preserve">Emisión monetaria y financiamiento del déficit</w:t>
      </w:r>
    </w:p>
    <w:p>
      <w:pPr>
        <w:spacing w:after="160" w:line="300"/>
        <w:jc w:val="both"/>
      </w:pPr>
      <w:r>
        <w:rPr>
          <w:rFonts w:ascii="Calibri" w:cs="Calibri" w:eastAsia="Calibri" w:hAnsi="Calibri"/>
          <w:color w:val="2B2B2B"/>
          <w:sz w:val="22"/>
          <w:szCs w:val="22"/>
        </w:rPr>
        <w:t xml:space="preserve">Cuando un gobierno gasta más de lo que recauda y financia esa diferencia haciendo que el banco central le imprima dinero —en lugar de endeudarse en mercados de crédito—, la cantidad de dinero en circulación crece más rápido que la producción real de bienes y servicios. Ese exceso de liquidez, si no es absorbido por un aumento equivalente de la oferta de bienes, presiona los precios al alza. Este mecanismo es señalado por buena parte de los economistas como el motor central de la hiperinflación venezolana.</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3. Antecedentes: la inflación venezolana antes de la crisis</w:t>
      </w:r>
    </w:p>
    <w:p>
      <w:pPr>
        <w:spacing w:after="160" w:line="300"/>
        <w:jc w:val="both"/>
      </w:pPr>
      <w:r>
        <w:rPr>
          <w:rFonts w:ascii="Calibri" w:cs="Calibri" w:eastAsia="Calibri" w:hAnsi="Calibri"/>
          <w:color w:val="2B2B2B"/>
          <w:sz w:val="22"/>
          <w:szCs w:val="22"/>
        </w:rPr>
        <w:t xml:space="preserve">Venezuela no es ajena a la inflación alta. Durante buena parte de las décadas de 1980 y 1990, el país registró tasas anuales de dos dígitos, y en 1996 alcanzó su primer episodio de inflación de tres dígitos en un solo año, en un contexto de recesión, devaluación y ajuste macroeconómico.</w:t>
      </w:r>
    </w:p>
    <w:p>
      <w:pPr>
        <w:spacing w:after="160" w:line="300"/>
        <w:jc w:val="both"/>
      </w:pPr>
      <w:r>
        <w:rPr>
          <w:rFonts w:ascii="Calibri" w:cs="Calibri" w:eastAsia="Calibri" w:hAnsi="Calibri"/>
          <w:color w:val="2B2B2B"/>
          <w:sz w:val="22"/>
          <w:szCs w:val="22"/>
        </w:rPr>
        <w:t xml:space="preserve">Entre 2003 y 2013, con el auge de los precios petroleros internacionales, el país sostuvo tasas de inflación elevadas para estándares regionales —entre 20% y 30% anual en promedio— pero relativamente estables, financiadas en parte por el ingreso petrolero y sostenidas por un esquema de control de cambios implementado desde 2003.</w:t>
      </w:r>
    </w:p>
    <w:p>
      <w:pPr>
        <w:spacing w:after="160" w:line="300"/>
        <w:jc w:val="both"/>
      </w:pPr>
      <w:r>
        <w:rPr>
          <w:rFonts w:ascii="Calibri" w:cs="Calibri" w:eastAsia="Calibri" w:hAnsi="Calibri"/>
          <w:color w:val="2B2B2B"/>
          <w:sz w:val="22"/>
          <w:szCs w:val="22"/>
        </w:rPr>
        <w:t xml:space="preserve">El punto de inflexión se ubica hacia 2013-2014, cuando coinciden tres factores: la caída sostenida de los precios internacionales del petróleo, el deterioro de la producción de Petróleos de Venezuela (PDVSA) y una expansión del gasto público financiado crecientemente con emisión de dinero por parte del Banco Central de Venezuela (BCV). A partir de ahí, la inflación pasó de ser un problema crónico a convertirse en una crisis de escala histórica.</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4. La hiperinflación (2017–2021): cifras y cronología</w:t>
      </w:r>
    </w:p>
    <w:p>
      <w:pPr>
        <w:spacing w:after="160" w:line="300"/>
        <w:jc w:val="both"/>
      </w:pPr>
      <w:r>
        <w:rPr>
          <w:rFonts w:ascii="Calibri" w:cs="Calibri" w:eastAsia="Calibri" w:hAnsi="Calibri"/>
          <w:color w:val="2B2B2B"/>
          <w:sz w:val="22"/>
          <w:szCs w:val="22"/>
        </w:rPr>
        <w:t xml:space="preserve">Según cifras del propio Banco Central de Venezuela —que suspendió la publicación oficial de estadísticas de precios entre 2015 y 2019, un vacío que fue parcialmente cubierto por reportes de la Asamblea Nacional de mayoría opositora—, el país cerró 2017 con una inflación interanual de 862,6%, marcando el inicio formal del episodio hiperinflacionario. Bajo el criterio de Cagan, Venezuela entró técnicamente en hiperinflación en noviembre de 2017.</w:t>
      </w:r>
    </w:p>
    <w:p>
      <w:pPr>
        <w:spacing w:after="160" w:line="300"/>
        <w:jc w:val="both"/>
      </w:pPr>
      <w:r>
        <w:rPr>
          <w:rFonts w:ascii="Calibri" w:cs="Calibri" w:eastAsia="Calibri" w:hAnsi="Calibri"/>
          <w:color w:val="2B2B2B"/>
          <w:sz w:val="22"/>
          <w:szCs w:val="22"/>
        </w:rPr>
        <w:t xml:space="preserve">Los años siguientes registraron algunas de las tasas de inflación más altas documentadas en la historia económica mundial: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shd w:fill="7A1F2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Año</w:t>
            </w:r>
          </w:p>
        </w:tc>
        <w:tc>
          <w:tcPr>
            <w:tcW w:type="dxa" w:w="2600"/>
            <w:shd w:fill="7A1F2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Inflación interanual (BCV)</w:t>
            </w:r>
          </w:p>
        </w:tc>
        <w:tc>
          <w:tcPr>
            <w:tcW w:type="dxa" w:w="5360"/>
            <w:shd w:fill="7A1F2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Observación</w:t>
            </w:r>
          </w:p>
        </w:tc>
      </w:tr>
      <w:tr>
        <w:tc>
          <w:tcPr>
            <w:tcW w:type="dxa" w:w="1400"/>
            <w:shd w:fill="FFFFFF"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2017</w:t>
            </w:r>
          </w:p>
        </w:tc>
        <w:tc>
          <w:tcPr>
            <w:tcW w:type="dxa" w:w="260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862,6%</w:t>
            </w:r>
          </w:p>
        </w:tc>
        <w:tc>
          <w:tcPr>
            <w:tcW w:type="dxa" w:w="536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Inicio de la hiperinflación</w:t>
            </w:r>
          </w:p>
        </w:tc>
      </w:tr>
      <w:tr>
        <w:tc>
          <w:tcPr>
            <w:tcW w:type="dxa" w:w="1400"/>
            <w:shd w:fill="F4EFE9"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2018</w:t>
            </w:r>
          </w:p>
        </w:tc>
        <w:tc>
          <w:tcPr>
            <w:tcW w:type="dxa" w:w="260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130.060%</w:t>
            </w:r>
          </w:p>
        </w:tc>
        <w:tc>
          <w:tcPr>
            <w:tcW w:type="dxa" w:w="536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Pico de la crisis; el FMI llegó a proyectar cifras de millones por ciento</w:t>
            </w:r>
          </w:p>
        </w:tc>
      </w:tr>
      <w:tr>
        <w:tc>
          <w:tcPr>
            <w:tcW w:type="dxa" w:w="1400"/>
            <w:shd w:fill="FFFFFF"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2019</w:t>
            </w:r>
          </w:p>
        </w:tc>
        <w:tc>
          <w:tcPr>
            <w:tcW w:type="dxa" w:w="260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9.585,5%</w:t>
            </w:r>
          </w:p>
        </w:tc>
        <w:tc>
          <w:tcPr>
            <w:tcW w:type="dxa" w:w="536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Desaceleración relativa, aún en hiperinflación</w:t>
            </w:r>
          </w:p>
        </w:tc>
      </w:tr>
      <w:tr>
        <w:tc>
          <w:tcPr>
            <w:tcW w:type="dxa" w:w="1400"/>
            <w:shd w:fill="F4EFE9"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2020</w:t>
            </w:r>
          </w:p>
        </w:tc>
        <w:tc>
          <w:tcPr>
            <w:tcW w:type="dxa" w:w="260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2.968,8%</w:t>
            </w:r>
          </w:p>
        </w:tc>
        <w:tc>
          <w:tcPr>
            <w:tcW w:type="dxa" w:w="536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Continúa la hiperinflación</w:t>
            </w:r>
          </w:p>
        </w:tc>
      </w:tr>
      <w:tr>
        <w:tc>
          <w:tcPr>
            <w:tcW w:type="dxa" w:w="1400"/>
            <w:shd w:fill="FFFFFF"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2021</w:t>
            </w:r>
          </w:p>
        </w:tc>
        <w:tc>
          <w:tcPr>
            <w:tcW w:type="dxa" w:w="260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686,4%</w:t>
            </w:r>
          </w:p>
        </w:tc>
        <w:tc>
          <w:tcPr>
            <w:tcW w:type="dxa" w:w="536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Último año con meses de inflación superior a 50% mensual (dic. 2020)</w:t>
            </w:r>
          </w:p>
        </w:tc>
      </w:tr>
      <w:tr>
        <w:tc>
          <w:tcPr>
            <w:tcW w:type="dxa" w:w="1400"/>
            <w:shd w:fill="F4EFE9"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2022–2024</w:t>
            </w:r>
          </w:p>
        </w:tc>
        <w:tc>
          <w:tcPr>
            <w:tcW w:type="dxa" w:w="260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~305% / ~193% / ~48%</w:t>
            </w:r>
          </w:p>
        </w:tc>
        <w:tc>
          <w:tcPr>
            <w:tcW w:type="dxa" w:w="536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Salida de la hiperinflación (formalmente, desde enero de 2022) y fuerte desaceleración en 2024</w:t>
            </w:r>
          </w:p>
        </w:tc>
      </w:tr>
    </w:tbl>
    <w:p>
      <w:pPr>
        <w:spacing w:after="220" w:before="80"/>
        <w:jc w:val="center"/>
      </w:pPr>
      <w:r>
        <w:rPr>
          <w:rFonts w:ascii="Calibri" w:cs="Calibri" w:eastAsia="Calibri" w:hAnsi="Calibri"/>
          <w:i/>
          <w:iCs/>
          <w:color w:val="5A5A5A"/>
          <w:sz w:val="18"/>
          <w:szCs w:val="18"/>
        </w:rPr>
        <w:t xml:space="preserve">Tabla 1. Inflación interanual en Venezuela, 2017–2024. Fuente: Banco Central de Venezuela (BCV); cifras de la Asamblea Nacional para el período sin reporte oficial (2016–2019).</w:t>
      </w:r>
    </w:p>
    <w:p>
      <w:pPr>
        <w:spacing w:after="160" w:line="300"/>
        <w:jc w:val="both"/>
      </w:pPr>
      <w:r>
        <w:rPr>
          <w:rFonts w:ascii="Calibri" w:cs="Calibri" w:eastAsia="Calibri" w:hAnsi="Calibri"/>
          <w:color w:val="2B2B2B"/>
          <w:sz w:val="22"/>
          <w:szCs w:val="22"/>
        </w:rPr>
        <w:t xml:space="preserve">Es importante señalar que existieron discrepancias notables entre las cifras oficiales del BCV y las estimaciones alternativas. La Asamblea Nacional de mayoría opositora, por ejemplo, calculó que la inflación acumulada entre 2013 y 2019 fue de 5.395.536.286%, muy por encima de lo reconocido oficialmente en su momento. El economista Steve Hanke, de la Universidad Johns Hopkins, ofreció durante esos años mediciones independientes basadas en el diferencial cambiario, que en varios meses ubicaron a Venezuela como el caso de hiperinflación más severo del mundo en ese momento.</w:t>
      </w:r>
    </w:p>
    <w:p>
      <w:pPr>
        <w:pStyle w:val="Heading2"/>
        <w:spacing w:after="160" w:before="260"/>
      </w:pPr>
      <w:r>
        <w:rPr>
          <w:rFonts w:ascii="Georgia" w:cs="Georgia" w:eastAsia="Georgia" w:hAnsi="Georgia"/>
          <w:b/>
          <w:bCs/>
          <w:color w:val="7A1F2B"/>
          <w:sz w:val="26"/>
          <w:szCs w:val="26"/>
        </w:rPr>
        <w:t xml:space="preserve">Factores que impulsaron la hiperinflación</w:t>
      </w:r>
    </w:p>
    <w:p>
      <w:pPr>
        <w:pStyle w:val="ListParagraph"/>
        <w:numPr>
          <w:ilvl w:val="0"/>
          <w:numId w:val="2"/>
        </w:numPr>
        <w:spacing w:after="100"/>
      </w:pPr>
      <w:r>
        <w:rPr>
          <w:rFonts w:ascii="Calibri" w:cs="Calibri" w:eastAsia="Calibri" w:hAnsi="Calibri"/>
          <w:color w:val="2B2B2B"/>
          <w:sz w:val="22"/>
          <w:szCs w:val="22"/>
        </w:rPr>
        <w:t xml:space="preserve">Financiamiento monetario del déficit fiscal: emisión de dinero por parte del BCV para cubrir el gasto público ante la caída de los ingresos petroleros.</w:t>
      </w:r>
    </w:p>
    <w:p>
      <w:pPr>
        <w:pStyle w:val="ListParagraph"/>
        <w:numPr>
          <w:ilvl w:val="0"/>
          <w:numId w:val="2"/>
        </w:numPr>
        <w:spacing w:after="100"/>
      </w:pPr>
      <w:r>
        <w:rPr>
          <w:rFonts w:ascii="Calibri" w:cs="Calibri" w:eastAsia="Calibri" w:hAnsi="Calibri"/>
          <w:color w:val="2B2B2B"/>
          <w:sz w:val="22"/>
          <w:szCs w:val="22"/>
        </w:rPr>
        <w:t xml:space="preserve">Colapso de la producción petrolera: PDVSA redujo drásticamente su producción por falta de inversión, fuga de personal técnico y problemas operativos, lo que recortó el ingreso en divisas del Estado.</w:t>
      </w:r>
    </w:p>
    <w:p>
      <w:pPr>
        <w:pStyle w:val="ListParagraph"/>
        <w:numPr>
          <w:ilvl w:val="0"/>
          <w:numId w:val="2"/>
        </w:numPr>
        <w:spacing w:after="100"/>
      </w:pPr>
      <w:r>
        <w:rPr>
          <w:rFonts w:ascii="Calibri" w:cs="Calibri" w:eastAsia="Calibri" w:hAnsi="Calibri"/>
          <w:color w:val="2B2B2B"/>
          <w:sz w:val="22"/>
          <w:szCs w:val="22"/>
        </w:rPr>
        <w:t xml:space="preserve">Control de cambios (2003–2018): el mercado cambiario oficial, con múltiples tipos de cambio administrados, generó distorsiones, escasez de bienes importados y un mercado paralelo de divisas que ancló las expectativas de precios.</w:t>
      </w:r>
    </w:p>
    <w:p>
      <w:pPr>
        <w:pStyle w:val="ListParagraph"/>
        <w:numPr>
          <w:ilvl w:val="0"/>
          <w:numId w:val="2"/>
        </w:numPr>
        <w:spacing w:after="100"/>
      </w:pPr>
      <w:r>
        <w:rPr>
          <w:rFonts w:ascii="Calibri" w:cs="Calibri" w:eastAsia="Calibri" w:hAnsi="Calibri"/>
          <w:color w:val="2B2B2B"/>
          <w:sz w:val="22"/>
          <w:szCs w:val="22"/>
        </w:rPr>
        <w:t xml:space="preserve">Interrupción de las estadísticas oficiales: la falta de publicación del índice de precios entre 2015 y 2019 alimentó la incertidumbre y dificultó el diagnóstico y la respuesta de política económica.</w:t>
      </w:r>
    </w:p>
    <w:p>
      <w:pPr>
        <w:pStyle w:val="ListParagraph"/>
        <w:numPr>
          <w:ilvl w:val="0"/>
          <w:numId w:val="2"/>
        </w:numPr>
        <w:spacing w:after="100"/>
      </w:pPr>
      <w:r>
        <w:rPr>
          <w:rFonts w:ascii="Calibri" w:cs="Calibri" w:eastAsia="Calibri" w:hAnsi="Calibri"/>
          <w:color w:val="2B2B2B"/>
          <w:sz w:val="22"/>
          <w:szCs w:val="22"/>
        </w:rPr>
        <w:t xml:space="preserve">Sanciones financieras internacionales: desde 2017, sanciones de Estados Unidos y otros países limitaron el acceso de Venezuela (y de PDVSA) a los mercados de crédito y a parte de sus reservas y activos en el exterior, agravando la restricción de divisas.</w:t>
      </w:r>
    </w:p>
    <w:p>
      <w:pPr>
        <w:pStyle w:val="ListParagraph"/>
        <w:numPr>
          <w:ilvl w:val="0"/>
          <w:numId w:val="2"/>
        </w:numPr>
        <w:spacing w:after="100"/>
      </w:pPr>
      <w:r>
        <w:rPr>
          <w:rFonts w:ascii="Calibri" w:cs="Calibri" w:eastAsia="Calibri" w:hAnsi="Calibri"/>
          <w:color w:val="2B2B2B"/>
          <w:sz w:val="22"/>
          <w:szCs w:val="22"/>
        </w:rPr>
        <w:t xml:space="preserve">Pérdida de confianza en el bolívar: la combinación de estos factores aceleró la velocidad de circulación del dinero, ya que la población buscaba deshacerse de bolívares lo más rápido posible.</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5. El fin de la hiperinflación y la dolarización de facto</w:t>
      </w:r>
    </w:p>
    <w:p>
      <w:pPr>
        <w:spacing w:after="160" w:line="300"/>
        <w:jc w:val="both"/>
      </w:pPr>
      <w:r>
        <w:rPr>
          <w:rFonts w:ascii="Calibri" w:cs="Calibri" w:eastAsia="Calibri" w:hAnsi="Calibri"/>
          <w:color w:val="2B2B2B"/>
          <w:sz w:val="22"/>
          <w:szCs w:val="22"/>
        </w:rPr>
        <w:t xml:space="preserve">Bajo la convención de Cagan, Venezuela dejó de estar en hiperinflación en enero de 2022, al completar doce meses consecutivos con inflación mensual inferior al 50%. El último mes con una variación superior a ese umbral fue diciembre de 2020, con 77,5% mensual, según cifras del BCV.</w:t>
      </w:r>
    </w:p>
    <w:p>
      <w:pPr>
        <w:spacing w:after="160" w:line="300"/>
        <w:jc w:val="both"/>
      </w:pPr>
      <w:r>
        <w:rPr>
          <w:rFonts w:ascii="Calibri" w:cs="Calibri" w:eastAsia="Calibri" w:hAnsi="Calibri"/>
          <w:color w:val="2B2B2B"/>
          <w:sz w:val="22"/>
          <w:szCs w:val="22"/>
        </w:rPr>
        <w:t xml:space="preserve">Varios factores explican esta relativa estabilización:</w:t>
      </w:r>
    </w:p>
    <w:p>
      <w:pPr>
        <w:pStyle w:val="ListParagraph"/>
        <w:numPr>
          <w:ilvl w:val="0"/>
          <w:numId w:val="2"/>
        </w:numPr>
        <w:spacing w:after="100"/>
      </w:pPr>
      <w:r>
        <w:rPr>
          <w:rFonts w:ascii="Calibri" w:cs="Calibri" w:eastAsia="Calibri" w:hAnsi="Calibri"/>
          <w:color w:val="2B2B2B"/>
          <w:sz w:val="22"/>
          <w:szCs w:val="22"/>
        </w:rPr>
        <w:t xml:space="preserve">Contracción de la masa monetaria: el BCV redujo el ritmo de emisión de bolívares en términos reales durante 2018-2020, lo que restó combustible al proceso inflacionario, aun cuando los precios continuaban ajustándose.</w:t>
      </w:r>
    </w:p>
    <w:p>
      <w:pPr>
        <w:pStyle w:val="ListParagraph"/>
        <w:numPr>
          <w:ilvl w:val="0"/>
          <w:numId w:val="2"/>
        </w:numPr>
        <w:spacing w:after="100"/>
      </w:pPr>
      <w:r>
        <w:rPr>
          <w:rFonts w:ascii="Calibri" w:cs="Calibri" w:eastAsia="Calibri" w:hAnsi="Calibri"/>
          <w:color w:val="2B2B2B"/>
          <w:sz w:val="22"/>
          <w:szCs w:val="22"/>
        </w:rPr>
        <w:t xml:space="preserve">Dolarización de facto: ante la pérdida de confianza en el bolívar, una parte creciente de las transacciones —sobre todo en las principales ciudades— comenzó a realizarse directamente en dólares estadounidenses, lo que redujo la dependencia de la moneda local y amortiguó el traspaso de la devaluación a los precios internos.</w:t>
      </w:r>
    </w:p>
    <w:p>
      <w:pPr>
        <w:pStyle w:val="ListParagraph"/>
        <w:numPr>
          <w:ilvl w:val="0"/>
          <w:numId w:val="2"/>
        </w:numPr>
        <w:spacing w:after="100"/>
      </w:pPr>
      <w:r>
        <w:rPr>
          <w:rFonts w:ascii="Calibri" w:cs="Calibri" w:eastAsia="Calibri" w:hAnsi="Calibri"/>
          <w:color w:val="2B2B2B"/>
          <w:sz w:val="22"/>
          <w:szCs w:val="22"/>
        </w:rPr>
        <w:t xml:space="preserve">Flexibilización parcial de controles: la eliminación de facto del control de cambios rígido y una mayor tolerancia a la actividad en divisas permitieron una mejor asignación de recursos y redujeron algunas distorsiones de precios relativas.</w:t>
      </w:r>
    </w:p>
    <w:p>
      <w:pPr>
        <w:spacing w:after="160" w:line="300"/>
        <w:jc w:val="both"/>
      </w:pPr>
      <w:r>
        <w:rPr>
          <w:rFonts w:ascii="Calibri" w:cs="Calibri" w:eastAsia="Calibri" w:hAnsi="Calibri"/>
          <w:color w:val="2B2B2B"/>
          <w:sz w:val="22"/>
          <w:szCs w:val="22"/>
        </w:rPr>
        <w:t xml:space="preserve">No obstante, la salida de la hiperinflación no significó el fin de la inflación alta. El país continuó registrando tasas anuales de tres dígitos en años como 2023 (189,8%, según el BCV), muy por encima del promedio de América Latina, antes de una desaceleración marcada en 2024.</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6. La situación actual (2025–2026)</w:t>
      </w:r>
    </w:p>
    <w:p>
      <w:pPr>
        <w:spacing w:after="160" w:line="300"/>
        <w:jc w:val="both"/>
      </w:pPr>
      <w:r>
        <w:rPr>
          <w:rFonts w:ascii="Calibri" w:cs="Calibri" w:eastAsia="Calibri" w:hAnsi="Calibri"/>
          <w:color w:val="2B2B2B"/>
          <w:sz w:val="22"/>
          <w:szCs w:val="22"/>
        </w:rPr>
        <w:t xml:space="preserve">Tras un 2024 inusualmente moderado para los estándares venezolanos —con una inflación anualizada de 47,96%, la más baja en más de una década—, la tendencia volvió a acelerarse en 2025 y en los primeros meses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20"/>
        <w:gridCol w:w="2220"/>
        <w:gridCol w:w="2320"/>
      </w:tblGrid>
      <w:tr>
        <w:trPr>
          <w:tblHeader/>
        </w:trPr>
        <w:tc>
          <w:tcPr>
            <w:tcW w:type="dxa" w:w="2600"/>
            <w:shd w:fill="7A1F2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Período</w:t>
            </w:r>
          </w:p>
        </w:tc>
        <w:tc>
          <w:tcPr>
            <w:tcW w:type="dxa" w:w="2220"/>
            <w:shd w:fill="7A1F2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Inflación mensual</w:t>
            </w:r>
          </w:p>
        </w:tc>
        <w:tc>
          <w:tcPr>
            <w:tcW w:type="dxa" w:w="2220"/>
            <w:shd w:fill="7A1F2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Acumulada</w:t>
            </w:r>
          </w:p>
        </w:tc>
        <w:tc>
          <w:tcPr>
            <w:tcW w:type="dxa" w:w="2320"/>
            <w:shd w:fill="7A1F2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Interanual</w:t>
            </w:r>
          </w:p>
        </w:tc>
      </w:tr>
      <w:tr>
        <w:tc>
          <w:tcPr>
            <w:tcW w:type="dxa" w:w="2600"/>
            <w:shd w:fill="FFFFFF"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2025 (cierre de año)</w:t>
            </w:r>
          </w:p>
        </w:tc>
        <w:tc>
          <w:tcPr>
            <w:tcW w:type="dxa" w:w="22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w:t>
            </w:r>
          </w:p>
        </w:tc>
        <w:tc>
          <w:tcPr>
            <w:tcW w:type="dxa" w:w="22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w:t>
            </w:r>
          </w:p>
        </w:tc>
        <w:tc>
          <w:tcPr>
            <w:tcW w:type="dxa" w:w="23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475,3%</w:t>
            </w:r>
          </w:p>
        </w:tc>
      </w:tr>
      <w:tr>
        <w:tc>
          <w:tcPr>
            <w:tcW w:type="dxa" w:w="2600"/>
            <w:shd w:fill="F4EFE9"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Enero–febrero 2026</w:t>
            </w:r>
          </w:p>
        </w:tc>
        <w:tc>
          <w:tcPr>
            <w:tcW w:type="dxa" w:w="222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w:t>
            </w:r>
          </w:p>
        </w:tc>
        <w:tc>
          <w:tcPr>
            <w:tcW w:type="dxa" w:w="222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51,9%</w:t>
            </w:r>
          </w:p>
        </w:tc>
        <w:tc>
          <w:tcPr>
            <w:tcW w:type="dxa" w:w="232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w:t>
            </w:r>
          </w:p>
        </w:tc>
      </w:tr>
      <w:tr>
        <w:tc>
          <w:tcPr>
            <w:tcW w:type="dxa" w:w="2600"/>
            <w:shd w:fill="FFFFFF"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Marzo 2026</w:t>
            </w:r>
          </w:p>
        </w:tc>
        <w:tc>
          <w:tcPr>
            <w:tcW w:type="dxa" w:w="22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13,1%</w:t>
            </w:r>
          </w:p>
        </w:tc>
        <w:tc>
          <w:tcPr>
            <w:tcW w:type="dxa" w:w="22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71,8%</w:t>
            </w:r>
          </w:p>
        </w:tc>
        <w:tc>
          <w:tcPr>
            <w:tcW w:type="dxa" w:w="23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649,5%</w:t>
            </w:r>
          </w:p>
        </w:tc>
      </w:tr>
      <w:tr>
        <w:tc>
          <w:tcPr>
            <w:tcW w:type="dxa" w:w="2600"/>
            <w:shd w:fill="F4EFE9"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Abril 2026</w:t>
            </w:r>
          </w:p>
        </w:tc>
        <w:tc>
          <w:tcPr>
            <w:tcW w:type="dxa" w:w="222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10,6%</w:t>
            </w:r>
          </w:p>
        </w:tc>
        <w:tc>
          <w:tcPr>
            <w:tcW w:type="dxa" w:w="222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w:t>
            </w:r>
          </w:p>
        </w:tc>
        <w:tc>
          <w:tcPr>
            <w:tcW w:type="dxa" w:w="2320"/>
            <w:shd w:fill="F4EFE9"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w:t>
            </w:r>
          </w:p>
        </w:tc>
      </w:tr>
      <w:tr>
        <w:tc>
          <w:tcPr>
            <w:tcW w:type="dxa" w:w="2600"/>
            <w:shd w:fill="FFFFFF" w:color="auto" w:val="clear"/>
            <w:tcMar>
              <w:top w:type="dxa" w:w="90"/>
              <w:left w:type="dxa" w:w="120"/>
              <w:bottom w:type="dxa" w:w="90"/>
              <w:right w:type="dxa" w:w="120"/>
            </w:tcMar>
            <w:vAlign w:val="center"/>
          </w:tcPr>
          <w:p>
            <w:pPr>
              <w:jc w:val="left"/>
            </w:pPr>
            <w:r>
              <w:rPr>
                <w:rFonts w:ascii="Calibri" w:cs="Calibri" w:eastAsia="Calibri" w:hAnsi="Calibri"/>
                <w:color w:val="2B2B2B"/>
                <w:sz w:val="20"/>
                <w:szCs w:val="20"/>
              </w:rPr>
              <w:t xml:space="preserve">Junio 2026</w:t>
            </w:r>
          </w:p>
        </w:tc>
        <w:tc>
          <w:tcPr>
            <w:tcW w:type="dxa" w:w="22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13,8%</w:t>
            </w:r>
          </w:p>
        </w:tc>
        <w:tc>
          <w:tcPr>
            <w:tcW w:type="dxa" w:w="22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129,8%</w:t>
            </w:r>
          </w:p>
        </w:tc>
        <w:tc>
          <w:tcPr>
            <w:tcW w:type="dxa" w:w="2320"/>
            <w:shd w:fill="FFFFFF" w:color="auto" w:val="clear"/>
            <w:tcMar>
              <w:top w:type="dxa" w:w="90"/>
              <w:left w:type="dxa" w:w="120"/>
              <w:bottom w:type="dxa" w:w="90"/>
              <w:right w:type="dxa" w:w="120"/>
            </w:tcMar>
            <w:vAlign w:val="center"/>
          </w:tcPr>
          <w:p>
            <w:pPr>
              <w:jc w:val="center"/>
            </w:pPr>
            <w:r>
              <w:rPr>
                <w:rFonts w:ascii="Calibri" w:cs="Calibri" w:eastAsia="Calibri" w:hAnsi="Calibri"/>
                <w:color w:val="2B2B2B"/>
                <w:sz w:val="20"/>
                <w:szCs w:val="20"/>
              </w:rPr>
              <w:t xml:space="preserve">544,1%</w:t>
            </w:r>
          </w:p>
        </w:tc>
      </w:tr>
    </w:tbl>
    <w:p>
      <w:pPr>
        <w:spacing w:after="220" w:before="80"/>
        <w:jc w:val="center"/>
      </w:pPr>
      <w:r>
        <w:rPr>
          <w:rFonts w:ascii="Calibri" w:cs="Calibri" w:eastAsia="Calibri" w:hAnsi="Calibri"/>
          <w:i/>
          <w:iCs/>
          <w:color w:val="5A5A5A"/>
          <w:sz w:val="18"/>
          <w:szCs w:val="18"/>
        </w:rPr>
        <w:t xml:space="preserve">Tabla 2. Inflación reportada por el BCV, 2025–2026. Fuente: Banco Central de Venezuela (BCV), a través de sus reportes del Índice Nacional de Precios al Consumidor (INPC).</w:t>
      </w:r>
    </w:p>
    <w:p>
      <w:pPr>
        <w:spacing w:after="160" w:line="300"/>
        <w:jc w:val="both"/>
      </w:pPr>
      <w:r>
        <w:rPr>
          <w:rFonts w:ascii="Calibri" w:cs="Calibri" w:eastAsia="Calibri" w:hAnsi="Calibri"/>
          <w:color w:val="2B2B2B"/>
          <w:sz w:val="22"/>
          <w:szCs w:val="22"/>
        </w:rPr>
        <w:t xml:space="preserve">Las cifras muestran un repunte marcado de la inflación en 2025 y 2026 respecto al respiro relativo de 2024, aunque muy por debajo de los niveles hiperinflacionarios de 2018-2019. Entre las causas señaladas por analistas económicos y observadores independientes se encuentran:</w:t>
      </w:r>
    </w:p>
    <w:p>
      <w:pPr>
        <w:pStyle w:val="ListParagraph"/>
        <w:numPr>
          <w:ilvl w:val="0"/>
          <w:numId w:val="2"/>
        </w:numPr>
        <w:spacing w:after="100"/>
      </w:pPr>
      <w:r>
        <w:rPr>
          <w:rFonts w:ascii="Calibri" w:cs="Calibri" w:eastAsia="Calibri" w:hAnsi="Calibri"/>
          <w:color w:val="2B2B2B"/>
          <w:sz w:val="22"/>
          <w:szCs w:val="22"/>
        </w:rPr>
        <w:t xml:space="preserve">Una producción petrolera que continúa por debajo de su capacidad histórica, limitando el ingreso de divisas del Estado.</w:t>
      </w:r>
    </w:p>
    <w:p>
      <w:pPr>
        <w:pStyle w:val="ListParagraph"/>
        <w:numPr>
          <w:ilvl w:val="0"/>
          <w:numId w:val="2"/>
        </w:numPr>
        <w:spacing w:after="100"/>
      </w:pPr>
      <w:r>
        <w:rPr>
          <w:rFonts w:ascii="Calibri" w:cs="Calibri" w:eastAsia="Calibri" w:hAnsi="Calibri"/>
          <w:color w:val="2B2B2B"/>
          <w:sz w:val="22"/>
          <w:szCs w:val="22"/>
        </w:rPr>
        <w:t xml:space="preserve">El mantenimiento de sanciones internacionales que restringen el financiamiento externo y el comercio petrolero.</w:t>
      </w:r>
    </w:p>
    <w:p>
      <w:pPr>
        <w:pStyle w:val="ListParagraph"/>
        <w:numPr>
          <w:ilvl w:val="0"/>
          <w:numId w:val="2"/>
        </w:numPr>
        <w:spacing w:after="100"/>
      </w:pPr>
      <w:r>
        <w:rPr>
          <w:rFonts w:ascii="Calibri" w:cs="Calibri" w:eastAsia="Calibri" w:hAnsi="Calibri"/>
          <w:color w:val="2B2B2B"/>
          <w:sz w:val="22"/>
          <w:szCs w:val="22"/>
        </w:rPr>
        <w:t xml:space="preserve">Un incremento de la liquidez monetaria en bolívares —según estimaciones de Banca y Negocios, superior al 43% en los primeros meses de 2026— que vuelve a presionar los precios.</w:t>
      </w:r>
    </w:p>
    <w:p>
      <w:pPr>
        <w:pStyle w:val="ListParagraph"/>
        <w:numPr>
          <w:ilvl w:val="0"/>
          <w:numId w:val="2"/>
        </w:numPr>
        <w:spacing w:after="100"/>
      </w:pPr>
      <w:r>
        <w:rPr>
          <w:rFonts w:ascii="Calibri" w:cs="Calibri" w:eastAsia="Calibri" w:hAnsi="Calibri"/>
          <w:color w:val="2B2B2B"/>
          <w:sz w:val="22"/>
          <w:szCs w:val="22"/>
        </w:rPr>
        <w:t xml:space="preserve">La devaluación acelerada del bolívar frente al dólar, que se trasladó con rapidez a los precios internos dada la elevada dolarización de facto de la economía.</w:t>
      </w:r>
    </w:p>
    <w:p>
      <w:pPr>
        <w:spacing w:after="160" w:line="300"/>
        <w:jc w:val="both"/>
      </w:pPr>
      <w:r>
        <w:rPr>
          <w:rFonts w:ascii="Calibri" w:cs="Calibri" w:eastAsia="Calibri" w:hAnsi="Calibri"/>
          <w:color w:val="2B2B2B"/>
          <w:sz w:val="22"/>
          <w:szCs w:val="22"/>
        </w:rPr>
        <w:t xml:space="preserve">Es habitual que coexistan distintas mediciones de la inflación venezolana: las cifras oficiales del BCV y las estimaciones independientes de organizaciones como el Observatorio Venezolano de Finanzas (OVF) o firmas privadas como Ecoanalítica, que en ocasiones difieren por metodología, cobertura geográfica o composición de la canasta de bienes medida. Esta pluralidad de fuentes conviene tenerla presente al consultar cualquier cifra sobre la economía venezolana.</w:t>
      </w:r>
    </w:p>
    <w:tbl>
      <w:tblPr>
        <w:tblW w:type="pct" w:w="100%"/>
        <w:tblBorders>
          <w:top w:val="single" w:color="C9A15A" w:sz="4"/>
          <w:left w:val="single" w:color="7A1F2B" w:sz="24"/>
          <w:bottom w:val="single" w:color="C9A15A" w:sz="4"/>
          <w:right w:val="none" w:color="FFFFFF" w:sz="0"/>
          <w:insideH w:val="none" w:color="FFFFFF" w:sz="0"/>
          <w:insideV w:val="none" w:color="FFFFFF" w:sz="0"/>
        </w:tblBorders>
      </w:tblPr>
      <w:tblGrid>
        <w:gridCol w:w="100"/>
      </w:tblGrid>
      <w:tr>
        <w:tc>
          <w:tcPr>
            <w:shd w:fill="F4EFE9" w:color="auto" w:val="clear"/>
            <w:tcMar>
              <w:top w:type="dxa" w:w="200"/>
              <w:left w:type="dxa" w:w="300"/>
              <w:bottom w:type="dxa" w:w="200"/>
              <w:right w:type="dxa" w:w="300"/>
            </w:tcMar>
          </w:tcPr>
          <w:p>
            <w:pPr>
              <w:spacing w:after="80"/>
            </w:pPr>
            <w:r>
              <w:rPr>
                <w:rFonts w:ascii="Calibri" w:cs="Calibri" w:eastAsia="Calibri" w:hAnsi="Calibri"/>
                <w:i/>
                <w:iCs/>
                <w:color w:val="2B2B2B"/>
                <w:sz w:val="22"/>
                <w:szCs w:val="22"/>
              </w:rPr>
              <w:t xml:space="preserve">Todos los pronósticos apuntan a una inflación elevada, de tres dígitos, para el cierre de 2026, aunque muy alejada de los registros extremos de la hiperinflación de 2018.</w:t>
            </w:r>
          </w:p>
          <w:p>
            <w:pPr>
              <w:jc w:val="right"/>
            </w:pPr>
            <w:r>
              <w:rPr>
                <w:rFonts w:ascii="Calibri" w:cs="Calibri" w:eastAsia="Calibri" w:hAnsi="Calibri"/>
                <w:color w:val="5A5A5A"/>
                <w:sz w:val="20"/>
                <w:szCs w:val="20"/>
              </w:rPr>
              <w:t xml:space="preserve">— Síntesis de proyecciones de analistas económicos, primer semestre de 2026</w:t>
            </w:r>
          </w:p>
        </w:tc>
      </w:tr>
    </w:tbl>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7. Consecuencias económicas y sociales</w:t>
      </w:r>
    </w:p>
    <w:p>
      <w:pPr>
        <w:pStyle w:val="Heading2"/>
        <w:spacing w:after="160" w:before="260"/>
      </w:pPr>
      <w:r>
        <w:rPr>
          <w:rFonts w:ascii="Georgia" w:cs="Georgia" w:eastAsia="Georgia" w:hAnsi="Georgia"/>
          <w:b/>
          <w:bCs/>
          <w:color w:val="7A1F2B"/>
          <w:sz w:val="26"/>
          <w:szCs w:val="26"/>
        </w:rPr>
        <w:t xml:space="preserve">Pérdida del poder adquisitivo</w:t>
      </w:r>
    </w:p>
    <w:p>
      <w:pPr>
        <w:spacing w:after="160" w:line="300"/>
        <w:jc w:val="both"/>
      </w:pPr>
      <w:r>
        <w:rPr>
          <w:rFonts w:ascii="Calibri" w:cs="Calibri" w:eastAsia="Calibri" w:hAnsi="Calibri"/>
          <w:color w:val="2B2B2B"/>
          <w:sz w:val="22"/>
          <w:szCs w:val="22"/>
        </w:rPr>
        <w:t xml:space="preserve">El deterioro del salario mínimo en términos reales ha sido uno de los efectos más visibles de la crisis. Durante los años de hiperinflación, el salario mínimo llegó a representar apenas unos pocos dólares mensuales, muy por debajo del costo de una canasta básica de alimentos, lo que erosionó de forma drástica la capacidad de consumo de la población asalariada.</w:t>
      </w:r>
    </w:p>
    <w:p>
      <w:pPr>
        <w:pStyle w:val="Heading2"/>
        <w:spacing w:after="160" w:before="260"/>
      </w:pPr>
      <w:r>
        <w:rPr>
          <w:rFonts w:ascii="Georgia" w:cs="Georgia" w:eastAsia="Georgia" w:hAnsi="Georgia"/>
          <w:b/>
          <w:bCs/>
          <w:color w:val="7A1F2B"/>
          <w:sz w:val="26"/>
          <w:szCs w:val="26"/>
        </w:rPr>
        <w:t xml:space="preserve">Dolarización de la economía cotidiana</w:t>
      </w:r>
    </w:p>
    <w:p>
      <w:pPr>
        <w:spacing w:after="160" w:line="300"/>
        <w:jc w:val="both"/>
      </w:pPr>
      <w:r>
        <w:rPr>
          <w:rFonts w:ascii="Calibri" w:cs="Calibri" w:eastAsia="Calibri" w:hAnsi="Calibri"/>
          <w:color w:val="2B2B2B"/>
          <w:sz w:val="22"/>
          <w:szCs w:val="22"/>
        </w:rPr>
        <w:t xml:space="preserve">Uno de los cambios estructurales más duraderos ha sido la dolarización de facto: comercios, alquileres, honorarios profesionales y buena parte de los salarios en el sector privado formal comenzaron a fijarse o referenciarse en dólares, mientras el bolívar quedó relegado a transacciones menores y al pago de servicios públicos.</w:t>
      </w:r>
    </w:p>
    <w:p>
      <w:pPr>
        <w:pStyle w:val="Heading2"/>
        <w:spacing w:after="160" w:before="260"/>
      </w:pPr>
      <w:r>
        <w:rPr>
          <w:rFonts w:ascii="Georgia" w:cs="Georgia" w:eastAsia="Georgia" w:hAnsi="Georgia"/>
          <w:b/>
          <w:bCs/>
          <w:color w:val="7A1F2B"/>
          <w:sz w:val="26"/>
          <w:szCs w:val="26"/>
        </w:rPr>
        <w:t xml:space="preserve">Migración</w:t>
      </w:r>
    </w:p>
    <w:p>
      <w:pPr>
        <w:spacing w:after="160" w:line="300"/>
        <w:jc w:val="both"/>
      </w:pPr>
      <w:r>
        <w:rPr>
          <w:rFonts w:ascii="Calibri" w:cs="Calibri" w:eastAsia="Calibri" w:hAnsi="Calibri"/>
          <w:color w:val="2B2B2B"/>
          <w:sz w:val="22"/>
          <w:szCs w:val="22"/>
        </w:rPr>
        <w:t xml:space="preserve">La combinación de hiperinflación, contracción económica y deterioro de los servicios públicos —salud, electricidad, agua, transporte— impulsó uno de los mayores movimientos migratorios registrados en América Latina en las últimas décadas, con millones de venezolanos radicados en países vecinos y otras regiones del mundo.</w:t>
      </w:r>
    </w:p>
    <w:p>
      <w:pPr>
        <w:pStyle w:val="Heading2"/>
        <w:spacing w:after="160" w:before="260"/>
      </w:pPr>
      <w:r>
        <w:rPr>
          <w:rFonts w:ascii="Georgia" w:cs="Georgia" w:eastAsia="Georgia" w:hAnsi="Georgia"/>
          <w:b/>
          <w:bCs/>
          <w:color w:val="7A1F2B"/>
          <w:sz w:val="26"/>
          <w:szCs w:val="26"/>
        </w:rPr>
        <w:t xml:space="preserve">Desigualdad y fragmentación económica</w:t>
      </w:r>
    </w:p>
    <w:p>
      <w:pPr>
        <w:spacing w:after="160" w:line="300"/>
        <w:jc w:val="both"/>
      </w:pPr>
      <w:r>
        <w:rPr>
          <w:rFonts w:ascii="Calibri" w:cs="Calibri" w:eastAsia="Calibri" w:hAnsi="Calibri"/>
          <w:color w:val="2B2B2B"/>
          <w:sz w:val="22"/>
          <w:szCs w:val="22"/>
        </w:rPr>
        <w:t xml:space="preserve">La dolarización de facto no llegó por igual a todo el país ni a todos los sectores sociales. Mientras una parte de la población, con acceso a remesas o ingresos en divisas, logró amortiguar el impacto de la inflación, otro sector —dependiente de ingresos en bolívares, pensiones o salarios públicos— continuó especialmente expuesto a la pérdida de poder adquisitivo, ampliando las brechas de desigualdad.</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8. Perspectivas y desafíos</w:t>
      </w:r>
    </w:p>
    <w:p>
      <w:pPr>
        <w:spacing w:after="160" w:line="300"/>
        <w:jc w:val="both"/>
      </w:pPr>
      <w:r>
        <w:rPr>
          <w:rFonts w:ascii="Calibri" w:cs="Calibri" w:eastAsia="Calibri" w:hAnsi="Calibri"/>
          <w:color w:val="2B2B2B"/>
          <w:sz w:val="22"/>
          <w:szCs w:val="22"/>
        </w:rPr>
        <w:t xml:space="preserve">Superar de forma sostenida la inflación alta —no solo la hiperinflación— requeriría, según el consenso de buena parte de los analistas económicos consultados en la prensa especializada, avances simultáneos en varios frentes:</w:t>
      </w:r>
    </w:p>
    <w:p>
      <w:pPr>
        <w:pStyle w:val="ListParagraph"/>
        <w:numPr>
          <w:ilvl w:val="0"/>
          <w:numId w:val="2"/>
        </w:numPr>
        <w:spacing w:after="100"/>
      </w:pPr>
      <w:r>
        <w:rPr>
          <w:rFonts w:ascii="Calibri" w:cs="Calibri" w:eastAsia="Calibri" w:hAnsi="Calibri"/>
          <w:color w:val="2B2B2B"/>
          <w:sz w:val="22"/>
          <w:szCs w:val="22"/>
        </w:rPr>
        <w:t xml:space="preserve">Disciplina fiscal y monetaria sostenida, evitando el retorno al financiamiento del gasto público mediante emisión monetaria.</w:t>
      </w:r>
    </w:p>
    <w:p>
      <w:pPr>
        <w:pStyle w:val="ListParagraph"/>
        <w:numPr>
          <w:ilvl w:val="0"/>
          <w:numId w:val="2"/>
        </w:numPr>
        <w:spacing w:after="100"/>
      </w:pPr>
      <w:r>
        <w:rPr>
          <w:rFonts w:ascii="Calibri" w:cs="Calibri" w:eastAsia="Calibri" w:hAnsi="Calibri"/>
          <w:color w:val="2B2B2B"/>
          <w:sz w:val="22"/>
          <w:szCs w:val="22"/>
        </w:rPr>
        <w:t xml:space="preserve">Recuperación de la producción petrolera y diversificación de las fuentes de divisas del país.</w:t>
      </w:r>
    </w:p>
    <w:p>
      <w:pPr>
        <w:pStyle w:val="ListParagraph"/>
        <w:numPr>
          <w:ilvl w:val="0"/>
          <w:numId w:val="2"/>
        </w:numPr>
        <w:spacing w:after="100"/>
      </w:pPr>
      <w:r>
        <w:rPr>
          <w:rFonts w:ascii="Calibri" w:cs="Calibri" w:eastAsia="Calibri" w:hAnsi="Calibri"/>
          <w:color w:val="2B2B2B"/>
          <w:sz w:val="22"/>
          <w:szCs w:val="22"/>
        </w:rPr>
        <w:t xml:space="preserve">Un marco de reglas claras y estables para la inversión privada, nacional y extranjera.</w:t>
      </w:r>
    </w:p>
    <w:p>
      <w:pPr>
        <w:pStyle w:val="ListParagraph"/>
        <w:numPr>
          <w:ilvl w:val="0"/>
          <w:numId w:val="2"/>
        </w:numPr>
        <w:spacing w:after="100"/>
      </w:pPr>
      <w:r>
        <w:rPr>
          <w:rFonts w:ascii="Calibri" w:cs="Calibri" w:eastAsia="Calibri" w:hAnsi="Calibri"/>
          <w:color w:val="2B2B2B"/>
          <w:sz w:val="22"/>
          <w:szCs w:val="22"/>
        </w:rPr>
        <w:t xml:space="preserve">Reconstrucción de la confianza en la moneda local y de la capacidad estadística e institucional del Banco Central.</w:t>
      </w:r>
    </w:p>
    <w:p>
      <w:pPr>
        <w:spacing w:after="160" w:line="300"/>
        <w:jc w:val="both"/>
      </w:pPr>
      <w:r>
        <w:rPr>
          <w:rFonts w:ascii="Calibri" w:cs="Calibri" w:eastAsia="Calibri" w:hAnsi="Calibri"/>
          <w:color w:val="2B2B2B"/>
          <w:sz w:val="22"/>
          <w:szCs w:val="22"/>
        </w:rPr>
        <w:t xml:space="preserve">El futuro de la inflación en Venezuela seguirá dependiendo, en gran medida, de factores tanto internos —política fiscal y monetaria, producción petrolera— como externos, entre ellos el marco de sanciones internacionales y el comportamiento de los precios globales del petróleo. Se trata de un proceso cuya evolución conviene seguir a través de fuentes primarias actualizadas, dado el dinamismo con el que cambian las cifras.</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9. Conclusión</w:t>
      </w:r>
    </w:p>
    <w:p>
      <w:pPr>
        <w:spacing w:after="160" w:line="300"/>
        <w:jc w:val="both"/>
      </w:pPr>
      <w:r>
        <w:rPr>
          <w:rFonts w:ascii="Calibri" w:cs="Calibri" w:eastAsia="Calibri" w:hAnsi="Calibri"/>
          <w:color w:val="2B2B2B"/>
          <w:sz w:val="22"/>
          <w:szCs w:val="22"/>
        </w:rPr>
        <w:t xml:space="preserve">La historia reciente de la inflación en Venezuela ilustra, de forma extrema, cómo la combinación de desequilibrios fiscales, dependencia de una sola fuente de ingresos, controles administrativos de precios y cambio, y pérdida de confianza institucional puede desembocar en una de las crisis inflacionarias más severas registradas en la historia económica moderna.</w:t>
      </w:r>
    </w:p>
    <w:p>
      <w:pPr>
        <w:spacing w:after="160" w:line="300"/>
        <w:jc w:val="both"/>
      </w:pPr>
      <w:r>
        <w:rPr>
          <w:rFonts w:ascii="Calibri" w:cs="Calibri" w:eastAsia="Calibri" w:hAnsi="Calibri"/>
          <w:color w:val="2B2B2B"/>
          <w:sz w:val="22"/>
          <w:szCs w:val="22"/>
        </w:rPr>
        <w:t xml:space="preserve">La salida formal de la hiperinflación en 2022 y la desaceleración observada en 2024 mostraron que el fenómeno puede moderarse, pero el repunte registrado en 2025 y 2026 confirma que la estabilidad de precios en Venezuela sigue siendo frágil y dependiente de decisiones de política económica sostenidas en el tiempo, más que de episodios puntuales de mejora.</w:t>
      </w:r>
    </w:p>
    <w:p>
      <w:pPr>
        <w:spacing w:after="160" w:line="300"/>
        <w:jc w:val="both"/>
      </w:pPr>
      <w:r>
        <w:rPr>
          <w:rFonts w:ascii="Calibri" w:cs="Calibri" w:eastAsia="Calibri" w:hAnsi="Calibri"/>
          <w:color w:val="2B2B2B"/>
          <w:sz w:val="22"/>
          <w:szCs w:val="22"/>
        </w:rPr>
        <w:t xml:space="preserve">Comprender las causas estructurales de este proceso —y no solo sus cifras más dramáticas— resulta esencial para interpretar el presente económico del país y cualquier escenario futuro de estabilización.</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10. Glosario</w:t>
      </w:r>
    </w:p>
    <w:p>
      <w:pPr>
        <w:pStyle w:val="ListParagraph"/>
        <w:numPr>
          <w:ilvl w:val="0"/>
          <w:numId w:val="2"/>
        </w:numPr>
        <w:spacing w:after="100"/>
      </w:pPr>
      <w:r>
        <w:rPr>
          <w:rFonts w:ascii="Calibri" w:cs="Calibri" w:eastAsia="Calibri" w:hAnsi="Calibri"/>
          <w:color w:val="2B2B2B"/>
          <w:sz w:val="22"/>
          <w:szCs w:val="22"/>
        </w:rPr>
        <w:t xml:space="preserve">BCV: Banco Central de Venezuela, autoridad monetaria del país.</w:t>
      </w:r>
    </w:p>
    <w:p>
      <w:pPr>
        <w:pStyle w:val="ListParagraph"/>
        <w:numPr>
          <w:ilvl w:val="0"/>
          <w:numId w:val="2"/>
        </w:numPr>
        <w:spacing w:after="100"/>
      </w:pPr>
      <w:r>
        <w:rPr>
          <w:rFonts w:ascii="Calibri" w:cs="Calibri" w:eastAsia="Calibri" w:hAnsi="Calibri"/>
          <w:color w:val="2B2B2B"/>
          <w:sz w:val="22"/>
          <w:szCs w:val="22"/>
        </w:rPr>
        <w:t xml:space="preserve">INPC: Índice Nacional de Precios al Consumidor, indicador oficial usado para medir la inflación.</w:t>
      </w:r>
    </w:p>
    <w:p>
      <w:pPr>
        <w:pStyle w:val="ListParagraph"/>
        <w:numPr>
          <w:ilvl w:val="0"/>
          <w:numId w:val="2"/>
        </w:numPr>
        <w:spacing w:after="100"/>
      </w:pPr>
      <w:r>
        <w:rPr>
          <w:rFonts w:ascii="Calibri" w:cs="Calibri" w:eastAsia="Calibri" w:hAnsi="Calibri"/>
          <w:color w:val="2B2B2B"/>
          <w:sz w:val="22"/>
          <w:szCs w:val="22"/>
        </w:rPr>
        <w:t xml:space="preserve">Hiperinflación: inflación mensual superior al 50%, según el criterio de Cagan.</w:t>
      </w:r>
    </w:p>
    <w:p>
      <w:pPr>
        <w:pStyle w:val="ListParagraph"/>
        <w:numPr>
          <w:ilvl w:val="0"/>
          <w:numId w:val="2"/>
        </w:numPr>
        <w:spacing w:after="100"/>
      </w:pPr>
      <w:r>
        <w:rPr>
          <w:rFonts w:ascii="Calibri" w:cs="Calibri" w:eastAsia="Calibri" w:hAnsi="Calibri"/>
          <w:color w:val="2B2B2B"/>
          <w:sz w:val="22"/>
          <w:szCs w:val="22"/>
        </w:rPr>
        <w:t xml:space="preserve">OVF: Observatorio Venezolano de Finanzas, entidad independiente que elabora estimaciones alternativas de inflación.</w:t>
      </w:r>
    </w:p>
    <w:p>
      <w:pPr>
        <w:pStyle w:val="ListParagraph"/>
        <w:numPr>
          <w:ilvl w:val="0"/>
          <w:numId w:val="2"/>
        </w:numPr>
        <w:spacing w:after="100"/>
      </w:pPr>
      <w:r>
        <w:rPr>
          <w:rFonts w:ascii="Calibri" w:cs="Calibri" w:eastAsia="Calibri" w:hAnsi="Calibri"/>
          <w:color w:val="2B2B2B"/>
          <w:sz w:val="22"/>
          <w:szCs w:val="22"/>
        </w:rPr>
        <w:t xml:space="preserve">Dolarización de facto: uso extendido del dólar estadounidense en transacciones cotidianas sin que sea la moneda de curso legal exclusiva.</w:t>
      </w:r>
    </w:p>
    <w:p>
      <w:pPr>
        <w:pStyle w:val="ListParagraph"/>
        <w:numPr>
          <w:ilvl w:val="0"/>
          <w:numId w:val="2"/>
        </w:numPr>
        <w:spacing w:after="100"/>
      </w:pPr>
      <w:r>
        <w:rPr>
          <w:rFonts w:ascii="Calibri" w:cs="Calibri" w:eastAsia="Calibri" w:hAnsi="Calibri"/>
          <w:color w:val="2B2B2B"/>
          <w:sz w:val="22"/>
          <w:szCs w:val="22"/>
        </w:rPr>
        <w:t xml:space="preserve">PDVSA: Petróleos de Venezuela, S.A., empresa petrolera estatal.</w:t>
      </w:r>
    </w:p>
    <w:p>
      <w:pPr>
        <w:pStyle w:val="ListParagraph"/>
        <w:numPr>
          <w:ilvl w:val="0"/>
          <w:numId w:val="2"/>
        </w:numPr>
        <w:spacing w:after="100"/>
      </w:pPr>
      <w:r>
        <w:rPr>
          <w:rFonts w:ascii="Calibri" w:cs="Calibri" w:eastAsia="Calibri" w:hAnsi="Calibri"/>
          <w:color w:val="2B2B2B"/>
          <w:sz w:val="22"/>
          <w:szCs w:val="22"/>
        </w:rPr>
        <w:t xml:space="preserve">Financiamiento monetario: cobertura del déficit fiscal mediante la emisión de dinero por parte del banco central.</w:t>
      </w:r>
    </w:p>
    <w:p>
      <w:r>
        <w:br w:type="page"/>
      </w:r>
    </w:p>
    <w:p>
      <w:pPr>
        <w:pStyle w:val="Heading1"/>
        <w:pBdr>
          <w:bottom w:val="single" w:color="C9A15A" w:sz="8" w:space="4"/>
        </w:pBdr>
        <w:spacing w:after="240" w:before="200"/>
      </w:pPr>
      <w:r>
        <w:rPr>
          <w:rFonts w:ascii="Georgia" w:cs="Georgia" w:eastAsia="Georgia" w:hAnsi="Georgia"/>
          <w:b/>
          <w:bCs/>
          <w:color w:val="7A1F2B"/>
          <w:sz w:val="34"/>
          <w:szCs w:val="34"/>
        </w:rPr>
        <w:t xml:space="preserve">11. Fuentes y referencias</w:t>
      </w:r>
    </w:p>
    <w:p>
      <w:pPr>
        <w:spacing w:after="160" w:line="300"/>
        <w:jc w:val="both"/>
      </w:pPr>
      <w:r>
        <w:rPr>
          <w:rFonts w:ascii="Calibri" w:cs="Calibri" w:eastAsia="Calibri" w:hAnsi="Calibri"/>
          <w:color w:val="2B2B2B"/>
          <w:sz w:val="22"/>
          <w:szCs w:val="22"/>
        </w:rPr>
        <w:t xml:space="preserve">Banco Central de Venezuela (BCV) — Índice Nacional de Precios al Consumidor e informes estadísticos, bcv.org.ve</w:t>
      </w:r>
    </w:p>
    <w:p>
      <w:pPr>
        <w:spacing w:after="160" w:line="300"/>
        <w:jc w:val="both"/>
      </w:pPr>
      <w:r>
        <w:rPr>
          <w:rFonts w:ascii="Calibri" w:cs="Calibri" w:eastAsia="Calibri" w:hAnsi="Calibri"/>
          <w:color w:val="2B2B2B"/>
          <w:sz w:val="22"/>
          <w:szCs w:val="22"/>
        </w:rPr>
        <w:t xml:space="preserve">Observatorio Venezolano de Finanzas (OVF) — estimaciones independientes de inflación</w:t>
      </w:r>
    </w:p>
    <w:p>
      <w:pPr>
        <w:spacing w:after="160" w:line="300"/>
        <w:jc w:val="both"/>
      </w:pPr>
      <w:r>
        <w:rPr>
          <w:rFonts w:ascii="Calibri" w:cs="Calibri" w:eastAsia="Calibri" w:hAnsi="Calibri"/>
          <w:color w:val="2B2B2B"/>
          <w:sz w:val="22"/>
          <w:szCs w:val="22"/>
        </w:rPr>
        <w:t xml:space="preserve">Fondo Monetario Internacional (FMI) — perspectivas económicas regionales</w:t>
      </w:r>
    </w:p>
    <w:p>
      <w:pPr>
        <w:spacing w:after="160" w:line="300"/>
        <w:jc w:val="both"/>
      </w:pPr>
      <w:r>
        <w:rPr>
          <w:rFonts w:ascii="Calibri" w:cs="Calibri" w:eastAsia="Calibri" w:hAnsi="Calibri"/>
          <w:color w:val="2B2B2B"/>
          <w:sz w:val="22"/>
          <w:szCs w:val="22"/>
        </w:rPr>
        <w:t xml:space="preserve">Finanzas Digital — cobertura periodística de reportes del BCV (2026)</w:t>
      </w:r>
    </w:p>
    <w:p>
      <w:pPr>
        <w:spacing w:after="160" w:line="300"/>
        <w:jc w:val="both"/>
      </w:pPr>
      <w:r>
        <w:rPr>
          <w:rFonts w:ascii="Calibri" w:cs="Calibri" w:eastAsia="Calibri" w:hAnsi="Calibri"/>
          <w:color w:val="2B2B2B"/>
          <w:sz w:val="22"/>
          <w:szCs w:val="22"/>
        </w:rPr>
        <w:t xml:space="preserve">Banca y Negocios — cobertura de liquidez monetaria e inflación (2026)</w:t>
      </w:r>
    </w:p>
    <w:p>
      <w:pPr>
        <w:spacing w:after="160" w:line="300"/>
        <w:jc w:val="both"/>
      </w:pPr>
      <w:r>
        <w:rPr>
          <w:rFonts w:ascii="Calibri" w:cs="Calibri" w:eastAsia="Calibri" w:hAnsi="Calibri"/>
          <w:color w:val="2B2B2B"/>
          <w:sz w:val="22"/>
          <w:szCs w:val="22"/>
        </w:rPr>
        <w:t xml:space="preserve">BBC Mundo — «Cómo salió Venezuela de la hiperinflación y qué significa para la golpeada economía del país»</w:t>
      </w:r>
    </w:p>
    <w:p>
      <w:pPr>
        <w:spacing w:after="160" w:line="300"/>
        <w:jc w:val="both"/>
      </w:pPr>
      <w:r>
        <w:rPr>
          <w:rFonts w:ascii="Calibri" w:cs="Calibri" w:eastAsia="Calibri" w:hAnsi="Calibri"/>
          <w:color w:val="2B2B2B"/>
          <w:sz w:val="22"/>
          <w:szCs w:val="22"/>
        </w:rPr>
        <w:t xml:space="preserve">Wikipedia — «Hiperinflación en Venezuela» e «Inflación en Venezuela» (consultado en 2026)</w:t>
      </w:r>
    </w:p>
    <w:p>
      <w:pPr>
        <w:spacing w:after="160" w:line="300"/>
        <w:jc w:val="both"/>
      </w:pPr>
      <w:r>
        <w:rPr>
          <w:rFonts w:ascii="Calibri" w:cs="Calibri" w:eastAsia="Calibri" w:hAnsi="Calibri"/>
          <w:color w:val="2B2B2B"/>
          <w:sz w:val="22"/>
          <w:szCs w:val="22"/>
        </w:rPr>
        <w:t xml:space="preserve">Statista — «Tasa de inflación en Venezuela»</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15A" w:sz="4" w:space="4"/>
      </w:pBdr>
      <w:jc w:val="right"/>
    </w:pPr>
    <w:r>
      <w:rPr>
        <w:rFonts w:ascii="Calibri" w:cs="Calibri" w:eastAsia="Calibri" w:hAnsi="Calibri"/>
        <w:color w:val="5A5A5A"/>
        <w:spacing w:val="10"/>
        <w:sz w:val="16"/>
        <w:szCs w:val="16"/>
      </w:rPr>
      <w:t xml:space="preserve">LA INFLACIÓN EN VENEZUELA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7A1F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2026-08-10T19:08:36.230Z</dcterms:created>
  <dcterms:modified xsi:type="dcterms:W3CDTF">2026-08-10T19:08:36.230Z</dcterms:modified>
</cp:coreProperties>
</file>

<file path=docProps/custom.xml><?xml version="1.0" encoding="utf-8"?>
<Properties xmlns="http://schemas.openxmlformats.org/officeDocument/2006/custom-properties" xmlns:vt="http://schemas.openxmlformats.org/officeDocument/2006/docPropsVTypes"/>
</file>