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2926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Resumen Ejecutivo del Período (2016-2026)</w:t>
      </w:r>
    </w:p>
    <w:p w14:paraId="55237AD5" w14:textId="77777777" w:rsidR="005F32BB" w:rsidRPr="005F32BB" w:rsidRDefault="005F32BB" w:rsidP="005F3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La década analizada muestra una trayectoria en forma de "U". El período comenzó con una crisis de escasez y caída productiva aguda (2016-2019), seguida de una estabilización y recuperación progresiva impulsada por el sector privado (2020-2024), hasta llegar a un 2025-2026 marcado por la recuperación de la capacidad instalada pero amenazado por variables climáticas y falta de financiamiento.</w:t>
      </w:r>
    </w:p>
    <w:p w14:paraId="4D2C2A19" w14:textId="77777777" w:rsidR="005F32BB" w:rsidRPr="005F32BB" w:rsidRDefault="005F32BB" w:rsidP="005F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193739F4">
          <v:rect id="_x0000_i1025" style="width:0;height:1.5pt" o:hralign="center" o:hrstd="t" o:hr="t" fillcolor="#a0a0a0" stroked="f"/>
        </w:pict>
      </w:r>
    </w:p>
    <w:p w14:paraId="3257F06D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Estudio Comparativo de Producción y Abastecimiento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94"/>
        <w:gridCol w:w="2415"/>
        <w:gridCol w:w="2496"/>
      </w:tblGrid>
      <w:tr w:rsidR="005F32BB" w:rsidRPr="005F32BB" w14:paraId="6083F3A3" w14:textId="77777777" w:rsidTr="005F32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F5C49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Indicador / Período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462CA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2016 - 2018 (Crisis de Insumos)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ECC68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2019 - 2022 (Dolarización y Apertura)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47045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2023 - 2026 (Recuperación y Desafíos)</w:t>
            </w:r>
          </w:p>
        </w:tc>
      </w:tr>
      <w:tr w:rsidR="005F32BB" w:rsidRPr="005F32BB" w14:paraId="10CBC828" w14:textId="77777777" w:rsidTr="005F32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695B2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Producción Maíz Blanco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B392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~400,000 TM (Mínimos históricos)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A9CB7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Crecimiento de 750k a 1.1M 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AE68F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Estabilización ~1.2M - 1.3M TM</w:t>
            </w:r>
          </w:p>
        </w:tc>
      </w:tr>
      <w:tr w:rsidR="005F32BB" w:rsidRPr="005F32BB" w14:paraId="29F011EF" w14:textId="77777777" w:rsidTr="005F32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4F97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Origen de Materia Prima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C4261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75% Importado / 25% Nacional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B33B8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50% Importado / 50% Nacional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E154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~90% Nacional (en picos de cosecha)</w:t>
            </w:r>
          </w:p>
        </w:tc>
      </w:tr>
      <w:tr w:rsidR="005F32BB" w:rsidRPr="005F32BB" w14:paraId="6CF18862" w14:textId="77777777" w:rsidTr="005F32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CBD0F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Capacidad Industrial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DF458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&lt; 20% (Plantas paralizadas)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38C3E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30% - 45% (Uso de capacidad)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7E9CF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52.7% (Dato cierre 2025)</w:t>
            </w:r>
          </w:p>
        </w:tc>
      </w:tr>
      <w:tr w:rsidR="005F32BB" w:rsidRPr="005F32BB" w14:paraId="45E1B2D6" w14:textId="77777777" w:rsidTr="005F32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9FDCF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Consumo per cápita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A9862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Caída drástica (-12.5 kg/año)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4CB8F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Recuperación moderada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1EC44" w14:textId="77777777" w:rsidR="005F32BB" w:rsidRPr="005F32BB" w:rsidRDefault="005F32BB" w:rsidP="005F32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2B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Estabilización por oferta variada</w:t>
            </w:r>
          </w:p>
        </w:tc>
      </w:tr>
    </w:tbl>
    <w:p w14:paraId="7E96962D" w14:textId="77777777" w:rsidR="005F32BB" w:rsidRPr="005F32BB" w:rsidRDefault="005F32BB" w:rsidP="005F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76B716B6">
          <v:rect id="_x0000_i1026" style="width:0;height:1.5pt" o:hralign="center" o:hrstd="t" o:hr="t" fillcolor="#a0a0a0" stroked="f"/>
        </w:pict>
      </w:r>
    </w:p>
    <w:p w14:paraId="720C45C3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Análisis de Hitos Clave</w:t>
      </w:r>
    </w:p>
    <w:p w14:paraId="5BDD4F23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A. La Era de la Escasez (2016-2018)</w:t>
      </w:r>
    </w:p>
    <w:p w14:paraId="5431D0F3" w14:textId="77777777" w:rsidR="005F32BB" w:rsidRPr="005F32BB" w:rsidRDefault="005F32BB" w:rsidP="005F3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2016, la industria de harina precocida requería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1.6 millones de toneladas (TM)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maíz blanco al año para satisfacer la demanda, pero la cosecha nacional apenas rozaba las 400,000 TM.</w:t>
      </w:r>
    </w:p>
    <w:p w14:paraId="1629CEF3" w14:textId="77777777" w:rsidR="005F32BB" w:rsidRPr="005F32BB" w:rsidRDefault="005F32BB" w:rsidP="005F3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Factor Crítico: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control de precios y la asignación centralizada de divisas generaron una dependencia total del Estado para la importación.</w:t>
      </w:r>
    </w:p>
    <w:p w14:paraId="5CF4FD7E" w14:textId="77777777" w:rsidR="005F32BB" w:rsidRPr="005F32BB" w:rsidRDefault="005F32BB" w:rsidP="005F3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Plantas emblemáticas (como las de Empresas Polar) sufrieron paradas intermitentes por falta de grano.</w:t>
      </w:r>
    </w:p>
    <w:p w14:paraId="3DADB3F9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B. El Rebalanceo del Mercado (2019-2023)</w:t>
      </w:r>
    </w:p>
    <w:p w14:paraId="4BDE3232" w14:textId="77777777" w:rsidR="005F32BB" w:rsidRPr="005F32BB" w:rsidRDefault="005F32BB" w:rsidP="005F3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Con la liberalización de facto y la dolarización, el sector primario comenzó a invertir con recursos propios.</w:t>
      </w:r>
    </w:p>
    <w:p w14:paraId="263880BB" w14:textId="77777777" w:rsidR="005F32BB" w:rsidRPr="005F32BB" w:rsidRDefault="005F32BB" w:rsidP="005F3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2022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la producción de maíz creció un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46%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, pasando de 750,000 TM a 1.1 millones de TM.</w:t>
      </w:r>
    </w:p>
    <w:p w14:paraId="60AF543B" w14:textId="77777777" w:rsidR="005F32BB" w:rsidRPr="005F32BB" w:rsidRDefault="005F32BB" w:rsidP="005F3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Aparecieron numerosas marcas regionales y "maquilas", diversificando los anaqueles y eliminando las colas por el producto.</w:t>
      </w:r>
    </w:p>
    <w:p w14:paraId="413F5485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C. Proyecciones y Realidad Actual (2024-2026)</w:t>
      </w:r>
    </w:p>
    <w:p w14:paraId="359A3A2C" w14:textId="77777777" w:rsidR="005F32BB" w:rsidRPr="005F32BB" w:rsidRDefault="005F32BB" w:rsidP="005F3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Al entrar en marzo de 2026, el panorama es de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crecimiento moderado con riesgos estructurales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</w:p>
    <w:p w14:paraId="78B68B3D" w14:textId="77777777" w:rsidR="005F32BB" w:rsidRPr="005F32BB" w:rsidRDefault="005F32BB" w:rsidP="005F3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Capacidad Instalada: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Según </w:t>
      </w:r>
      <w:proofErr w:type="spellStart"/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Conindustria</w:t>
      </w:r>
      <w:proofErr w:type="spellEnd"/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el sector manufacturero cerró 2025 operando al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52.7%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Se proyecta un salto del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12.7%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la producción industrial para 2026.</w:t>
      </w:r>
    </w:p>
    <w:p w14:paraId="0E089A86" w14:textId="77777777" w:rsidR="005F32BB" w:rsidRPr="005F32BB" w:rsidRDefault="005F32BB" w:rsidP="005F3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Déficit 2025-2026: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Fedeagro</w:t>
      </w:r>
      <w:proofErr w:type="spellEnd"/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reporta que la cosecha de 2025 fue afectada por lluvias excesivas y falta de financiamiento. Se estima que la producción de maíz podría caer un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14%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este ciclo, cubriendo solo unos 5 meses del consumo nacional, lo que obligará a aumentar las importaciones complementarias en 2026.</w:t>
      </w:r>
    </w:p>
    <w:p w14:paraId="7B1CC7CA" w14:textId="77777777" w:rsidR="005F32BB" w:rsidRPr="005F32BB" w:rsidRDefault="005F32BB" w:rsidP="005F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8EF327C">
          <v:rect id="_x0000_i1027" style="width:0;height:1.5pt" o:hralign="center" o:hrstd="t" o:hr="t" fillcolor="#a0a0a0" stroked="f"/>
        </w:pict>
      </w:r>
    </w:p>
    <w:p w14:paraId="1A298AAB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Factores Determinantes para 2026</w:t>
      </w:r>
    </w:p>
    <w:p w14:paraId="46B98661" w14:textId="77777777" w:rsidR="005F32BB" w:rsidRPr="005F32BB" w:rsidRDefault="005F32BB" w:rsidP="005F3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Brecha Cambiaria: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el principal "dolor de cabeza" para los industriales en 2026, dificultando la reposición de inventarios de empaques y aditivos importados.</w:t>
      </w:r>
    </w:p>
    <w:p w14:paraId="56652349" w14:textId="77777777" w:rsidR="005F32BB" w:rsidRPr="005F32BB" w:rsidRDefault="005F32BB" w:rsidP="005F3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Competencia de Importados: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ingreso de harinas terminadas de Colombia y Brasil sigue presionando los precios de la industria nacional.</w:t>
      </w:r>
    </w:p>
    <w:p w14:paraId="01077E84" w14:textId="77777777" w:rsidR="005F32BB" w:rsidRPr="005F32BB" w:rsidRDefault="005F32BB" w:rsidP="005F3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Energía y Combustible: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déficit de diésel para el transporte de la cosecha desde Portuguesa y Guárico hacia las plantas procesadoras sigue siendo un cuello de botella logístico.</w:t>
      </w:r>
    </w:p>
    <w:p w14:paraId="178D3D03" w14:textId="77777777" w:rsidR="005F32BB" w:rsidRPr="005F32BB" w:rsidRDefault="005F32BB" w:rsidP="005F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B70AE51">
          <v:rect id="_x0000_i1028" style="width:0;height:1.5pt" o:hralign="center" o:hrstd="t" o:hr="t" fillcolor="#a0a0a0" stroked="f"/>
        </w:pict>
      </w:r>
    </w:p>
    <w:p w14:paraId="206A5244" w14:textId="77777777" w:rsidR="005F32BB" w:rsidRPr="005F32BB" w:rsidRDefault="005F32BB" w:rsidP="005F3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5F32B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Conclusión del Analista</w:t>
      </w:r>
    </w:p>
    <w:p w14:paraId="29E2C632" w14:textId="537F0D05" w:rsidR="005F32BB" w:rsidRDefault="005F32BB" w:rsidP="005F3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 xml:space="preserve">Venezuela ha pasado de una crisis de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disponibilidad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(no había harina) a una crisis de </w:t>
      </w:r>
      <w:r w:rsidRPr="005F32B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costos y competitividad</w:t>
      </w:r>
      <w:r w:rsidRPr="005F32BB">
        <w:rPr>
          <w:rFonts w:ascii="Times New Roman" w:eastAsia="Times New Roman" w:hAnsi="Times New Roman" w:cs="Times New Roman"/>
          <w:sz w:val="24"/>
          <w:szCs w:val="24"/>
          <w:lang w:eastAsia="es-VE"/>
        </w:rPr>
        <w:t>. Si bien la industria está mucho más sana que en 2016 y el desabastecimiento es cosa del pasado, la sostenibilidad para el resto de 2026 dependerá de la capacidad de los productores para mitigar los efectos climáticos y de la industria para operar con un flujo de caja restringido por la carga tributaria.</w:t>
      </w:r>
    </w:p>
    <w:p w14:paraId="4C234E29" w14:textId="017A5077" w:rsidR="00E804EC" w:rsidRDefault="00E804EC" w:rsidP="005F3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06DECFF0" w14:textId="77777777" w:rsidR="00E804EC" w:rsidRDefault="00E804EC" w:rsidP="00E804EC">
      <w:pPr>
        <w:pStyle w:val="Ttulo3"/>
      </w:pPr>
      <w:r>
        <w:t>1. Estructura de Costos de Producción (Estimada Q1-2026)</w:t>
      </w:r>
    </w:p>
    <w:p w14:paraId="2CDBE3CF" w14:textId="77777777" w:rsidR="00E804EC" w:rsidRDefault="00E804EC" w:rsidP="00E804EC">
      <w:pPr>
        <w:pStyle w:val="NormalWeb"/>
      </w:pPr>
      <w:r>
        <w:t>Producir un kilo de harina de maíz precocida en Venezuela hoy implica una matriz de costos compleja, donde los servicios y la logística han ganado peso frente a la materia prima.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316"/>
        <w:gridCol w:w="5158"/>
      </w:tblGrid>
      <w:tr w:rsidR="00E804EC" w14:paraId="4FC8A8BE" w14:textId="77777777" w:rsidTr="00E804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F49D4" w14:textId="77777777" w:rsidR="00E804EC" w:rsidRDefault="00E804EC">
            <w:pPr>
              <w:spacing w:after="480"/>
            </w:pPr>
            <w:r>
              <w:rPr>
                <w:rStyle w:val="Textoennegrita"/>
              </w:rPr>
              <w:t>Componente del Costo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00462" w14:textId="77777777" w:rsidR="00E804EC" w:rsidRDefault="00E804EC">
            <w:pPr>
              <w:spacing w:after="480"/>
            </w:pPr>
            <w:r>
              <w:rPr>
                <w:rStyle w:val="Textoennegrita"/>
              </w:rPr>
              <w:t>Porcentaje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5108C" w14:textId="77777777" w:rsidR="00E804EC" w:rsidRDefault="00E804EC">
            <w:pPr>
              <w:spacing w:after="480"/>
            </w:pPr>
            <w:r>
              <w:rPr>
                <w:rStyle w:val="Textoennegrita"/>
              </w:rPr>
              <w:t>Impacto Operativo</w:t>
            </w:r>
          </w:p>
        </w:tc>
      </w:tr>
      <w:tr w:rsidR="00E804EC" w14:paraId="1B3437C3" w14:textId="77777777" w:rsidTr="00E804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E71B7" w14:textId="77777777" w:rsidR="00E804EC" w:rsidRDefault="00E804EC">
            <w:pPr>
              <w:spacing w:after="480"/>
            </w:pPr>
            <w:r>
              <w:rPr>
                <w:b/>
                <w:bCs/>
              </w:rPr>
              <w:t>Materia Prima (Maíz Blanco)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D5A83" w14:textId="77777777" w:rsidR="00E804EC" w:rsidRDefault="00E804EC">
            <w:pPr>
              <w:spacing w:after="480"/>
            </w:pPr>
            <w:r>
              <w:t>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6360B" w14:textId="77777777" w:rsidR="00E804EC" w:rsidRDefault="00E804EC">
            <w:pPr>
              <w:spacing w:after="480"/>
            </w:pPr>
            <w:r>
              <w:t>Influenciado por el precio de garantía al productor y fletes desde el campo.</w:t>
            </w:r>
          </w:p>
        </w:tc>
      </w:tr>
      <w:tr w:rsidR="00E804EC" w14:paraId="7C512A48" w14:textId="77777777" w:rsidTr="00E804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BFFBE" w14:textId="77777777" w:rsidR="00E804EC" w:rsidRDefault="00E804EC">
            <w:pPr>
              <w:spacing w:after="480"/>
            </w:pPr>
            <w:r>
              <w:rPr>
                <w:b/>
                <w:bCs/>
              </w:rPr>
              <w:t>Empaque y Aditivos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EF5F0" w14:textId="77777777" w:rsidR="00E804EC" w:rsidRDefault="00E804EC">
            <w:pPr>
              <w:spacing w:after="480"/>
            </w:pPr>
            <w: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DD0D5" w14:textId="77777777" w:rsidR="00E804EC" w:rsidRDefault="00E804EC">
            <w:pPr>
              <w:spacing w:after="480"/>
            </w:pPr>
            <w:r>
              <w:t>Altamente sensible a la tasa de cambio (resinas y vitaminas importadas).</w:t>
            </w:r>
          </w:p>
        </w:tc>
      </w:tr>
      <w:tr w:rsidR="00E804EC" w14:paraId="7348C4DF" w14:textId="77777777" w:rsidTr="00E804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0011E" w14:textId="77777777" w:rsidR="00E804EC" w:rsidRDefault="00E804EC">
            <w:pPr>
              <w:spacing w:after="480"/>
            </w:pPr>
            <w:r>
              <w:rPr>
                <w:b/>
                <w:bCs/>
              </w:rPr>
              <w:t>Energía y Combustible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7CA91" w14:textId="77777777" w:rsidR="00E804EC" w:rsidRDefault="00E804EC">
            <w:pPr>
              <w:spacing w:after="480"/>
            </w:pPr>
            <w:r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30161" w14:textId="77777777" w:rsidR="00E804EC" w:rsidRDefault="00E804EC">
            <w:pPr>
              <w:spacing w:after="480"/>
            </w:pPr>
            <w:r>
              <w:t xml:space="preserve">Costo crítico debido a la autogeneración eléctrica y </w:t>
            </w:r>
            <w:proofErr w:type="spellStart"/>
            <w:r>
              <w:t>diesel</w:t>
            </w:r>
            <w:proofErr w:type="spellEnd"/>
            <w:r>
              <w:t xml:space="preserve"> para transporte.</w:t>
            </w:r>
          </w:p>
        </w:tc>
      </w:tr>
      <w:tr w:rsidR="00E804EC" w14:paraId="7543D66C" w14:textId="77777777" w:rsidTr="00E804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588A9" w14:textId="77777777" w:rsidR="00E804EC" w:rsidRDefault="00E804EC">
            <w:pPr>
              <w:spacing w:after="480"/>
            </w:pPr>
            <w:r>
              <w:rPr>
                <w:b/>
                <w:bCs/>
              </w:rPr>
              <w:t>Mano de Obra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899BA" w14:textId="77777777" w:rsidR="00E804EC" w:rsidRDefault="00E804EC">
            <w:pPr>
              <w:spacing w:after="480"/>
            </w:pPr>
            <w: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E68B7" w14:textId="77777777" w:rsidR="00E804EC" w:rsidRDefault="00E804EC">
            <w:pPr>
              <w:spacing w:after="480"/>
            </w:pPr>
            <w:r>
              <w:t>Ajustes por bonificaciones de ley y retención de talento técnico.</w:t>
            </w:r>
          </w:p>
        </w:tc>
      </w:tr>
      <w:tr w:rsidR="00E804EC" w14:paraId="4602CF61" w14:textId="77777777" w:rsidTr="00E804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5D1F0" w14:textId="77777777" w:rsidR="00E804EC" w:rsidRDefault="00E804EC">
            <w:pPr>
              <w:spacing w:after="480"/>
            </w:pPr>
            <w:r>
              <w:rPr>
                <w:b/>
                <w:bCs/>
              </w:rPr>
              <w:t>Mantenimiento y Repuestos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3D136" w14:textId="77777777" w:rsidR="00E804EC" w:rsidRDefault="00E804EC">
            <w:pPr>
              <w:spacing w:after="480"/>
            </w:pPr>
            <w: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DC31B" w14:textId="77777777" w:rsidR="00E804EC" w:rsidRDefault="00E804EC">
            <w:pPr>
              <w:spacing w:after="480"/>
            </w:pPr>
            <w:r>
              <w:t>Maquinaria que requiere divisas para piezas de origen extranjero.</w:t>
            </w:r>
          </w:p>
        </w:tc>
      </w:tr>
      <w:tr w:rsidR="00E804EC" w14:paraId="534C4E58" w14:textId="77777777" w:rsidTr="00E804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A9DA4" w14:textId="77777777" w:rsidR="00E804EC" w:rsidRDefault="00E804EC">
            <w:pPr>
              <w:spacing w:after="480"/>
            </w:pPr>
            <w:r>
              <w:rPr>
                <w:b/>
                <w:bCs/>
              </w:rPr>
              <w:t>Carga Impositiva y Otros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EA1E1" w14:textId="77777777" w:rsidR="00E804EC" w:rsidRDefault="00E804EC">
            <w:pPr>
              <w:spacing w:after="480"/>
            </w:pPr>
            <w: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4ED9C" w14:textId="77777777" w:rsidR="00E804EC" w:rsidRDefault="00E804EC">
            <w:pPr>
              <w:spacing w:after="480"/>
            </w:pPr>
            <w:r>
              <w:t>IGTF, tasas municipales y contribuciones parafiscales.</w:t>
            </w:r>
          </w:p>
        </w:tc>
      </w:tr>
    </w:tbl>
    <w:p w14:paraId="31665A30" w14:textId="77777777" w:rsidR="00E804EC" w:rsidRDefault="00E804EC" w:rsidP="00E804EC">
      <w:pPr>
        <w:pStyle w:val="NormalWeb"/>
      </w:pPr>
      <w:r>
        <w:rPr>
          <w:b/>
          <w:bCs/>
        </w:rPr>
        <w:t>Nota del Analista:</w:t>
      </w:r>
      <w:r>
        <w:t xml:space="preserve"> El costo de producción en planta (Ex-Works) oscila actualmente entre </w:t>
      </w:r>
      <w:r>
        <w:rPr>
          <w:b/>
          <w:bCs/>
        </w:rPr>
        <w:t>$0.75 y $0.85</w:t>
      </w:r>
      <w:r>
        <w:t xml:space="preserve"> por unidad, lo que deja márgenes muy estrechos para competir con productos importados que entran con beneficios arancelarios.</w:t>
      </w:r>
    </w:p>
    <w:p w14:paraId="3E9EC392" w14:textId="77777777" w:rsidR="00E804EC" w:rsidRDefault="00E804EC" w:rsidP="00E804EC">
      <w:r>
        <w:lastRenderedPageBreak/>
        <w:pict w14:anchorId="7A808AD8">
          <v:rect id="_x0000_i1033" style="width:0;height:1.5pt" o:hralign="center" o:hrstd="t" o:hr="t" fillcolor="#a0a0a0" stroked="f"/>
        </w:pict>
      </w:r>
    </w:p>
    <w:p w14:paraId="6BC19399" w14:textId="77777777" w:rsidR="00E804EC" w:rsidRDefault="00E804EC" w:rsidP="00E804EC">
      <w:pPr>
        <w:pStyle w:val="Ttulo3"/>
      </w:pPr>
      <w:r>
        <w:t>2. Comparativa: Marcas Públicas vs. Marcas Privadas (2026)</w:t>
      </w:r>
    </w:p>
    <w:p w14:paraId="7C48536F" w14:textId="77777777" w:rsidR="00E804EC" w:rsidRDefault="00E804EC" w:rsidP="00E804EC">
      <w:pPr>
        <w:pStyle w:val="NormalWeb"/>
      </w:pPr>
      <w:r>
        <w:t>La dinámica del anaquel en 2026 muestra una segmentación clara basada en la confianza del consumidor y el músculo logístico.</w:t>
      </w:r>
    </w:p>
    <w:p w14:paraId="7DB5B717" w14:textId="77777777" w:rsidR="00E804EC" w:rsidRDefault="00E804EC" w:rsidP="00E804EC">
      <w:pPr>
        <w:pStyle w:val="Ttulo4"/>
      </w:pPr>
      <w:r>
        <w:t>Sector Privado (Líderes de Mercado)</w:t>
      </w:r>
    </w:p>
    <w:p w14:paraId="3F3DF19B" w14:textId="77777777" w:rsidR="00E804EC" w:rsidRDefault="00E804EC" w:rsidP="00E804EC">
      <w:pPr>
        <w:pStyle w:val="NormalWeb"/>
        <w:numPr>
          <w:ilvl w:val="0"/>
          <w:numId w:val="5"/>
        </w:numPr>
      </w:pPr>
      <w:r>
        <w:rPr>
          <w:b/>
          <w:bCs/>
        </w:rPr>
        <w:t>Marcas:</w:t>
      </w:r>
      <w:r>
        <w:t xml:space="preserve"> Alimentos Polar (P.A.N.), Harina Juana, </w:t>
      </w:r>
      <w:proofErr w:type="spellStart"/>
      <w:r>
        <w:t>Demasa</w:t>
      </w:r>
      <w:proofErr w:type="spellEnd"/>
      <w:r>
        <w:t>, y marcas regionales emergentes (</w:t>
      </w:r>
      <w:proofErr w:type="spellStart"/>
      <w:r>
        <w:t>Lucharepa</w:t>
      </w:r>
      <w:proofErr w:type="spellEnd"/>
      <w:r>
        <w:t xml:space="preserve">, </w:t>
      </w:r>
      <w:proofErr w:type="spellStart"/>
      <w:r>
        <w:t>Doñarepa</w:t>
      </w:r>
      <w:proofErr w:type="spellEnd"/>
      <w:r>
        <w:t>).</w:t>
      </w:r>
    </w:p>
    <w:p w14:paraId="466A91B6" w14:textId="77777777" w:rsidR="00E804EC" w:rsidRDefault="00E804EC" w:rsidP="00E804EC">
      <w:pPr>
        <w:pStyle w:val="NormalWeb"/>
        <w:numPr>
          <w:ilvl w:val="0"/>
          <w:numId w:val="5"/>
        </w:numPr>
      </w:pPr>
      <w:r>
        <w:rPr>
          <w:b/>
          <w:bCs/>
        </w:rPr>
        <w:t>Fortaleza:</w:t>
      </w:r>
      <w:r>
        <w:t xml:space="preserve"> Distribución capilar (llegan a cada bodega) y alta recordación de marca.</w:t>
      </w:r>
    </w:p>
    <w:p w14:paraId="0164DB1F" w14:textId="77777777" w:rsidR="00E804EC" w:rsidRDefault="00E804EC" w:rsidP="00E804EC">
      <w:pPr>
        <w:pStyle w:val="NormalWeb"/>
        <w:numPr>
          <w:ilvl w:val="0"/>
          <w:numId w:val="5"/>
        </w:numPr>
      </w:pPr>
      <w:r>
        <w:rPr>
          <w:b/>
          <w:bCs/>
        </w:rPr>
        <w:t>Desafío:</w:t>
      </w:r>
      <w:r>
        <w:t xml:space="preserve"> Deben absorber costos operativos más altos para no trasladar todo el precio al consumidor final y perder volumen de ventas.</w:t>
      </w:r>
    </w:p>
    <w:p w14:paraId="1536EC3C" w14:textId="77777777" w:rsidR="00E804EC" w:rsidRDefault="00E804EC" w:rsidP="00E804EC">
      <w:pPr>
        <w:pStyle w:val="NormalWeb"/>
        <w:numPr>
          <w:ilvl w:val="0"/>
          <w:numId w:val="5"/>
        </w:numPr>
      </w:pPr>
      <w:r>
        <w:rPr>
          <w:b/>
          <w:bCs/>
        </w:rPr>
        <w:t>Precio promedio en anaquel:</w:t>
      </w:r>
      <w:r>
        <w:t xml:space="preserve"> </w:t>
      </w:r>
      <w:r>
        <w:rPr>
          <w:b/>
          <w:bCs/>
        </w:rPr>
        <w:t>$1.20 - $1.45</w:t>
      </w:r>
      <w:r>
        <w:t>.</w:t>
      </w:r>
    </w:p>
    <w:p w14:paraId="77118792" w14:textId="77777777" w:rsidR="00E804EC" w:rsidRDefault="00E804EC" w:rsidP="00E804EC">
      <w:pPr>
        <w:pStyle w:val="Ttulo4"/>
      </w:pPr>
      <w:r>
        <w:t>Sector Público / Gobiernos Regionales</w:t>
      </w:r>
    </w:p>
    <w:p w14:paraId="768AE635" w14:textId="77777777" w:rsidR="00E804EC" w:rsidRDefault="00E804EC" w:rsidP="00E804EC">
      <w:pPr>
        <w:pStyle w:val="NormalWeb"/>
        <w:numPr>
          <w:ilvl w:val="0"/>
          <w:numId w:val="6"/>
        </w:numPr>
      </w:pPr>
      <w:r>
        <w:rPr>
          <w:b/>
          <w:bCs/>
        </w:rPr>
        <w:t>Marcas:</w:t>
      </w:r>
      <w:r>
        <w:t xml:space="preserve"> Casa, Venezuela, y harinas producidas en plantas recuperadas por gobernaciones (ej. Portuguesa, Guárico).</w:t>
      </w:r>
    </w:p>
    <w:p w14:paraId="49AE72B8" w14:textId="77777777" w:rsidR="00E804EC" w:rsidRDefault="00E804EC" w:rsidP="00E804EC">
      <w:pPr>
        <w:pStyle w:val="NormalWeb"/>
        <w:numPr>
          <w:ilvl w:val="0"/>
          <w:numId w:val="6"/>
        </w:numPr>
      </w:pPr>
      <w:r>
        <w:rPr>
          <w:b/>
          <w:bCs/>
        </w:rPr>
        <w:t>Fortaleza:</w:t>
      </w:r>
      <w:r>
        <w:t xml:space="preserve"> Acceso subsidiado a la materia prima y canales de distribución estatales (CLAP).</w:t>
      </w:r>
    </w:p>
    <w:p w14:paraId="4473D33C" w14:textId="77777777" w:rsidR="00E804EC" w:rsidRDefault="00E804EC" w:rsidP="00E804EC">
      <w:pPr>
        <w:pStyle w:val="NormalWeb"/>
        <w:numPr>
          <w:ilvl w:val="0"/>
          <w:numId w:val="6"/>
        </w:numPr>
      </w:pPr>
      <w:r>
        <w:rPr>
          <w:b/>
          <w:bCs/>
        </w:rPr>
        <w:t>Desafío:</w:t>
      </w:r>
      <w:r>
        <w:t xml:space="preserve"> Intermitencia en la producción y percepción de menor rendimiento/calidad en el refinado del grano.</w:t>
      </w:r>
    </w:p>
    <w:p w14:paraId="2A7B8F32" w14:textId="77777777" w:rsidR="00E804EC" w:rsidRDefault="00E804EC" w:rsidP="00E804EC">
      <w:pPr>
        <w:pStyle w:val="NormalWeb"/>
        <w:numPr>
          <w:ilvl w:val="0"/>
          <w:numId w:val="6"/>
        </w:numPr>
      </w:pPr>
      <w:r>
        <w:rPr>
          <w:b/>
          <w:bCs/>
        </w:rPr>
        <w:t>Precio promedio (fuera de subsidio):</w:t>
      </w:r>
      <w:r>
        <w:t xml:space="preserve"> </w:t>
      </w:r>
      <w:r>
        <w:rPr>
          <w:b/>
          <w:bCs/>
        </w:rPr>
        <w:t>$0.90 - $1.05</w:t>
      </w:r>
      <w:r>
        <w:t>.</w:t>
      </w:r>
    </w:p>
    <w:p w14:paraId="6131484E" w14:textId="77777777" w:rsidR="00E804EC" w:rsidRDefault="00E804EC" w:rsidP="00E804EC">
      <w:r>
        <w:pict w14:anchorId="305B7C8D">
          <v:rect id="_x0000_i1034" style="width:0;height:1.5pt" o:hralign="center" o:hrstd="t" o:hr="t" fillcolor="#a0a0a0" stroked="f"/>
        </w:pict>
      </w:r>
    </w:p>
    <w:p w14:paraId="3AAFBBB1" w14:textId="77777777" w:rsidR="00E804EC" w:rsidRDefault="00E804EC" w:rsidP="00E804EC">
      <w:pPr>
        <w:pStyle w:val="Ttulo3"/>
      </w:pPr>
      <w:r>
        <w:t>3. El Factor "Maquila" y Marcas Blancas</w:t>
      </w:r>
    </w:p>
    <w:p w14:paraId="02C04999" w14:textId="77777777" w:rsidR="00E804EC" w:rsidRDefault="00E804EC" w:rsidP="00E804EC">
      <w:pPr>
        <w:pStyle w:val="NormalWeb"/>
      </w:pPr>
      <w:r>
        <w:t xml:space="preserve">Un fenómeno clave en 2025 y 2026 ha sido el auge de las </w:t>
      </w:r>
      <w:r>
        <w:rPr>
          <w:b/>
          <w:bCs/>
        </w:rPr>
        <w:t>marcas blancas</w:t>
      </w:r>
      <w:r>
        <w:t xml:space="preserve"> de grandes cadenas de supermercados. Estas compran capacidad excedente de plantas privadas pequeñas para empacar con marca propia, logrando precios de </w:t>
      </w:r>
      <w:r>
        <w:rPr>
          <w:b/>
          <w:bCs/>
        </w:rPr>
        <w:t>$1.00</w:t>
      </w:r>
      <w:r>
        <w:t>, lo que presiona a las marcas líderes a ofrecer promociones (ej. el popular "3x2" o "combos parrilleros").</w:t>
      </w:r>
    </w:p>
    <w:p w14:paraId="25D43352" w14:textId="77777777" w:rsidR="00E804EC" w:rsidRDefault="00E804EC" w:rsidP="00E804EC">
      <w:r>
        <w:pict w14:anchorId="40C5FF45">
          <v:rect id="_x0000_i1035" style="width:0;height:1.5pt" o:hralign="center" o:hrstd="t" o:hr="t" fillcolor="#a0a0a0" stroked="f"/>
        </w:pict>
      </w:r>
    </w:p>
    <w:p w14:paraId="58C1A83B" w14:textId="77777777" w:rsidR="00E804EC" w:rsidRDefault="00E804EC" w:rsidP="00E804EC">
      <w:pPr>
        <w:pStyle w:val="Ttulo3"/>
      </w:pPr>
      <w:r>
        <w:t>4. Proyección de Precios para el Cierre de 2026</w:t>
      </w:r>
    </w:p>
    <w:p w14:paraId="185FCF4E" w14:textId="77777777" w:rsidR="00E804EC" w:rsidRDefault="00E804EC" w:rsidP="00E804EC">
      <w:pPr>
        <w:pStyle w:val="NormalWeb"/>
      </w:pPr>
      <w:r>
        <w:t xml:space="preserve">Si la brecha cambiaria se mantiene por encima del </w:t>
      </w:r>
      <w:r>
        <w:rPr>
          <w:b/>
          <w:bCs/>
        </w:rPr>
        <w:t>15%</w:t>
      </w:r>
      <w:r>
        <w:t>, es probable que veamos:</w:t>
      </w:r>
    </w:p>
    <w:p w14:paraId="2EA09E15" w14:textId="77777777" w:rsidR="00E804EC" w:rsidRDefault="00E804EC" w:rsidP="00E804EC">
      <w:pPr>
        <w:pStyle w:val="NormalWeb"/>
        <w:numPr>
          <w:ilvl w:val="0"/>
          <w:numId w:val="7"/>
        </w:numPr>
      </w:pPr>
      <w:r>
        <w:t>Un ajuste de precios hacia arriba en el segundo semestre (julio-agosto) coincidiendo con el agotamiento de la reserva de cosecha nacional.</w:t>
      </w:r>
    </w:p>
    <w:p w14:paraId="46FB764F" w14:textId="09CBE285" w:rsidR="00CA573C" w:rsidRDefault="00E804EC" w:rsidP="00832FFF">
      <w:pPr>
        <w:pStyle w:val="NormalWeb"/>
        <w:numPr>
          <w:ilvl w:val="0"/>
          <w:numId w:val="7"/>
        </w:numPr>
      </w:pPr>
      <w:r>
        <w:t xml:space="preserve">Mayor entrada de harina brasileña y colombiana si el precio nacional supera la barrera de los </w:t>
      </w:r>
      <w:r w:rsidRPr="001F67D4">
        <w:rPr>
          <w:b/>
          <w:bCs/>
        </w:rPr>
        <w:t>$1.50</w:t>
      </w:r>
      <w:r>
        <w:t>.</w:t>
      </w:r>
    </w:p>
    <w:sectPr w:rsidR="00CA57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72D0"/>
    <w:multiLevelType w:val="multilevel"/>
    <w:tmpl w:val="C2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0500"/>
    <w:multiLevelType w:val="multilevel"/>
    <w:tmpl w:val="27B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4ECF"/>
    <w:multiLevelType w:val="multilevel"/>
    <w:tmpl w:val="3F3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41741"/>
    <w:multiLevelType w:val="multilevel"/>
    <w:tmpl w:val="8B02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64BAD"/>
    <w:multiLevelType w:val="multilevel"/>
    <w:tmpl w:val="D41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D6931"/>
    <w:multiLevelType w:val="multilevel"/>
    <w:tmpl w:val="9F8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8286C"/>
    <w:multiLevelType w:val="multilevel"/>
    <w:tmpl w:val="E90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C4"/>
    <w:rsid w:val="001F67D4"/>
    <w:rsid w:val="005F32BB"/>
    <w:rsid w:val="007F318C"/>
    <w:rsid w:val="00CA573C"/>
    <w:rsid w:val="00CC40F9"/>
    <w:rsid w:val="00E804EC"/>
    <w:rsid w:val="00F6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ECEC4"/>
  <w15:chartTrackingRefBased/>
  <w15:docId w15:val="{87E90D37-D611-451F-8D1A-E483D69D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F3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5F3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4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F32BB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5F32BB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unhideWhenUsed/>
    <w:rsid w:val="005F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5F32B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4E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0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6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977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</dc:creator>
  <cp:keywords/>
  <dc:description/>
  <cp:lastModifiedBy>PC6</cp:lastModifiedBy>
  <cp:revision>4</cp:revision>
  <dcterms:created xsi:type="dcterms:W3CDTF">2026-03-06T17:07:00Z</dcterms:created>
  <dcterms:modified xsi:type="dcterms:W3CDTF">2026-03-06T17:12:00Z</dcterms:modified>
</cp:coreProperties>
</file>