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3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Napisati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Osoba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koja ima polja ime i prezime.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Iz klase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Osoba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izvesti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koja ima dodatno polje za broj indeksa.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Iz klase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Osoba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izvesti i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koja dodatno ima i naziv predmeta koji predaje.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Napisati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Učionica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koja ima listu pokazivača  na osobe koje su u njoj prisutne. Učionica ima svoj naziv i maksimalan broj osoba koje mogu da stanu u 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Napisati kratak test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IMPLEMENTIRATI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Klasa Osoba: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bez parametara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kopije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virtualna metoda za ispis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Klasa 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bez parametara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kopije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preklopljena metoda za ispis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Klasa 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bez parametara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kopije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preklopljena metoda za ispis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Učionica: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konstruktor sa parametrima (za kapacitet i naziv učionice)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 za dodavanje nove osobe u učionicu koji proverava da li ima slobodnih mesta u učionici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ispis svih prisutnih osoba u učionici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Napomena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Za realizaciju liste koristiti datu generičku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za tekstulana polja klasu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DinString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