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4-1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apstraktnu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GeometrijskoTelo</w:t>
      </w:r>
      <w:r w:rsidDel="00000000" w:rsidR="00000000" w:rsidRPr="00000000">
        <w:rPr>
          <w:rtl w:val="0"/>
        </w:rPr>
        <w:t xml:space="preserve"> sa apstraktnim metodama za izračunavanje zapremine i površine.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Kvadar</w:t>
      </w:r>
      <w:r w:rsidDel="00000000" w:rsidR="00000000" w:rsidRPr="00000000">
        <w:rPr>
          <w:rtl w:val="0"/>
        </w:rPr>
        <w:t xml:space="preserve"> koja nasleđuje klasu GeometrijskoTelo i redefiniše njene apstraktne metode. Klasu realizovati kao kompoziciju dva pravougaonika: jedan koji predstavlja bazu i jedan koji predstavlja omotač kvadra. Iskoristiti postojeću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 iz 1. zadatka. Pored konstruktora sa parametrima, klasa ima i get metode za svaku od stranica baze i visinu kvadra.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Kocka</w:t>
      </w:r>
      <w:r w:rsidDel="00000000" w:rsidR="00000000" w:rsidRPr="00000000">
        <w:rPr>
          <w:rtl w:val="0"/>
        </w:rPr>
        <w:t xml:space="preserve"> koja nasleđuje klasu Kvadar. Klasa Kocka sadrži konstruktor sa parametrima.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Napisati kratak test program.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