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before="600"/>
        <w:jc w:val="center"/>
      </w:pPr>
      <w:r>
        <w:rPr>
          <w:rFonts w:ascii="Arial" w:cs="Arial" w:eastAsia="Arial" w:hAnsi="Arial"/>
          <w:b/>
          <w:bCs/>
          <w:color w:val="1A1A2E"/>
          <w:sz w:val="48"/>
          <w:szCs w:val="48"/>
        </w:rPr>
        <w:t xml:space="preserve">SOLAZZO</w:t>
      </w:r>
    </w:p>
    <w:p>
      <w:pPr>
        <w:spacing w:after="200"/>
        <w:jc w:val="center"/>
      </w:pPr>
      <w:r>
        <w:rPr>
          <w:rFonts w:ascii="Arial" w:cs="Arial" w:eastAsia="Arial" w:hAnsi="Arial"/>
          <w:color w:val="666666"/>
          <w:sz w:val="32"/>
          <w:szCs w:val="32"/>
        </w:rPr>
        <w:t xml:space="preserve">Implementation Plan</w:t>
      </w:r>
    </w:p>
    <w:p>
      <w:pPr>
        <w:spacing w:after="100"/>
        <w:jc w:val="center"/>
      </w:pPr>
      <w:r>
        <w:rPr>
          <w:rFonts w:ascii="Arial" w:cs="Arial" w:eastAsia="Arial" w:hAnsi="Arial"/>
          <w:i/>
          <w:iCs/>
          <w:color w:val="888888"/>
          <w:sz w:val="22"/>
          <w:szCs w:val="22"/>
        </w:rPr>
        <w:t xml:space="preserve">A Conviction-Based NFT Identity Protocol on Solana</w:t>
      </w:r>
    </w:p>
    <w:p>
      <w:pPr>
        <w:spacing w:before="800"/>
        <w:jc w:val="center"/>
      </w:pPr>
      <w:r>
        <w:rPr>
          <w:rFonts w:ascii="Arial" w:cs="Arial" w:eastAsia="Arial" w:hAnsi="Arial"/>
          <w:color w:val="999999"/>
          <w:sz w:val="20"/>
          <w:szCs w:val="20"/>
        </w:rPr>
        <w:t xml:space="preserve">Version 1.0  —  February 2026</w:t>
      </w:r>
    </w:p>
    <w:p>
      <w:pPr>
        <w:jc w:val="center"/>
      </w:pPr>
      <w:r>
        <w:rPr>
          <w:rFonts w:ascii="Arial" w:cs="Arial" w:eastAsia="Arial" w:hAnsi="Arial"/>
          <w:b/>
          <w:bCs/>
          <w:color w:val="CC000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This document outlines the full technical implementation plan for SOLAZZO — a conviction-based NFT primitive where ownership is earned through locked capital, identity is personalized via AI-generated Baroque oil portraits, and visual evolution is tied to SOL price milestones.</w:t>
      </w:r>
    </w:p>
    <w:p>
      <w:pPr>
        <w:spacing w:after="200"/>
      </w:pPr>
      <w:r>
        <w:t xml:space="preserve">The protocol consists of 1,000 competitive NFT slots on Solana. Participants lock SOL to claim and defend slots. Locked capital is deployed into liquid staking to generate yield for the protocol treasury, while principal remains fully refundable. Each NFT displays a five-stage evolving portrait derived from the owner’s likeness, progressing from humble conviction through excess to reflective maturity.</w:t>
      </w:r>
    </w:p>
    <w:p>
      <w:pPr>
        <w:spacing w:after="200"/>
      </w:pPr>
      <w:r>
        <w:t xml:space="preserve">The implementation is structured across five phases spanning approximately 20–26 weeks, covering smart contract development, AI portrait pipeline, frontend application, infrastructure, and launch operations.</w:t>
      </w:r>
    </w:p>
    <w:p>
      <w:pPr>
        <w:pStyle w:val="Heading1"/>
      </w:pPr>
      <w:r>
        <w:t xml:space="preserve">1. System Architecture Overview</w:t>
      </w:r>
    </w:p>
    <w:p>
      <w:pPr>
        <w:spacing w:after="200"/>
      </w:pPr>
      <w:r>
        <w:t xml:space="preserve">The protocol is composed of six interconnected subsystems that must be built and integrated:</w:t>
      </w:r>
    </w:p>
    <w:p>
      <w:pPr>
        <w:pStyle w:val="ListParagraph"/>
        <w:numPr>
          <w:ilvl w:val="0"/>
          <w:numId w:val="2"/>
        </w:numPr>
        <w:spacing w:after="100"/>
      </w:pPr>
      <w:r>
        <w:rPr>
          <w:b/>
          <w:bCs/>
        </w:rPr>
        <w:t xml:space="preserve">On-Chain Program (Anchor/Solana): </w:t>
      </w:r>
      <w:r>
        <w:t xml:space="preserve">Lock-to-own mechanism, slot state management, displacement logic, settlement condition, and treasury accounting.</w:t>
      </w:r>
    </w:p>
    <w:p>
      <w:pPr>
        <w:pStyle w:val="ListParagraph"/>
        <w:numPr>
          <w:ilvl w:val="0"/>
          <w:numId w:val="2"/>
        </w:numPr>
        <w:spacing w:after="100"/>
      </w:pPr>
      <w:r>
        <w:rPr>
          <w:b/>
          <w:bCs/>
        </w:rPr>
        <w:t xml:space="preserve">Liquid Staking Integration: </w:t>
      </w:r>
      <w:r>
        <w:t xml:space="preserve">SOL deployment into liquid staking tokens (e.g. mSOL, jitoSOL), liquidity buffer management, batched rebalancing swaps.</w:t>
      </w:r>
    </w:p>
    <w:p>
      <w:pPr>
        <w:pStyle w:val="ListParagraph"/>
        <w:numPr>
          <w:ilvl w:val="0"/>
          <w:numId w:val="2"/>
        </w:numPr>
        <w:spacing w:after="100"/>
      </w:pPr>
      <w:r>
        <w:rPr>
          <w:b/>
          <w:bCs/>
        </w:rPr>
        <w:t xml:space="preserve">Oracle Integration: </w:t>
      </w:r>
      <w:r>
        <w:t xml:space="preserve">SOL/USD price feed (Pyth or Switchboard) for stage milestone detection and settlement trigger at $1,000 SOL.</w:t>
      </w:r>
    </w:p>
    <w:p>
      <w:pPr>
        <w:pStyle w:val="ListParagraph"/>
        <w:numPr>
          <w:ilvl w:val="0"/>
          <w:numId w:val="2"/>
        </w:numPr>
        <w:spacing w:after="100"/>
      </w:pPr>
      <w:r>
        <w:rPr>
          <w:b/>
          <w:bCs/>
        </w:rPr>
        <w:t xml:space="preserve">AI Portrait Pipeline: </w:t>
      </w:r>
      <w:r>
        <w:t xml:space="preserve">Off-chain headshot processing, five-stage Baroque portrait generation, style transfer calibrated to lock amount, decentralized storage of finalized outputs.</w:t>
      </w:r>
    </w:p>
    <w:p>
      <w:pPr>
        <w:pStyle w:val="ListParagraph"/>
        <w:numPr>
          <w:ilvl w:val="0"/>
          <w:numId w:val="2"/>
        </w:numPr>
        <w:spacing w:after="100"/>
      </w:pPr>
      <w:r>
        <w:rPr>
          <w:b/>
          <w:bCs/>
        </w:rPr>
        <w:t xml:space="preserve">Dynamic Metadata Engine: </w:t>
      </w:r>
      <w:r>
        <w:t xml:space="preserve">Real-time NFT metadata rendering that selects the correct portrait stage based on current SOL price, serving Metaplex-compatible JSON.</w:t>
      </w:r>
    </w:p>
    <w:p>
      <w:pPr>
        <w:pStyle w:val="ListParagraph"/>
        <w:numPr>
          <w:ilvl w:val="0"/>
          <w:numId w:val="2"/>
        </w:numPr>
        <w:spacing w:after="200"/>
      </w:pPr>
      <w:r>
        <w:rPr>
          <w:b/>
          <w:bCs/>
        </w:rPr>
        <w:t xml:space="preserve">Frontend Application: </w:t>
      </w:r>
      <w:r>
        <w:t xml:space="preserve">Wallet-connected web app with slot browser, lock/displacement interface, portrait studio, and gallery view.</w:t>
      </w:r>
    </w:p>
    <w:p>
      <w:pPr>
        <w:pStyle w:val="Heading1"/>
      </w:pPr>
      <w:r>
        <w:t xml:space="preserve">2. Phase 1 — Foundation (Weeks 1–6)</w:t>
      </w:r>
    </w:p>
    <w:p>
      <w:pPr>
        <w:spacing w:after="200"/>
      </w:pPr>
      <w:r>
        <w:t xml:space="preserve">The first phase establishes the core smart contract infrastructure and the fundamental lock-to-own economics. This is the most critical phase as it defines the protocol’s security model and economic invariants.</w:t>
      </w:r>
    </w:p>
    <w:p>
      <w:pPr>
        <w:pStyle w:val="Heading2"/>
      </w:pPr>
      <w:r>
        <w:t xml:space="preserve">2.1 Smart Contract Development</w:t>
      </w:r>
    </w:p>
    <w:p>
      <w:pPr>
        <w:spacing w:after="200"/>
      </w:pPr>
      <w:r>
        <w:t xml:space="preserve">The on-chain program should be built using Anchor on Solana. The core accounts and instructions include:</w:t>
      </w:r>
    </w:p>
    <w:p>
      <w:pPr>
        <w:spacing w:after="200"/>
      </w:pPr>
      <w:r>
        <w:rPr>
          <w:b/>
          <w:bCs/>
        </w:rPr>
        <w:t xml:space="preserve">Protocol State Account: </w:t>
      </w:r>
      <w:r>
        <w:t xml:space="preserve">Global singleton storing total locked SOL, treasury balance, current SOL price stage, settlement status, admin authority, and configuration parameters (minimum increment percentage, minimum SOL increment, displacement fee basis points, liquidity buffer ratio).</w:t>
      </w:r>
    </w:p>
    <w:p>
      <w:pPr>
        <w:spacing w:after="200"/>
      </w:pPr>
      <w:r>
        <w:rPr>
          <w:b/>
          <w:bCs/>
        </w:rPr>
        <w:t xml:space="preserve">Slot Accounts (PDA per slot): </w:t>
      </w:r>
      <w:r>
        <w:t xml:space="preserve">Each of the 1,000 slots is a Program Derived Address keyed by slot index. Stores current owner pubkey, locked SOL amount, lock timestamp, portrait metadata URI, and portrait finalization status.</w:t>
      </w:r>
    </w:p>
    <w:p>
      <w:pPr>
        <w:spacing w:after="200"/>
      </w:pPr>
      <w:r>
        <w:rPr>
          <w:b/>
          <w:bCs/>
        </w:rPr>
        <w:t xml:space="preserve">Lock History Accounts: </w:t>
      </w:r>
      <w:r>
        <w:t xml:space="preserve">Per-user tracking of active locks across slots, total locked amount, and displacement history for analytics and future airdrop eligibility.</w:t>
      </w:r>
    </w:p>
    <w:p>
      <w:pPr>
        <w:pStyle w:val="Heading2"/>
      </w:pPr>
      <w:r>
        <w:t xml:space="preserve">2.2 Core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 an unowned slot or displace current owner by exceeding lock + minimum increment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 / Rust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Displace</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Refund displaced owner’s exact principal, transfer ownership, reset portrait to placeholder</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Anchor / Rust</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Withdraw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voluntary withdrawal (returns SOL, releases slot)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 / Rust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2–3</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Settlement</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Oracle-triggered freeze at $1,000 SOL; disable new locks; enable withdrawals</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Anchor + Pyth</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3–4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Rebalance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Cranked instruction to swap LST back to SOL when buffer is 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 + Jupiter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4–5</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Admin</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Update config params, pause/unpause, emergency withdrawal</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Anchor / Rust</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5–6</w:t>
            </w:r>
          </w:p>
        </w:tc>
      </w:tr>
    </w:tbl>
    <w:p>
      <w:pPr>
        <w:pStyle w:val="Heading2"/>
      </w:pPr>
      <w:r>
        <w:t xml:space="preserve">2.3 Security Invariants</w:t>
      </w:r>
    </w:p>
    <w:p>
      <w:pPr>
        <w:spacing w:after="200"/>
      </w:pPr>
      <w:r>
        <w:t xml:space="preserve">The following invariants must hold at all times and should be enforced through constraint checks and tested exhaustively:</w:t>
      </w:r>
    </w:p>
    <w:p>
      <w:pPr>
        <w:pStyle w:val="ListParagraph"/>
        <w:numPr>
          <w:ilvl w:val="0"/>
          <w:numId w:val="2"/>
        </w:numPr>
        <w:spacing w:after="100"/>
      </w:pPr>
      <w:r>
        <w:t xml:space="preserve">Total SOL locked across all slots must equal the sum of SOL in the vault + SOL-equivalent value of liquid staking tokens held.</w:t>
      </w:r>
    </w:p>
    <w:p>
      <w:pPr>
        <w:pStyle w:val="ListParagraph"/>
        <w:numPr>
          <w:ilvl w:val="0"/>
          <w:numId w:val="2"/>
        </w:numPr>
        <w:spacing w:after="100"/>
      </w:pPr>
      <w:r>
        <w:t xml:space="preserve">A displaced owner must receive exactly their locked amount in SOL, with zero slippage applied to principal.</w:t>
      </w:r>
    </w:p>
    <w:p>
      <w:pPr>
        <w:pStyle w:val="ListParagraph"/>
        <w:numPr>
          <w:ilvl w:val="0"/>
          <w:numId w:val="2"/>
        </w:numPr>
        <w:spacing w:after="100"/>
      </w:pPr>
      <w:r>
        <w:t xml:space="preserve">The liquidity buffer must be sufficient to cover at least the top N displacements at any time (configurable N).</w:t>
      </w:r>
    </w:p>
    <w:p>
      <w:pPr>
        <w:pStyle w:val="ListParagraph"/>
        <w:numPr>
          <w:ilvl w:val="0"/>
          <w:numId w:val="2"/>
        </w:numPr>
        <w:spacing w:after="200"/>
      </w:pPr>
      <w:r>
        <w:t xml:space="preserve">Post-settlement, no new locks or displacements are possible; only withdrawals are permitted.</w:t>
      </w:r>
    </w:p>
    <w:p>
      <w:pPr>
        <w:pStyle w:val="Heading2"/>
      </w:pPr>
      <w:r>
        <w:t xml:space="preserve">2.4 Liquid Staking Integration</w:t>
      </w:r>
    </w:p>
    <w:p>
      <w:pPr>
        <w:spacing w:after="200"/>
      </w:pPr>
      <w:r>
        <w:t xml:space="preserve">Locked SOL should be deployed into a liquid staking protocol such as Marinade (mSOL) or Jito (jitoSOL). The integration requires a configurable buffer ratio (e.g. 20% SOL / 80% LST) and a cranked rebalance instruction that monitors buffer levels and executes batched swaps via Jupiter aggregator when the buffer drops below threshold. All staking yield accrues to the protocol treasury account, never to individual lockers.</w:t>
      </w:r>
    </w:p>
    <w:p>
      <w:r>
        <w:br w:type="page"/>
      </w:r>
    </w:p>
    <w:p>
      <w:pPr>
        <w:pStyle w:val="Heading1"/>
      </w:pPr>
      <w:r>
        <w:t xml:space="preserve">3. Phase 2 — Portrait Pipeline (Weeks 5–10)</w:t>
      </w:r>
    </w:p>
    <w:p>
      <w:pPr>
        <w:spacing w:after="200"/>
      </w:pPr>
      <w:r>
        <w:t xml:space="preserve">The AI portrait generation system is the protocol’s most distinctive feature and the primary driver of cultural adoption. It must produce gallery-quality Baroque oil portraits personalized to each owner’s likeness.</w:t>
      </w:r>
    </w:p>
    <w:p>
      <w:pPr>
        <w:pStyle w:val="Heading2"/>
      </w:pPr>
      <w:r>
        <w:t xml:space="preserve">3.1 Pipeline Architecture</w:t>
      </w:r>
    </w:p>
    <w:p>
      <w:pPr>
        <w:spacing w:after="200"/>
      </w:pPr>
      <w:r>
        <w:t xml:space="preserve">The portrait pipeline operates off-chain and consists of four stages: headshot ingestion, face analysis and embedding, style-conditioned generation, and quality assurance with finalization.</w:t>
      </w:r>
    </w:p>
    <w:p>
      <w:pPr>
        <w:spacing w:after="200"/>
      </w:pPr>
      <w:r>
        <w:rPr>
          <w:b/>
          <w:bCs/>
        </w:rPr>
        <w:t xml:space="preserve">Headshot Ingestion: </w:t>
      </w:r>
      <w:r>
        <w:t xml:space="preserve">Owner uploads a headshot through the frontend. The image is validated for quality (resolution, face detection, lighting). Images are processed ephemerally and never permanently stored in raw form. A face embedding is extracted and cached for the generation session only.</w:t>
      </w:r>
    </w:p>
    <w:p>
      <w:pPr>
        <w:spacing w:after="200"/>
      </w:pPr>
      <w:r>
        <w:rPr>
          <w:b/>
          <w:bCs/>
        </w:rPr>
        <w:t xml:space="preserve">Five-Stage Generation: </w:t>
      </w:r>
      <w:r>
        <w:t xml:space="preserve">Using a fine-tuned diffusion model (Stable Diffusion XL or Flux), all five portrait stages are generated simultaneously at finalization. Each stage is conditioned on a detailed prompt template encoding the Baroque aesthetic, chiaroscuro lighting, dark background, and stage-specific attributes (clothing, jewelry, ornamentation level, expression).</w:t>
      </w:r>
    </w:p>
    <w:p>
      <w:pPr>
        <w:spacing w:after="200"/>
      </w:pPr>
      <w:r>
        <w:rPr>
          <w:b/>
          <w:bCs/>
        </w:rPr>
        <w:t xml:space="preserve">Lock-Amount Aesthetic Calibration: </w:t>
      </w:r>
      <w:r>
        <w:t xml:space="preserve">Within each stage, the locked SOL amount determines aesthetic refinement. Higher locks unlock richer textures, rarer accessories (diamond grills, Solana-branded eyewear, iced-out watches), more intricate brushwork detail, and premium ornamentation tiers. This is implemented via prompt engineering variables and LoRA weight scaling.</w:t>
      </w:r>
    </w:p>
    <w:p>
      <w:pPr>
        <w:spacing w:after="200"/>
      </w:pPr>
      <w:r>
        <w:rPr>
          <w:b/>
          <w:bCs/>
        </w:rPr>
        <w:t xml:space="preserve">Finalization and Storage: </w:t>
      </w:r>
      <w:r>
        <w:t xml:space="preserve">After optional draft iterations (limited per ownership cycle), the owner finalizes their portrait set. All five high-resolution images are uploaded to Arweave for permanent decentralized storage. The NFT metadata URI is updated on-chain to reference the new portrait set.</w:t>
      </w:r>
    </w:p>
    <w:p>
      <w:pPr>
        <w:pStyle w:val="Heading2"/>
      </w:pPr>
      <w:r>
        <w:t xml:space="preserve">3.2 Stage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Humble Believer — Restrained clothing, minimal ornamentation, quiet conviction, warm earth tones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$200 SOL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tier</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Stage II</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Rising Confidence — Refined fabrics, subtle accessories appear, upright posture, emerging assurance</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$200–$399</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Mid 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III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Established Wealth — Explicit jewelry, intensified lighting, accomplished expression, visible success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$400–$599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tier</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Stage IV</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Maximum Excess — Diamond grills, layered chains, iced watches, Solana glasses, dramatic flash lighting, full spectacle</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$600–$799</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Peak 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Reflective Maturity — Spectacle recedes, ornamentation softens, contemplative expression, composure without triumph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$800–$1000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tier</w:t>
            </w:r>
          </w:p>
        </w:tc>
      </w:tr>
    </w:tbl>
    <w:p>
      <w:pPr>
        <w:pStyle w:val="Heading2"/>
      </w:pPr>
      <w:r>
        <w:t xml:space="preserve">3.3 AI Model Requirements</w:t>
      </w:r>
    </w:p>
    <w:p>
      <w:pPr>
        <w:pStyle w:val="ListParagraph"/>
        <w:numPr>
          <w:ilvl w:val="0"/>
          <w:numId w:val="2"/>
        </w:numPr>
        <w:spacing w:after="100"/>
      </w:pPr>
      <w:r>
        <w:rPr>
          <w:b/>
          <w:bCs/>
        </w:rPr>
        <w:t xml:space="preserve">Base Model: </w:t>
      </w:r>
      <w:r>
        <w:t xml:space="preserve">SDXL or Flux Dev, fine-tuned on curated Baroque/Renaissance oil painting dataset (~2,000–5,000 high-res reference images).</w:t>
      </w:r>
    </w:p>
    <w:p>
      <w:pPr>
        <w:pStyle w:val="ListParagraph"/>
        <w:numPr>
          <w:ilvl w:val="0"/>
          <w:numId w:val="2"/>
        </w:numPr>
        <w:spacing w:after="100"/>
      </w:pPr>
      <w:r>
        <w:rPr>
          <w:b/>
          <w:bCs/>
        </w:rPr>
        <w:t xml:space="preserve">Face Preservation: </w:t>
      </w:r>
      <w:r>
        <w:t xml:space="preserve">IP-Adapter or InstantID for likeness transfer from headshot to painted style while maintaining identity.</w:t>
      </w:r>
    </w:p>
    <w:p>
      <w:pPr>
        <w:pStyle w:val="ListParagraph"/>
        <w:numPr>
          <w:ilvl w:val="0"/>
          <w:numId w:val="2"/>
        </w:numPr>
        <w:spacing w:after="100"/>
      </w:pPr>
      <w:r>
        <w:rPr>
          <w:b/>
          <w:bCs/>
        </w:rPr>
        <w:t xml:space="preserve">Style LoRA: </w:t>
      </w:r>
      <w:r>
        <w:t xml:space="preserve">Custom LoRA trained on the specific Baroque oil portrait aesthetic shown in the reference images (chiaroscuro, cracked canvas texture, visible brushstrokes).</w:t>
      </w:r>
    </w:p>
    <w:p>
      <w:pPr>
        <w:pStyle w:val="ListParagraph"/>
        <w:numPr>
          <w:ilvl w:val="0"/>
          <w:numId w:val="2"/>
        </w:numPr>
        <w:spacing w:after="100"/>
      </w:pPr>
      <w:r>
        <w:rPr>
          <w:b/>
          <w:bCs/>
        </w:rPr>
        <w:t xml:space="preserve">Accessory Control: </w:t>
      </w:r>
      <w:r>
        <w:t xml:space="preserve">ControlNet or regional prompting for precise placement of stage-specific accessories (grills, chains, watches, glasses).</w:t>
      </w:r>
    </w:p>
    <w:p>
      <w:pPr>
        <w:pStyle w:val="ListParagraph"/>
        <w:numPr>
          <w:ilvl w:val="0"/>
          <w:numId w:val="2"/>
        </w:numPr>
        <w:spacing w:after="200"/>
      </w:pPr>
      <w:r>
        <w:rPr>
          <w:b/>
          <w:bCs/>
        </w:rPr>
        <w:t xml:space="preserve">Infrastructure: </w:t>
      </w:r>
      <w:r>
        <w:t xml:space="preserve">GPU inference cluster (A100 or H100) with queue management, ~30–60 second generation time per image, 5 images per finalization.</w:t>
      </w:r>
    </w:p>
    <w:p>
      <w:pPr>
        <w:pStyle w:val="Heading1"/>
      </w:pPr>
      <w:r>
        <w:t xml:space="preserve">4. Phase 3 — Frontend &amp; UX (Weeks 7–14)</w:t>
      </w:r>
    </w:p>
    <w:p>
      <w:pPr>
        <w:spacing w:after="200"/>
      </w:pPr>
      <w:r>
        <w:t xml:space="preserve">The frontend is a wallet-connected web application that serves as the primary interface for locking SOL, managing slots, generating portraits, and browsing the collection.</w:t>
      </w:r>
    </w:p>
    <w:p>
      <w:pPr>
        <w:pStyle w:val="Heading2"/>
      </w:pPr>
      <w:r>
        <w:t xml:space="preserve">4.1 Core Pages</w:t>
      </w:r>
    </w:p>
    <w:p>
      <w:pPr>
        <w:spacing w:after="200"/>
      </w:pPr>
      <w:r>
        <w:rPr>
          <w:b/>
          <w:bCs/>
        </w:rPr>
        <w:t xml:space="preserve">Gallery / Slot Browser: </w:t>
      </w:r>
      <w:r>
        <w:t xml:space="preserve">Grid view of all 1,000 slots showing current portraits (or placeholders), owner addresses, locked amounts, and stage indicators. Filterable by stage, lock amount, and availability. This is the public-facing showcase of the collection.</w:t>
      </w:r>
    </w:p>
    <w:p>
      <w:pPr>
        <w:spacing w:after="200"/>
      </w:pPr>
      <w:r>
        <w:rPr>
          <w:b/>
          <w:bCs/>
        </w:rPr>
        <w:t xml:space="preserve">Slot Detail Page: </w:t>
      </w:r>
      <w:r>
        <w:t xml:space="preserve">Individual slot view showing the current portrait at full resolution, ownership history, lock amount, displacement history, and a “Challenge” button to initiate a lock that displaces the current owner.</w:t>
      </w:r>
    </w:p>
    <w:p>
      <w:pPr>
        <w:spacing w:after="200"/>
      </w:pPr>
      <w:r>
        <w:rPr>
          <w:b/>
          <w:bCs/>
        </w:rPr>
        <w:t xml:space="preserve">Portrait Studio: </w:t>
      </w:r>
      <w:r>
        <w:t xml:space="preserve">Authenticated owner-only interface for uploading headshots, previewing draft portraits, iterating within the allowed draft count, and finalizing the five-stage portrait set. Must communicate the ephemeral nature of headshot data and the one-finalization-per-cycle constraint.</w:t>
      </w:r>
    </w:p>
    <w:p>
      <w:pPr>
        <w:spacing w:after="200"/>
      </w:pPr>
      <w:r>
        <w:rPr>
          <w:b/>
          <w:bCs/>
        </w:rPr>
        <w:t xml:space="preserve">Dashboard: </w:t>
      </w:r>
      <w:r>
        <w:t xml:space="preserve">User’s personal view showing owned slots, active locks, total locked SOL, displacement alerts, portrait status, and withdrawal options.</w:t>
      </w:r>
    </w:p>
    <w:p>
      <w:pPr>
        <w:spacing w:after="200"/>
      </w:pPr>
      <w:r>
        <w:rPr>
          <w:b/>
          <w:bCs/>
        </w:rPr>
        <w:t xml:space="preserve">Protocol Stats: </w:t>
      </w:r>
      <w:r>
        <w:t xml:space="preserve">Public page showing total locked SOL, treasury yield accrued, current SOL price stage, number of active owners, displacement frequency, and countdown/progress toward the $1,000 settlement milestone.</w:t>
      </w:r>
    </w:p>
    <w:p>
      <w:pPr>
        <w:pStyle w:val="Heading2"/>
      </w:pPr>
      <w:r>
        <w:t xml:space="preserve">4.2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with App Router, server components for SEO-critical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7–9</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Wallet</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Solana Wallet Adapter (Phantom, Backpack, Solflare support)</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@solana/wallet-adapter</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7–8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On-Chain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 client SDK auto-generated from IDL, transaction building and signing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 TS SDK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8–10</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State</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React Query for server state, Zustand for client state, WebSocket for real-time updates</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React Query + WS</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9–11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Portrait Studio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 with client-side face validation, WebSocket progress for generation, gallery preview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API + WS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10–13</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Styling</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Tailwind CSS with custom dark theme, oil-painting-inspired textures, responsive grid layout</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7–14</w:t>
            </w:r>
          </w:p>
        </w:tc>
      </w:tr>
    </w:tbl>
    <w:p>
      <w:r>
        <w:br w:type="page"/>
      </w:r>
    </w:p>
    <w:p>
      <w:pPr>
        <w:pStyle w:val="Heading1"/>
      </w:pPr>
      <w:r>
        <w:t xml:space="preserve">5. Phase 4 — Infrastructure &amp; Integration (Weeks 12–18)</w:t>
      </w:r>
    </w:p>
    <w:p>
      <w:pPr>
        <w:spacing w:after="200"/>
      </w:pPr>
      <w:r>
        <w:t xml:space="preserve">This phase connects all subsystems and hardens the protocol for mainnet deployment.</w:t>
      </w:r>
    </w:p>
    <w:p>
      <w:pPr>
        <w:pStyle w:val="Heading2"/>
      </w:pPr>
      <w:r>
        <w:t xml:space="preserve">5.1 Dynamic Metadata Engine</w:t>
      </w:r>
    </w:p>
    <w:p>
      <w:pPr>
        <w:spacing w:after="200"/>
      </w:pPr>
      <w:r>
        <w:t xml:space="preserve">The metadata engine is a server that responds to Metaplex-compatible metadata requests for each NFT. It reads the current SOL price from the oracle, determines the active stage, and returns JSON pointing to the appropriate portrait image from the owner’s five-stage set stored on Arweave. The engine must handle high request volumes from marketplace indexers (Magic Eden, Tensor) and wallet displays.</w:t>
      </w:r>
    </w:p>
    <w:p>
      <w:pPr>
        <w:pStyle w:val="Heading2"/>
      </w:pPr>
      <w:r>
        <w:t xml:space="preserve">5.2 Oracle Integration</w:t>
      </w:r>
    </w:p>
    <w:p>
      <w:pPr>
        <w:spacing w:after="200"/>
      </w:pPr>
      <w:r>
        <w:t xml:space="preserve">SOL/USD price is consumed from Pyth Network’s on-chain price feed. The protocol reads this feed during stage determination and settlement checks. A cranked instruction periodically updates the protocol’s cached price stage to minimize per-transaction oracle reads. The settlement trigger at $1,000 SOL requires a confirmation window (e.g. price sustained above threshold for N consecutive oracle updates) to prevent flash-spike settlements.</w:t>
      </w:r>
    </w:p>
    <w:p>
      <w:pPr>
        <w:pStyle w:val="Heading2"/>
      </w:pPr>
      <w:r>
        <w:t xml:space="preserve">5.3 Decentralized Storage</w:t>
      </w:r>
    </w:p>
    <w:p>
      <w:pPr>
        <w:spacing w:after="200"/>
      </w:pPr>
      <w:r>
        <w:t xml:space="preserve">Finalized portrait images are stored on Arweave via Irys (formerly Bundlr) for permanent availability. Each owner’s five-stage set is uploaded as a bundle. Metadata JSON is also stored on Arweave with the dynamic metadata server acting as a resolver that selects the correct stage URI.</w:t>
      </w:r>
    </w:p>
    <w:p>
      <w:pPr>
        <w:pStyle w:val="Heading2"/>
      </w:pPr>
      <w:r>
        <w:t xml:space="preserve">5.4 Security Audit</w:t>
      </w:r>
    </w:p>
    <w:p>
      <w:pPr>
        <w:spacing w:after="200"/>
      </w:pPr>
      <w:r>
        <w:t xml:space="preserve">The smart contract must undergo a professional security audit before mainnet deployment. Recommended firms include OtterSec, Neodyme, or Sec3. The audit scope should cover the lock-to-own mechanism, displacement logic, principal refund guarantees, liquid staking integration, settlement condition, and admin privilege boundaries. Budget 4–6 weeks for audit engagement and remediation.</w:t>
      </w:r>
    </w:p>
    <w:p>
      <w:pPr>
        <w:pStyle w:val="Heading2"/>
      </w:pPr>
      <w:r>
        <w:t xml:space="preserve">5.5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Solana RPC (Helius or Triton) with WebSocket support for real-time slot updates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Helius / Triton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12–13</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Node.js service for portrait queue management, metadata serving, and analytics</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Express + Redis</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12–15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GPU Cluster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GPU inference (Replicate, Modal, or self-hosted) for portrait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A100 / H100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13–16</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Storage</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Arweave via Irys for portrait permanence, R2/S3 for ephemeral headshot processing</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Arweave + R2</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14–16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On-chain event indexing, treasury balance tracking, displacement alerting, uptime monitoring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Helius Webhooks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15–18</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CDN</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Edge caching for portrait images and metadata responses to handle marketplace indexer load</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Cloudflare</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16–18</w:t>
            </w:r>
          </w:p>
        </w:tc>
      </w:tr>
    </w:tbl>
    <w:p>
      <w:pPr>
        <w:pStyle w:val="Heading1"/>
      </w:pPr>
      <w:r>
        <w:t xml:space="preserve">6. Phase 5 — Launch &amp; Growth (Weeks 18–26)</w:t>
      </w:r>
    </w:p>
    <w:p>
      <w:pPr>
        <w:spacing w:after="200"/>
      </w:pPr>
      <w:r>
        <w:t xml:space="preserve">The final phase covers testnet validation, mainnet deployment, community building, and post-launch operations.</w:t>
      </w:r>
    </w:p>
    <w:p>
      <w:pPr>
        <w:pStyle w:val="Heading2"/>
      </w:pPr>
      <w:r>
        <w:t xml:space="preserve">6.1 Testnet Launch</w:t>
      </w:r>
    </w:p>
    <w:p>
      <w:pPr>
        <w:spacing w:after="200"/>
      </w:pPr>
      <w:r>
        <w:t xml:space="preserve">Deploy to Solana devnet with simulated SOL price stages. Run a closed beta with 50–100 participants to stress-test the lock/displacement cycle, portrait generation pipeline, and metadata rendering. Gather feedback on UX, portrait quality, and displacement economics before mainnet.</w:t>
      </w:r>
    </w:p>
    <w:p>
      <w:pPr>
        <w:pStyle w:val="Heading2"/>
      </w:pPr>
      <w:r>
        <w:t xml:space="preserve">6.2 Mainnet Deployment</w:t>
      </w:r>
    </w:p>
    <w:p>
      <w:pPr>
        <w:spacing w:after="200"/>
      </w:pPr>
      <w:r>
        <w:t xml:space="preserve">Mainnet launch should be staged: open 100 slots initially, then expand to 500, then the full 1,000 as operational confidence grows. This allows for controlled scaling of the portrait generation infrastructure and early community cultivation.</w:t>
      </w:r>
    </w:p>
    <w:p>
      <w:pPr>
        <w:pStyle w:val="Heading2"/>
      </w:pPr>
      <w:r>
        <w:t xml:space="preserve">6.3 Community &amp; Culture</w:t>
      </w:r>
    </w:p>
    <w:p>
      <w:pPr>
        <w:spacing w:after="200"/>
      </w:pPr>
      <w:r>
        <w:t xml:space="preserve">The protocol’s cultural positioning — Baroque oil paintings meets crypto degen aesthetics — is a core differentiator. The launch strategy should emphasize the visual identity: holders adopting their portrait as their PFP across Twitter/X, Discord, and Farcaster creates organic viral distribution. The “controlled irony” of classical painting with diamond grills and Solana glasses is inherently shareable.</w:t>
      </w:r>
    </w:p>
    <w:p>
      <w:pPr>
        <w:pStyle w:val="Heading2"/>
      </w:pPr>
      <w:r>
        <w:t xml:space="preserve">6.4 Revenue Model</w:t>
      </w:r>
    </w:p>
    <w:p>
      <w:pPr>
        <w:spacing w:after="200"/>
      </w:pPr>
      <w:r>
        <w:t xml:space="preserve">Protocol revenue derives entirely from staking yield on locked SOL. With 1,000 slots and an average lock of 10 SOL per slot, 10,000 SOL deployed at ~7% APY generates ~700 SOL/year in treasury revenue. Revenue scales with total locked capital and conviction depth — higher average locks produce more yield. Displacement fees provide supplementary revenue and discourage adversarial micro-bidding.</w:t>
      </w:r>
    </w:p>
    <w:p>
      <w:r>
        <w:br w:type="page"/>
      </w:r>
    </w:p>
    <w:p>
      <w:pPr>
        <w:pStyle w:val="Heading1"/>
      </w:pPr>
      <w:r>
        <w:t xml:space="preserve">7. Timeline Summary</w:t>
      </w:r>
    </w:p>
    <w:p>
      <w:pPr>
        <w:spacing w:after="200"/>
      </w:pPr>
      <w:r>
        <w:t xml:space="preserve">The complete implementation spans approximately 20–26 weeks across five overlapping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Weeks</w:t>
            </w:r>
          </w:p>
        </w:tc>
      </w:tr>
      <w:tr>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Phase 1</w:t>
            </w:r>
          </w:p>
        </w:tc>
        <w:tc>
          <w:tcPr>
            <w:tcW w:type="dxa" w:w="4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Smart Contracts, Lock-to-Own, Liquid Staking, Oracle</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Weeks 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Portrait Pipeline, Style LoRA, Face Preservation, Storage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5–10</w:t>
            </w:r>
          </w:p>
        </w:tc>
      </w:tr>
      <w:tr>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Phase 3</w:t>
            </w:r>
          </w:p>
        </w:tc>
        <w:tc>
          <w:tcPr>
            <w:tcW w:type="dxa" w:w="4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Frontend App, Wallet Integration, Portrait Studio, Gallery</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Weeks 7–14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Metadata Engine, Security Audit, Monitoring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12–18</w:t>
            </w:r>
          </w:p>
        </w:tc>
      </w:tr>
      <w:tr>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Phase 5</w:t>
            </w:r>
          </w:p>
        </w:tc>
        <w:tc>
          <w:tcPr>
            <w:tcW w:type="dxa" w:w="4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Testnet, Staged Mainnet Launch, Community, Growth</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Weeks 18–26</w:t>
            </w:r>
          </w:p>
        </w:tc>
      </w:tr>
    </w:tbl>
    <w:p>
      <w:pPr>
        <w:spacing w:before="400"/>
      </w:pPr>
    </w:p>
    <w:p>
      <w:pPr>
        <w:pStyle w:val="Heading1"/>
      </w:pPr>
      <w:r>
        <w:t xml:space="preserve">8. Recommended Team Composition</w:t>
      </w:r>
    </w:p>
    <w:p>
      <w:pPr>
        <w:spacing w:after="200"/>
      </w:pPr>
      <w:r>
        <w:t xml:space="preserve">To execute this plan effectively, the following roles are recommended:</w:t>
      </w:r>
    </w:p>
    <w:p>
      <w:pPr>
        <w:pStyle w:val="ListParagraph"/>
        <w:numPr>
          <w:ilvl w:val="0"/>
          <w:numId w:val="2"/>
        </w:numPr>
        <w:spacing w:after="100"/>
      </w:pPr>
      <w:r>
        <w:rPr>
          <w:b/>
          <w:bCs/>
        </w:rPr>
        <w:t xml:space="preserve">Solana Smart Contract Engineer (Rust/Anchor): </w:t>
      </w:r>
      <w:r>
        <w:t xml:space="preserve">Owns the on-chain program, liquid staking integration, oracle hookup, and security invariants. This is the most critical hire.</w:t>
      </w:r>
    </w:p>
    <w:p>
      <w:pPr>
        <w:pStyle w:val="ListParagraph"/>
        <w:numPr>
          <w:ilvl w:val="0"/>
          <w:numId w:val="2"/>
        </w:numPr>
        <w:spacing w:after="100"/>
      </w:pPr>
      <w:r>
        <w:rPr>
          <w:b/>
          <w:bCs/>
        </w:rPr>
        <w:t xml:space="preserve">AI/ML Engineer (Diffusion Models): </w:t>
      </w:r>
      <w:r>
        <w:t xml:space="preserve">Builds and fine-tunes the portrait generation pipeline, trains the Baroque style LoRA, implements face preservation (IP-Adapter/InstantID), and manages GPU infrastructure.</w:t>
      </w:r>
    </w:p>
    <w:p>
      <w:pPr>
        <w:pStyle w:val="ListParagraph"/>
        <w:numPr>
          <w:ilvl w:val="0"/>
          <w:numId w:val="2"/>
        </w:numPr>
        <w:spacing w:after="100"/>
      </w:pPr>
      <w:r>
        <w:rPr>
          <w:b/>
          <w:bCs/>
        </w:rPr>
        <w:t xml:space="preserve">Full-Stack Engineer (Next.js/TypeScript): </w:t>
      </w:r>
      <w:r>
        <w:t xml:space="preserve">Builds the frontend application, wallet integration, portrait studio UX, metadata engine, and backend API.</w:t>
      </w:r>
    </w:p>
    <w:p>
      <w:pPr>
        <w:pStyle w:val="ListParagraph"/>
        <w:numPr>
          <w:ilvl w:val="0"/>
          <w:numId w:val="2"/>
        </w:numPr>
        <w:spacing w:after="100"/>
      </w:pPr>
      <w:r>
        <w:rPr>
          <w:b/>
          <w:bCs/>
        </w:rPr>
        <w:t xml:space="preserve">Designer / Art Director: </w:t>
      </w:r>
      <w:r>
        <w:t xml:space="preserve">Defines the visual language, curates the training dataset for the style LoRA, designs the stage progression aesthetics, and ensures the “controlled irony” tone is maintained across all outputs.</w:t>
      </w:r>
    </w:p>
    <w:p>
      <w:pPr>
        <w:pStyle w:val="ListParagraph"/>
        <w:numPr>
          <w:ilvl w:val="0"/>
          <w:numId w:val="2"/>
        </w:numPr>
        <w:spacing w:after="200"/>
      </w:pPr>
      <w:r>
        <w:rPr>
          <w:b/>
          <w:bCs/>
        </w:rPr>
        <w:t xml:space="preserve">Community / Growth Lead: </w:t>
      </w:r>
      <w:r>
        <w:t xml:space="preserve">Manages the cultural rollout, Twitter/X presence, Discord, influencer seeding, and coordinates the staged mainnet launch.</w:t>
      </w:r>
    </w:p>
    <w:p>
      <w:pPr>
        <w:pStyle w:val="Heading1"/>
      </w:pPr>
      <w:r>
        <w:t xml:space="preserve">9.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Contract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Vulnerability in lock/refund logic leading to loss of principal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audit (OtterSec/Neodyme), formal verification of invariants, bug bounty program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LST Depeg</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Liquid staking token depegs from SOL, breaking principal guarantee</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Conservative buffer ratio, multiple LST providers, circuit breaker on depeg detection</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Portrait Quality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portraits inconsistent or low quality at scale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Extensive LoRA fine-tuning, human QA layer, draft iteration limit, curated training data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Oracle Failure</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Price feed manipulation triggers premature settlement</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Confirmation window (N consecutive updates), multiple oracle sources, admin override</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Insufficient conviction to fill 1,000 slots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Staged rollout (100 → 500 → 1000), strong cultural positioning, influencer seeding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before="400"/>
      </w:pPr>
    </w:p>
    <w:p>
      <w:pPr>
        <w:pStyle w:val="Heading1"/>
      </w:pPr>
      <w:r>
        <w:t xml:space="preserve">10. Next Steps</w:t>
      </w:r>
    </w:p>
    <w:p>
      <w:pPr>
        <w:spacing w:after="200"/>
      </w:pPr>
      <w:r>
        <w:t xml:space="preserve">The immediate priorities to move from planning to execution are:</w:t>
      </w:r>
    </w:p>
    <w:p>
      <w:pPr>
        <w:pStyle w:val="ListParagraph"/>
        <w:numPr>
          <w:ilvl w:val="0"/>
          <w:numId w:val="3"/>
        </w:numPr>
        <w:spacing w:after="100"/>
      </w:pPr>
      <w:r>
        <w:rPr>
          <w:b/>
          <w:bCs/>
        </w:rPr>
        <w:t xml:space="preserve">Finalize the project name and brand identity </w:t>
      </w:r>
      <w:r>
        <w:t xml:space="preserve">(noted as TBD in the whitepaper). The name should capture both the Baroque aesthetic and the conviction mechanic.</w:t>
      </w:r>
    </w:p>
    <w:p>
      <w:pPr>
        <w:pStyle w:val="ListParagraph"/>
        <w:numPr>
          <w:ilvl w:val="0"/>
          <w:numId w:val="3"/>
        </w:numPr>
        <w:spacing w:after="100"/>
      </w:pPr>
      <w:r>
        <w:rPr>
          <w:b/>
          <w:bCs/>
        </w:rPr>
        <w:t xml:space="preserve">Recruit the Solana smart contract engineer </w:t>
      </w:r>
      <w:r>
        <w:t xml:space="preserve">as the first technical hire. The on-chain program is the foundation everything else depends on.</w:t>
      </w:r>
    </w:p>
    <w:p>
      <w:pPr>
        <w:pStyle w:val="ListParagraph"/>
        <w:numPr>
          <w:ilvl w:val="0"/>
          <w:numId w:val="3"/>
        </w:numPr>
        <w:spacing w:after="100"/>
      </w:pPr>
      <w:r>
        <w:rPr>
          <w:b/>
          <w:bCs/>
        </w:rPr>
        <w:t xml:space="preserve">Begin curating the Baroque oil painting training dataset </w:t>
      </w:r>
      <w:r>
        <w:t xml:space="preserve">for the style LoRA. The reference images you’ve generated set an excellent art direction — codify this into a systematic training set.</w:t>
      </w:r>
    </w:p>
    <w:p>
      <w:pPr>
        <w:pStyle w:val="ListParagraph"/>
        <w:numPr>
          <w:ilvl w:val="0"/>
          <w:numId w:val="3"/>
        </w:numPr>
        <w:spacing w:after="100"/>
      </w:pPr>
      <w:r>
        <w:rPr>
          <w:b/>
          <w:bCs/>
        </w:rPr>
        <w:t xml:space="preserve">Set up the development environment </w:t>
      </w:r>
      <w:r>
        <w:t xml:space="preserve">with Anchor project scaffolding, Solana devnet deployment pipeline, and CI/CD for the smart contract.</w:t>
      </w:r>
    </w:p>
    <w:p>
      <w:pPr>
        <w:pStyle w:val="ListParagraph"/>
        <w:numPr>
          <w:ilvl w:val="0"/>
          <w:numId w:val="3"/>
        </w:numPr>
        <w:spacing w:after="200"/>
      </w:pPr>
      <w:r>
        <w:rPr>
          <w:b/>
          <w:bCs/>
        </w:rPr>
        <w:t xml:space="preserve">Prototype the portrait generation pipeline </w:t>
      </w:r>
      <w:r>
        <w:t xml:space="preserve">using your existing reference images as style targets. Validate face preservation quality with IP-Adapter before committing to the full LoRA training.</w:t>
      </w:r>
    </w:p>
    <w:p>
      <w:pPr>
        <w:pBdr>
          <w:top w:val="single" w:color="1A1A2E" w:sz="6" w:space="8"/>
        </w:pBdr>
        <w:spacing w:before="400"/>
      </w:pPr>
      <w:r>
        <w:rPr>
          <w:i/>
          <w:iCs/>
          <w:color w:val="555555"/>
        </w:rPr>
        <w:t xml:space="preserve">This protocol has the potential to create an entirely new NFT primitive — one where conviction is quantified, identity is earned, and wealth is narrative rather than endpoint. The art direction is exceptional and the economic design is sound. Let’s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SOLAZZO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1b27be6e1147e136c1b67f4697606617f15b3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2026-02-24T15:04:55.069Z</dcterms:created>
  <dcterms:modified xsi:type="dcterms:W3CDTF">2026-02-24T15:04:55.070Z</dcterms:modified>
</cp:coreProperties>
</file>

<file path=docProps/custom.xml><?xml version="1.0" encoding="utf-8"?>
<Properties xmlns="http://schemas.openxmlformats.org/officeDocument/2006/custom-properties" xmlns:vt="http://schemas.openxmlformats.org/officeDocument/2006/docPropsVTypes"/>
</file>