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w:hAnsi="Aptos"/>
          <w:b/>
          <w:color w:val="6366F1"/>
          <w:sz w:val="20"/>
        </w:rPr>
        <w:t>PART 2 IN THE DCP SERIES</w:t>
      </w:r>
    </w:p>
    <w:p>
      <w:pPr>
        <w:pStyle w:val="Title"/>
        <w:jc w:val="center"/>
      </w:pPr>
      <w:r>
        <w:t>The Baseline Shift</w:t>
      </w:r>
    </w:p>
    <w:p>
      <w:pPr>
        <w:pStyle w:val="Subtitle"/>
        <w:jc w:val="center"/>
      </w:pPr>
      <w:r>
        <w:t>Software Work in an Interconnected World</w:t>
      </w:r>
    </w:p>
    <w:p>
      <w:pPr>
        <w:spacing w:before="360"/>
        <w:jc w:val="center"/>
      </w:pPr>
      <w:r>
        <w:rPr>
          <w:rFonts w:ascii="Aptos" w:hAnsi="Aptos"/>
          <w:color w:val="4B5563"/>
          <w:sz w:val="22"/>
        </w:rPr>
        <w:t>By Vinay Verma</w:t>
      </w:r>
    </w:p>
    <w:tbl>
      <w:tblPr>
        <w:tblW w:type="auto" w:w="0"/>
        <w:jc w:val="center"/>
        <w:tblLayout w:type="fixed"/>
        <w:tblLook w:firstColumn="1" w:firstRow="1" w:lastColumn="0" w:lastRow="0" w:noHBand="0" w:noVBand="1" w:val="04A0"/>
      </w:tblPr>
      <w:tblGrid>
        <w:gridCol w:w="8352"/>
      </w:tblGrid>
      <w:tr>
        <w:tc>
          <w:tcPr>
            <w:tcW w:type="dxa" w:w="9936"/>
            <w:shd w:fill="EEF2FF"/>
            <w:vAlign w:val="center"/>
          </w:tcPr>
          <w:p>
            <w:pPr>
              <w:spacing w:before="200" w:after="200"/>
              <w:jc w:val="center"/>
            </w:pPr>
            <w:r>
              <w:rPr>
                <w:rFonts w:ascii="Aptos" w:hAnsi="Aptos"/>
                <w:i/>
                <w:color w:val="1F2937"/>
                <w:sz w:val="26"/>
              </w:rPr>
              <w:t>The panic is not that AI can write code. The real shift is that software work is moving from building isolated components to assembling governable systems.</w:t>
            </w:r>
          </w:p>
        </w:tc>
      </w:tr>
    </w:tbl>
    <w:p>
      <w:r>
        <w:br w:type="page"/>
      </w:r>
    </w:p>
    <w:p>
      <w:pPr>
        <w:pStyle w:val="Heading1"/>
      </w:pPr>
      <w:r>
        <w:t>Contents</w:t>
      </w:r>
    </w:p>
    <w:p>
      <w:pPr>
        <w:spacing w:after="40"/>
        <w:ind w:left="288"/>
      </w:pPr>
      <w:r>
        <w:t>1. Opening: the panic is real, but the diagnosis is shallow</w:t>
      </w:r>
    </w:p>
    <w:p>
      <w:pPr>
        <w:spacing w:after="40"/>
        <w:ind w:left="288"/>
      </w:pPr>
      <w:r>
        <w:t>2. From software as an app to software as an environment</w:t>
      </w:r>
    </w:p>
    <w:p>
      <w:pPr>
        <w:spacing w:after="40"/>
        <w:ind w:left="288"/>
      </w:pPr>
      <w:r>
        <w:t>3. The IoT lesson: connected is not the same as composable</w:t>
      </w:r>
    </w:p>
    <w:p>
      <w:pPr>
        <w:spacing w:after="40"/>
        <w:ind w:left="288"/>
      </w:pPr>
      <w:r>
        <w:t>4. The new unit of software value</w:t>
      </w:r>
    </w:p>
    <w:p>
      <w:pPr>
        <w:spacing w:after="40"/>
        <w:ind w:left="288"/>
      </w:pPr>
      <w:r>
        <w:t>5. Why the panic misunderstands the baseline shift</w:t>
      </w:r>
    </w:p>
    <w:p>
      <w:pPr>
        <w:spacing w:after="40"/>
        <w:ind w:left="288"/>
      </w:pPr>
      <w:r>
        <w:t>6. The missing layer between tools and systems</w:t>
      </w:r>
    </w:p>
    <w:p>
      <w:pPr>
        <w:spacing w:after="40"/>
        <w:ind w:left="288"/>
      </w:pPr>
      <w:r>
        <w:t>7. A more concrete example: the AI-managed room</w:t>
      </w:r>
    </w:p>
    <w:p>
      <w:pPr>
        <w:spacing w:after="40"/>
        <w:ind w:left="288"/>
      </w:pPr>
      <w:r>
        <w:t>8. What this creates for software engineers</w:t>
      </w:r>
    </w:p>
    <w:p>
      <w:pPr>
        <w:spacing w:after="40"/>
        <w:ind w:left="288"/>
      </w:pPr>
      <w:r>
        <w:t>9. The baseline after the shift</w:t>
      </w:r>
    </w:p>
    <w:p>
      <w:pPr>
        <w:spacing w:after="40"/>
        <w:ind w:left="288"/>
      </w:pPr>
      <w:r>
        <w:t>10. Bridge to Part 3</w:t>
      </w:r>
    </w:p>
    <w:p>
      <w:pPr>
        <w:spacing w:after="40"/>
        <w:ind w:left="288"/>
      </w:pPr>
      <w:r>
        <w:t>Internal source alignment notes</w:t>
      </w:r>
    </w:p>
    <w:p/>
    <w:p>
      <w:pPr>
        <w:pStyle w:val="Heading1"/>
      </w:pPr>
      <w:r>
        <w:t>The baseline shift in one line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F9FAFB"/>
          </w:tcPr>
          <w:p>
            <w:pPr>
              <w:jc w:val="center"/>
            </w:pPr>
            <w:r/>
            <w:r>
              <w:rPr>
                <w:rFonts w:ascii="Aptos" w:hAnsi="Aptos"/>
                <w:b/>
                <w:color w:val="111827"/>
                <w:sz w:val="18"/>
              </w:rPr>
              <w:t>Build</w:t>
              <w:br/>
              <w:t>components</w:t>
            </w:r>
          </w:p>
        </w:tc>
        <w:tc>
          <w:tcPr>
            <w:tcW w:type="dxa" w:w="1987"/>
            <w:shd w:fill="F3F4F6"/>
          </w:tcPr>
          <w:p>
            <w:pPr>
              <w:jc w:val="center"/>
            </w:pPr>
            <w:r/>
            <w:r>
              <w:rPr>
                <w:rFonts w:ascii="Aptos" w:hAnsi="Aptos"/>
                <w:b/>
                <w:color w:val="111827"/>
                <w:sz w:val="18"/>
              </w:rPr>
              <w:t>Connect</w:t>
              <w:br/>
              <w:t>APIs</w:t>
            </w:r>
          </w:p>
        </w:tc>
        <w:tc>
          <w:tcPr>
            <w:tcW w:type="dxa" w:w="1987"/>
            <w:shd w:fill="E5E7EB"/>
          </w:tcPr>
          <w:p>
            <w:pPr>
              <w:jc w:val="center"/>
            </w:pPr>
            <w:r/>
            <w:r>
              <w:rPr>
                <w:rFonts w:ascii="Aptos" w:hAnsi="Aptos"/>
                <w:b/>
                <w:color w:val="111827"/>
                <w:sz w:val="18"/>
              </w:rPr>
              <w:t>Automate</w:t>
              <w:br/>
              <w:t>workflows</w:t>
            </w:r>
          </w:p>
        </w:tc>
        <w:tc>
          <w:tcPr>
            <w:tcW w:type="dxa" w:w="1987"/>
            <w:shd w:fill="EEF2FF"/>
          </w:tcPr>
          <w:p>
            <w:pPr>
              <w:jc w:val="center"/>
            </w:pPr>
            <w:r/>
            <w:r>
              <w:rPr>
                <w:rFonts w:ascii="Aptos" w:hAnsi="Aptos"/>
                <w:b/>
                <w:color w:val="111827"/>
                <w:sz w:val="18"/>
              </w:rPr>
              <w:t>Assemble</w:t>
              <w:br/>
              <w:t>capabilities</w:t>
            </w:r>
          </w:p>
        </w:tc>
        <w:tc>
          <w:tcPr>
            <w:tcW w:type="dxa" w:w="1987"/>
            <w:shd w:fill="E0E7FF"/>
          </w:tcPr>
          <w:p>
            <w:pPr>
              <w:jc w:val="center"/>
            </w:pPr>
            <w:r/>
            <w:r>
              <w:rPr>
                <w:rFonts w:ascii="Aptos" w:hAnsi="Aptos"/>
                <w:b/>
                <w:color w:val="111827"/>
                <w:sz w:val="18"/>
              </w:rPr>
              <w:t>Govern</w:t>
              <w:br/>
              <w:t>systems</w:t>
            </w:r>
          </w:p>
        </w:tc>
      </w:tr>
      <w:tr>
        <w:tc>
          <w:tcPr>
            <w:tcW w:type="dxa" w:w="1987"/>
            <w:shd w:fill="FFFFFF"/>
          </w:tcPr>
          <w:p>
            <w:pPr>
              <w:jc w:val="center"/>
            </w:pPr>
            <w:r/>
            <w:r>
              <w:rPr>
                <w:rFonts w:ascii="Aptos" w:hAnsi="Aptos"/>
                <w:b w:val="0"/>
                <w:color w:val="4B5563"/>
                <w:sz w:val="16"/>
              </w:rPr>
              <w:t>Old center</w:t>
            </w:r>
          </w:p>
        </w:tc>
        <w:tc>
          <w:tcPr>
            <w:tcW w:type="dxa" w:w="1987"/>
            <w:shd w:fill="FFFFFF"/>
          </w:tcPr>
          <w:p>
            <w:pPr>
              <w:jc w:val="center"/>
            </w:pPr>
            <w:r/>
            <w:r>
              <w:rPr>
                <w:rFonts w:ascii="Aptos" w:hAnsi="Aptos"/>
                <w:b w:val="0"/>
                <w:color w:val="4B5563"/>
                <w:sz w:val="16"/>
              </w:rPr>
              <w:t>Integration era</w:t>
            </w:r>
          </w:p>
        </w:tc>
        <w:tc>
          <w:tcPr>
            <w:tcW w:type="dxa" w:w="1987"/>
            <w:shd w:fill="FFFFFF"/>
          </w:tcPr>
          <w:p>
            <w:pPr>
              <w:jc w:val="center"/>
            </w:pPr>
            <w:r/>
            <w:r>
              <w:rPr>
                <w:rFonts w:ascii="Aptos" w:hAnsi="Aptos"/>
                <w:b w:val="0"/>
                <w:color w:val="4B5563"/>
                <w:sz w:val="16"/>
              </w:rPr>
              <w:t>Early agent era</w:t>
            </w:r>
          </w:p>
        </w:tc>
        <w:tc>
          <w:tcPr>
            <w:tcW w:type="dxa" w:w="1987"/>
            <w:shd w:fill="FFFFFF"/>
          </w:tcPr>
          <w:p>
            <w:pPr>
              <w:jc w:val="center"/>
            </w:pPr>
            <w:r/>
            <w:r>
              <w:rPr>
                <w:rFonts w:ascii="Aptos" w:hAnsi="Aptos"/>
                <w:b w:val="0"/>
                <w:color w:val="4B5563"/>
                <w:sz w:val="16"/>
              </w:rPr>
              <w:t>Emerging baseline</w:t>
            </w:r>
          </w:p>
        </w:tc>
        <w:tc>
          <w:tcPr>
            <w:tcW w:type="dxa" w:w="1987"/>
            <w:shd w:fill="FFFFFF"/>
          </w:tcPr>
          <w:p>
            <w:pPr>
              <w:jc w:val="center"/>
            </w:pPr>
            <w:r/>
            <w:r>
              <w:rPr>
                <w:rFonts w:ascii="Aptos" w:hAnsi="Aptos"/>
                <w:b w:val="0"/>
                <w:color w:val="4B5563"/>
                <w:sz w:val="16"/>
              </w:rPr>
              <w:t>New craft</w:t>
            </w:r>
          </w:p>
        </w:tc>
      </w:tr>
    </w:tbl>
    <w:p>
      <w:r>
        <w:br w:type="page"/>
      </w:r>
    </w:p>
    <w:p>
      <w:pPr>
        <w:pStyle w:val="Heading1"/>
      </w:pPr>
      <w:r>
        <w:t>1. Opening: the panic is real, but the diagnosis is shallow</w:t>
      </w:r>
    </w:p>
    <w:p>
      <w:pPr>
        <w:jc w:val="left"/>
      </w:pPr>
      <w:r>
        <w:t>There is a strange anxiety running through the software industry right now. It shows up in different words - productivity, automation, agents, copilots, replacement - but underneath, the question is almost always the same: if AI can write more and more code, what happens to software development?</w:t>
      </w:r>
    </w:p>
    <w:p>
      <w:pPr>
        <w:jc w:val="left"/>
      </w:pPr>
      <w:r>
        <w:t>That is the understandable question. But it may not be the most important one.</w:t>
      </w:r>
    </w:p>
    <w:p>
      <w:pPr>
        <w:jc w:val="left"/>
      </w:pPr>
      <w:r>
        <w:t>The deeper shift is not that software developers are becoming unnecessary. The deeper shift is that the baseline of software work is moving. The work that once felt like the center of the craft is becoming a lower layer. Not irrelevant. Not trivial. Just lower.</w:t>
      </w:r>
    </w:p>
    <w:p>
      <w:pPr>
        <w:jc w:val="left"/>
      </w:pPr>
      <w:r>
        <w:t>This has happened before. Every major computing wave moves the baseline upward. We once valued the ability to speak directly to machines. Then higher-level languages lifted us above raw instructions. Operating systems lifted us above hardware. GUIs lifted ordinary users above command lines. Frameworks lifted developers above repetitive plumbing. Cloud platforms lifted teams above physical infrastructure. APIs lifted products above monoliths.</w:t>
      </w:r>
    </w:p>
    <w:p>
      <w:pPr>
        <w:jc w:val="left"/>
      </w:pPr>
      <w:r>
        <w:t>Now AI is pushing the baseline again.</w:t>
      </w:r>
    </w:p>
    <w:p>
      <w:pPr>
        <w:jc w:val="left"/>
      </w:pPr>
      <w:r>
        <w:t>The next baseline will not be the individual component alone. It will be the ability to assemble, govern, validate, replace, and reason across many components in a world where software is no longer trapped inside screens.</w:t>
      </w:r>
    </w:p>
    <w:p/>
    <w:p>
      <w:pPr>
        <w:pStyle w:val="Heading1"/>
      </w:pPr>
      <w:r>
        <w:t>2. From software as an app to software as an environment</w:t>
      </w:r>
    </w:p>
    <w:p>
      <w:pPr>
        <w:jc w:val="left"/>
      </w:pPr>
      <w:r>
        <w:t>Today, software still reaches only a fraction of the physical and operational world. We interact with software through phones, browsers, dashboards, admin panels, SaaS tools, and devices that call themselves "smart." But most of that smartness is still siloed.</w:t>
      </w:r>
    </w:p>
    <w:p>
      <w:pPr>
        <w:jc w:val="left"/>
      </w:pPr>
      <w:r>
        <w:t>A thermostat may be smart. A door lock may be smart. A camera may be smart. A curtain controller may be smart. A building access system may be smart. But most of these systems are not meaningfully composable. They can expose APIs, ship mobile apps, publish events, or connect through automation tools, but they do not usually introduce themselves as participants in a larger reasoning fabric.</w:t>
      </w:r>
    </w:p>
    <w:p>
      <w:pPr>
        <w:jc w:val="left"/>
      </w:pPr>
      <w:r>
        <w:t>That distinction matters.</w:t>
      </w:r>
    </w:p>
    <w:p>
      <w:pPr>
        <w:jc w:val="left"/>
      </w:pPr>
      <w:r>
        <w:t>An interconnected world is not simply a world with more APIs. It is a world where every meaningful component can say, in a standard way: what it is, what it can do, what it owns, what it refuses to own, what it needs from others, what it exposes to others, what policies govern it, what failures it can emit, and how those failures should affect the larger system.</w:t>
      </w:r>
    </w:p>
    <w:p>
      <w:pPr>
        <w:jc w:val="left"/>
      </w:pPr>
      <w:r>
        <w:t>This does not mean every door, curtain, window, AC, light, pump, robot, file store, workflow, or connector needs to contain an AI model. That would be expensive, unnecessary, and in many cases unsafe. The more precise claim is this: every component that participates in an AI-governed environment needs an AI-legible self-description.</w:t>
      </w:r>
    </w:p>
    <w:p>
      <w:pPr>
        <w:jc w:val="left"/>
      </w:pPr>
      <w:r>
        <w:t>Without that self-description, the AI is not governing a system. It is guessing around a pile of endpoints.</w:t>
      </w:r>
    </w:p>
    <w:p/>
    <w:p>
      <w:pPr>
        <w:pStyle w:val="Heading1"/>
      </w:pPr>
      <w:r>
        <w:t>3. The IoT lesson: connected is not the same as composable</w:t>
      </w:r>
    </w:p>
    <w:p>
      <w:pPr>
        <w:jc w:val="left"/>
      </w:pPr>
      <w:r>
        <w:t>The closest mainstream preview of this future is IoT, but IoT also shows the gap.</w:t>
      </w:r>
    </w:p>
    <w:p>
      <w:pPr>
        <w:jc w:val="left"/>
      </w:pPr>
      <w:r>
        <w:t>IoT connected devices to networks. It made physical objects remotely visible, remotely configurable, and sometimes programmable. That was a significant step. But connectivity alone does not create coordinated intelligence.</w:t>
      </w:r>
    </w:p>
    <w:p>
      <w:pPr>
        <w:jc w:val="left"/>
      </w:pPr>
      <w:r>
        <w:t>A device can be online and still be opaque. It can be controllable and still be semantically weak. It can expose commands and still fail to explain its domain. It can be automated and still be unsafe to compose with other automations.</w:t>
      </w:r>
    </w:p>
    <w:p>
      <w:pPr>
        <w:jc w:val="left"/>
      </w:pPr>
      <w:r>
        <w:t>Take an air conditioner. A basic integration might expose commands such as turn on, turn off, set temperature, set fan speed. That is useful for a human-facing app or a simple automation. But an AI trying to manage a building needs more than commands. It needs to know the AC's capacity, energy characteristics, supported modes, operational constraints, dependency on external temperature sensors, maintenance state, safety boundaries, cost implications, and relationship to other systems such as occupancy, access control, energy pricing, and building policy.</w:t>
      </w:r>
    </w:p>
    <w:p>
      <w:pPr>
        <w:jc w:val="left"/>
      </w:pPr>
      <w:r>
        <w:t>Now extend the example. A meeting is scheduled. The room is booked. Access control knows who may enter. Curtains affect heat gain and privacy. Lighting affects comfort. HVAC affects energy usage. A fire system has absolute authority over some decisions. A security system refuses to disclose certain data. A sustainability policy prefers lower cooling during peak tariff periods. A human comfort policy overrides optimization in occupied rooms.</w:t>
      </w:r>
    </w:p>
    <w:p>
      <w:pPr>
        <w:jc w:val="left"/>
      </w:pPr>
      <w:r>
        <w:t>This is not a problem of calling one more API. It is a problem of knowing what each thing means inside the system.</w:t>
      </w:r>
    </w:p>
    <w:p/>
    <w:p>
      <w:pPr>
        <w:pStyle w:val="Heading1"/>
      </w:pPr>
      <w:r>
        <w:t>4. The new unit of software value</w:t>
      </w:r>
    </w:p>
    <w:p>
      <w:pPr>
        <w:jc w:val="left"/>
      </w:pPr>
      <w:r>
        <w:t>For decades, software value was often measured by what could be built: features, services, screens, workflows, integrations, libraries, microservices, platforms. That will not disappear. But as AI lowers the cost of producing ordinary code, value moves toward the parts that are harder to infer and more expensive to get wrong.</w:t>
      </w:r>
    </w:p>
    <w:p>
      <w:pPr>
        <w:jc w:val="left"/>
      </w:pPr>
      <w:r>
        <w:t>The new unit of value is not just a component. It is a governable component.</w:t>
      </w:r>
    </w:p>
    <w:p>
      <w:pPr>
        <w:jc w:val="left"/>
      </w:pPr>
      <w:r>
        <w:t>A governable component is not merely callable. It is understandable. It carries enough context for another system - human or AI - to know how to compose it responsibly. It declares its boundaries instead of letting integrators discover them through production incidents. It exposes capabilities without pretending to own the entire problem. It identifies dependencies before deployment, not after failure. It makes conflict visible when two systems claim authority over the same decision. It treats faults as part of the contract rather than as vague log noise.</w:t>
      </w:r>
    </w:p>
    <w:p>
      <w:pPr>
        <w:jc w:val="left"/>
      </w:pPr>
      <w:r>
        <w:t>That is where software engineering work expands rather than disappears.</w:t>
      </w:r>
    </w:p>
    <w:p>
      <w:pPr>
        <w:jc w:val="left"/>
      </w:pPr>
      <w:r>
        <w:t>If AI can produce a CRUD service, the scarce skill becomes knowing what the service should own, what it must refuse, what should satisfy its dependencies, what it should expose, how it should version its capabilities, and how it should behave when composed with other systems. If AI can generate an integration, the scarce skill becomes proving that the integration is safe, policy-compliant, observable, reversible, and compatible with the larger graph.</w:t>
      </w:r>
    </w:p>
    <w:p>
      <w:pPr>
        <w:jc w:val="left"/>
      </w:pPr>
      <w:r>
        <w:t>In other words, the craft shifts from writing isolated parts to designing reliable participation.</w:t>
      </w:r>
    </w:p>
    <w:p/>
    <w:p>
      <w:pPr>
        <w:pStyle w:val="Heading1"/>
      </w:pPr>
      <w:r>
        <w:t>5. Why the panic misunderstands the baseline shift</w:t>
      </w:r>
    </w:p>
    <w:p>
      <w:pPr>
        <w:jc w:val="left"/>
      </w:pPr>
      <w:r>
        <w:t>The panic says: AI can write code, so developers lose value.</w:t>
      </w:r>
    </w:p>
    <w:p>
      <w:pPr>
        <w:jc w:val="left"/>
      </w:pPr>
      <w:r>
        <w:t>The better interpretation is: AI can write more code, so low-context coding becomes a weaker moat.</w:t>
      </w:r>
    </w:p>
    <w:p>
      <w:pPr>
        <w:jc w:val="left"/>
      </w:pPr>
      <w:r>
        <w:t>That is uncomfortable, but it is not the end of software work. It is the same pattern software has always followed. When a layer becomes easier, the industry does not stop. It builds at the next layer of abstraction.</w:t>
      </w:r>
    </w:p>
    <w:p>
      <w:pPr>
        <w:jc w:val="left"/>
      </w:pPr>
      <w:r>
        <w:t>The developer of the next era will not be valued only for typing implementation faster than a model. They will be valued for shaping systems that models can safely assemble.</w:t>
      </w:r>
    </w:p>
    <w:p>
      <w:pPr>
        <w:jc w:val="left"/>
      </w:pPr>
      <w:r>
        <w:t>That work is not small. It includes domain modeling, contract design, capability boundaries, policy design, integration semantics, version compatibility, simulation, validation, observability, failure propagation, security, provenance, and human escalation. These are not side tasks. In an AI-native software world, they become central tasks.</w:t>
      </w:r>
    </w:p>
    <w:p>
      <w:pPr>
        <w:jc w:val="left"/>
      </w:pPr>
      <w:r>
        <w:t>The developer becomes less like a person wiring endpoints together one by one, and more like an architect of composable capability. Sometimes that architect will still write code directly. Sometimes they will supervise AI-generated code. Sometimes they will define the claim a component makes about itself. Sometimes they will review how two components should bind. Sometimes they will decide that a component must refuse a request because it belongs to another domain.</w:t>
      </w:r>
    </w:p>
    <w:p>
      <w:pPr>
        <w:jc w:val="left"/>
      </w:pPr>
      <w:r>
        <w:t>That is not a downgrade of engineering. It is a higher expectation of engineering.</w:t>
      </w:r>
    </w:p>
    <w:p/>
    <w:p>
      <w:pPr>
        <w:pStyle w:val="Heading1"/>
      </w:pPr>
      <w:r>
        <w:t>6. The missing layer between tools and systems</w:t>
      </w:r>
    </w:p>
    <w:p>
      <w:pPr>
        <w:pStyle w:val="Callout"/>
      </w:pPr>
      <w:r>
        <w:t>Invocation is not the same as composition.</w:t>
      </w:r>
    </w:p>
    <w:p>
      <w:pPr>
        <w:jc w:val="left"/>
      </w:pPr>
      <w:r>
        <w:t>Right now, a lot of AI infrastructure is focused on giving models access to tools. That is important. An agent needs a way to call a database, search documents, send a message, query a calendar, invoke an API, or run an operation. Runtime tool access matters.</w:t>
      </w:r>
    </w:p>
    <w:p>
      <w:pPr>
        <w:jc w:val="left"/>
      </w:pPr>
      <w:r>
        <w:t>But tool access answers only one class of question: how can I invoke this?</w:t>
      </w:r>
    </w:p>
    <w:p>
      <w:pPr>
        <w:jc w:val="left"/>
      </w:pPr>
      <w:r>
        <w:t>The bigger connected-world question is different: should this be composed here at all? What does this component claim to own? What does it explicitly not own? Which dependency satisfies this need? Which policy applies? Which component has authority when two claims overlap? What should happen when the contract assumption breaks?</w:t>
      </w:r>
    </w:p>
    <w:p>
      <w:pPr>
        <w:jc w:val="left"/>
      </w:pPr>
      <w:r>
        <w:t>Those are not runtime invocation questions. They are assembly questions.</w:t>
      </w:r>
    </w:p>
    <w:p>
      <w:pPr>
        <w:jc w:val="left"/>
      </w:pPr>
      <w:r>
        <w:t>This difference is crucial. A runtime tool protocol can make an agent powerful in the moment. But an interconnected world also needs a design-time composition layer, where intelligence can reason slowly, structurally, and safely before runtime. Once composition is settled, runtime should be fast, deterministic, and governed by frozen decisions - not reinterpreted on every call by a model.</w:t>
      </w:r>
    </w:p>
    <w:p>
      <w:pPr>
        <w:jc w:val="left"/>
      </w:pPr>
      <w:r>
        <w:t>That is the architectural shape we should be aiming for: intelligence during assembly, determinism during execution.</w:t>
      </w:r>
    </w:p>
    <w:p/>
    <w:p>
      <w:pPr>
        <w:pStyle w:val="Heading1"/>
      </w:pPr>
      <w:r>
        <w:t>7. A more concrete example: the AI-managed room</w:t>
      </w:r>
    </w:p>
    <w:p>
      <w:pPr>
        <w:jc w:val="left"/>
      </w:pPr>
      <w:r>
        <w:t>Imagine walking into a conference room in an AI-native building.</w:t>
      </w:r>
    </w:p>
    <w:p>
      <w:pPr>
        <w:jc w:val="left"/>
      </w:pPr>
      <w:r>
        <w:t>The room does not just contain devices. It contains participants in a system: access control, lighting, HVAC, curtains, display, network, occupancy sensors, energy policy, safety policy, maintenance policy, calendar context, and user preferences.</w:t>
      </w:r>
    </w:p>
    <w:p>
      <w:pPr>
        <w:jc w:val="left"/>
      </w:pPr>
      <w:r>
        <w:t>A naive AI agent might treat this as a list of tools. It sees available actions: unlock door, lower curtains, set AC to 22 degrees, turn on display. That is useful, but shallow.</w:t>
      </w:r>
    </w:p>
    <w:p>
      <w:pPr>
        <w:jc w:val="left"/>
      </w:pPr>
      <w:r>
        <w:t>A better agent sees boundaries. It knows access control owns entry decisions. HVAC owns cooling execution but not occupancy authority. Curtains can influence privacy and thermal load but must defer to fire-safety rules. Energy policy can recommend a cooling range but not override an occupied-room comfort rule. Maintenance state may degrade HVAC capability. A security policy may block camera feeds from being used for comfort optimization. Faults from one subsystem may or may not propagate to the whole room depending on their declared impact.</w:t>
      </w:r>
    </w:p>
    <w:p>
      <w:pPr>
        <w:jc w:val="left"/>
      </w:pPr>
      <w:r>
        <w:t>In that world, the AI does not merely command objects. It composes decisions.</w:t>
      </w:r>
    </w:p>
    <w:p>
      <w:pPr>
        <w:jc w:val="left"/>
      </w:pPr>
      <w:r>
        <w:t>And for that to work, the objects and services around it must not be silent. They must carry structured self-knowledge.</w:t>
      </w:r>
    </w:p>
    <w:p/>
    <w:p>
      <w:pPr>
        <w:pStyle w:val="Heading1"/>
      </w:pPr>
      <w:r>
        <w:t>8. What this creates for software engineers</w:t>
      </w:r>
    </w:p>
    <w:p>
      <w:pPr>
        <w:jc w:val="left"/>
      </w:pPr>
      <w:r>
        <w:t>This is where the opportunity for software engineers becomes larger, not smaller.</w:t>
      </w:r>
    </w:p>
    <w:p>
      <w:pPr>
        <w:jc w:val="left"/>
      </w:pPr>
      <w:r>
        <w:t>The industry will need engineers who can define capability contracts that are clear enough for machines and humans. It will need engineers who can model domains without overclaiming them. It will need engineers who know the difference between ownership, consultation, delegation, and refusal. It will need engineers who can make dependencies explicit, not tribal knowledge. It will need engineers who can design versioning rules that allow safe replacement. It will need engineers who can create validation paths before activation and deterministic behavior after activation.</w:t>
      </w:r>
    </w:p>
    <w:p>
      <w:pPr>
        <w:jc w:val="left"/>
      </w:pPr>
      <w:r>
        <w:t>It will also need engineers who understand that not every problem should be solved by putting AI in the runtime path. A model can help negotiate a composition. It can help explain a conflict. It can help ask a human the right question. But once the system is running, many decisions should be boring, fast, auditable, and repeatable.</w:t>
      </w:r>
    </w:p>
    <w:p>
      <w:pPr>
        <w:jc w:val="left"/>
      </w:pPr>
      <w:r>
        <w:t>The most valuable software systems of the next decade may not be the ones with the most AI sprinkled inside them. They may be the ones whose components are easiest for AI to understand, compose, verify, and govern.</w:t>
      </w:r>
    </w:p>
    <w:p/>
    <w:p>
      <w:pPr>
        <w:pStyle w:val="Heading1"/>
      </w:pPr>
      <w:r>
        <w:t>9. The baseline after the shift</w:t>
      </w:r>
    </w:p>
    <w:p>
      <w:pPr>
        <w:jc w:val="left"/>
      </w:pPr>
      <w:r>
        <w:t>So what does the new baseline look like?</w:t>
      </w:r>
    </w:p>
    <w:p>
      <w:pPr>
        <w:jc w:val="left"/>
      </w:pPr>
      <w:r>
        <w:t>It looks like software developers starting from a higher assumption: components already exist, models can help build more, and the real challenge is making them participate safely in a larger world.</w:t>
      </w:r>
    </w:p>
    <w:p>
      <w:pPr>
        <w:jc w:val="left"/>
      </w:pPr>
      <w:r>
        <w:t>It looks like moving from app development to capability assembly.</w:t>
      </w:r>
    </w:p>
    <w:p>
      <w:pPr>
        <w:jc w:val="left"/>
      </w:pPr>
      <w:r>
        <w:t>It looks like moving from integration by glue code to integration by declared boundaries.</w:t>
      </w:r>
    </w:p>
    <w:p>
      <w:pPr>
        <w:jc w:val="left"/>
      </w:pPr>
      <w:r>
        <w:t>It looks like moving from device automation to governable environments.</w:t>
      </w:r>
    </w:p>
    <w:p>
      <w:pPr>
        <w:jc w:val="left"/>
      </w:pPr>
      <w:r>
        <w:t>It looks like moving from "what API can I call?" to "what domain does this thing serve, what authority does it have, and what contract makes it safe to compose?"</w:t>
      </w:r>
    </w:p>
    <w:p>
      <w:pPr>
        <w:jc w:val="left"/>
      </w:pPr>
      <w:r>
        <w:t>That shift is why the first essay asked for a missing harness. A harness is not just a UI and not just an API wrapper. It is the layer that makes capability understandable, accessible, and governable by the consumer of that capability. In the GUI era, the consumer was the human. In the AI-native era, the consumer is increasingly an agent trying to reason across systems.</w:t>
      </w:r>
    </w:p>
    <w:p>
      <w:pPr>
        <w:jc w:val="left"/>
      </w:pPr>
      <w:r>
        <w:t>The missing harness, then, is not simply about connecting tools. It is about giving every meaningful component a way to describe itself as part of a larger composition.</w:t>
      </w:r>
    </w:p>
    <w:p/>
    <w:p>
      <w:pPr>
        <w:pStyle w:val="Heading1"/>
      </w:pPr>
      <w:r>
        <w:t>10. Bridge to Part 3</w:t>
      </w:r>
    </w:p>
    <w:p>
      <w:pPr>
        <w:jc w:val="left"/>
      </w:pPr>
      <w:r>
        <w:t>We should not introduce a protocol too early, because the need must be clear first.</w:t>
      </w:r>
    </w:p>
    <w:p>
      <w:pPr>
        <w:jc w:val="left"/>
      </w:pPr>
      <w:r>
        <w:t>Part 1 asked what AI is missing when the world becomes more connected. Part 2 reframed the software panic as a baseline shift: from writing individual components to assembling governable systems.</w:t>
      </w:r>
    </w:p>
    <w:p>
      <w:pPr>
        <w:jc w:val="left"/>
      </w:pPr>
      <w:r>
        <w:t>The next step is to make the missing layer concrete.</w:t>
      </w:r>
    </w:p>
    <w:p>
      <w:pPr>
        <w:jc w:val="left"/>
      </w:pPr>
      <w:r>
        <w:t>What should every AI-legible component be able to say about itself? What should be described before composition? What should be frozen before runtime? What should be refused instead of guessed? What should be validated before activation? And how do we keep intelligence useful without putting it recklessly in the hot path?</w:t>
      </w:r>
    </w:p>
    <w:p>
      <w:pPr>
        <w:jc w:val="left"/>
      </w:pPr>
      <w:r>
        <w:t>That is where Part 3 begins.</w:t>
      </w:r>
    </w:p>
    <w:p/>
    <w:p>
      <w:r>
        <w:br w:type="page"/>
      </w:r>
    </w:p>
    <w:p>
      <w:pPr>
        <w:pStyle w:val="Heading1"/>
      </w:pPr>
      <w:r>
        <w:t>Internal source alignment notes</w:t>
      </w:r>
    </w:p>
    <w:p>
      <w:r>
        <w:rPr>
          <w:b/>
        </w:rPr>
        <w:t xml:space="preserve">For review only. </w:t>
      </w:r>
      <w:r>
        <w:t>These notes explain how the essay stays aligned with the internal DCP documents without introducing the actual DCP mechanism before Part 3.</w:t>
      </w:r>
    </w:p>
    <w:tbl>
      <w:tblPr>
        <w:tblW w:type="auto" w:w="0"/>
        <w:jc w:val="center"/>
        <w:tblLook w:firstColumn="1" w:firstRow="1" w:lastColumn="0" w:lastRow="0" w:noHBand="0" w:noVBand="1" w:val="04A0"/>
      </w:tblPr>
      <w:tblGrid>
        <w:gridCol w:w="4968"/>
        <w:gridCol w:w="4968"/>
      </w:tblGrid>
      <w:tr>
        <w:tc>
          <w:tcPr>
            <w:tcW w:type="dxa" w:w="4968"/>
            <w:shd w:fill="111827"/>
          </w:tcPr>
          <w:p>
            <w:pPr>
              <w:jc w:val="center"/>
            </w:pPr>
            <w:r/>
            <w:r>
              <w:rPr>
                <w:rFonts w:ascii="Aptos" w:hAnsi="Aptos"/>
                <w:b/>
                <w:color w:val="FFFFFF"/>
                <w:sz w:val="18"/>
              </w:rPr>
              <w:t>Source-aligned idea</w:t>
            </w:r>
          </w:p>
        </w:tc>
        <w:tc>
          <w:tcPr>
            <w:tcW w:type="dxa" w:w="4968"/>
            <w:shd w:fill="111827"/>
          </w:tcPr>
          <w:p>
            <w:pPr>
              <w:jc w:val="center"/>
            </w:pPr>
            <w:r/>
            <w:r>
              <w:rPr>
                <w:rFonts w:ascii="Aptos" w:hAnsi="Aptos"/>
                <w:b/>
                <w:color w:val="FFFFFF"/>
                <w:sz w:val="18"/>
              </w:rPr>
              <w:t>How Part 2 uses it</w:t>
            </w:r>
          </w:p>
        </w:tc>
      </w:tr>
      <w:tr>
        <w:tc>
          <w:tcPr>
            <w:tcW w:type="dxa" w:w="4968"/>
            <w:shd w:fill="F9FAFB"/>
            <w:vAlign w:val="top"/>
          </w:tcPr>
          <w:p>
            <w:r>
              <w:rPr>
                <w:rFonts w:ascii="Aptos" w:hAnsi="Aptos"/>
                <w:sz w:val="18"/>
              </w:rPr>
              <w:t>Dynamic composition, not static topology</w:t>
            </w:r>
          </w:p>
        </w:tc>
        <w:tc>
          <w:tcPr>
            <w:tcW w:type="dxa" w:w="4968"/>
            <w:shd w:fill="FFFFFF"/>
            <w:vAlign w:val="top"/>
          </w:tcPr>
          <w:p>
            <w:r>
              <w:rPr>
                <w:rFonts w:ascii="Aptos" w:hAnsi="Aptos"/>
                <w:sz w:val="18"/>
              </w:rPr>
              <w:t>The internal HLD frames composition as a dynamically governable graph, with discovery, selection, validation, and binding before activation.</w:t>
            </w:r>
          </w:p>
        </w:tc>
      </w:tr>
      <w:tr>
        <w:tc>
          <w:tcPr>
            <w:tcW w:type="dxa" w:w="4968"/>
            <w:shd w:fill="F9FAFB"/>
            <w:vAlign w:val="top"/>
          </w:tcPr>
          <w:p>
            <w:r>
              <w:rPr>
                <w:rFonts w:ascii="Aptos" w:hAnsi="Aptos"/>
                <w:sz w:val="18"/>
              </w:rPr>
              <w:t>MCP relationship</w:t>
            </w:r>
          </w:p>
        </w:tc>
        <w:tc>
          <w:tcPr>
            <w:tcW w:type="dxa" w:w="4968"/>
            <w:shd w:fill="FFFFFF"/>
            <w:vAlign w:val="top"/>
          </w:tcPr>
          <w:p>
            <w:r>
              <w:rPr>
                <w:rFonts w:ascii="Aptos" w:hAnsi="Aptos"/>
                <w:sz w:val="18"/>
              </w:rPr>
              <w:t>The same HLD positions runtime tool invocation and design-time composition at different altitudes: MCP-style invocation is not the same as assembly-time reasoning.</w:t>
            </w:r>
          </w:p>
        </w:tc>
      </w:tr>
      <w:tr>
        <w:tc>
          <w:tcPr>
            <w:tcW w:type="dxa" w:w="4968"/>
            <w:shd w:fill="F9FAFB"/>
            <w:vAlign w:val="top"/>
          </w:tcPr>
          <w:p>
            <w:r>
              <w:rPr>
                <w:rFonts w:ascii="Aptos" w:hAnsi="Aptos"/>
                <w:sz w:val="18"/>
              </w:rPr>
              <w:t>Three-plane separation</w:t>
            </w:r>
          </w:p>
        </w:tc>
        <w:tc>
          <w:tcPr>
            <w:tcW w:type="dxa" w:w="4968"/>
            <w:shd w:fill="FFFFFF"/>
            <w:vAlign w:val="top"/>
          </w:tcPr>
          <w:p>
            <w:r>
              <w:rPr>
                <w:rFonts w:ascii="Aptos" w:hAnsi="Aptos"/>
                <w:sz w:val="18"/>
              </w:rPr>
              <w:t>The model separates description, negotiation, and invocation so intelligence can help produce a frozen contract without entering the hot runtime path.</w:t>
            </w:r>
          </w:p>
        </w:tc>
      </w:tr>
      <w:tr>
        <w:tc>
          <w:tcPr>
            <w:tcW w:type="dxa" w:w="4968"/>
            <w:shd w:fill="F9FAFB"/>
            <w:vAlign w:val="top"/>
          </w:tcPr>
          <w:p>
            <w:r>
              <w:rPr>
                <w:rFonts w:ascii="Aptos" w:hAnsi="Aptos"/>
                <w:sz w:val="18"/>
              </w:rPr>
              <w:t>Self-description shape</w:t>
            </w:r>
          </w:p>
        </w:tc>
        <w:tc>
          <w:tcPr>
            <w:tcW w:type="dxa" w:w="4968"/>
            <w:shd w:fill="FFFFFF"/>
            <w:vAlign w:val="top"/>
          </w:tcPr>
          <w:p>
            <w:r>
              <w:rPr>
                <w:rFonts w:ascii="Aptos" w:hAnsi="Aptos"/>
                <w:sz w:val="18"/>
              </w:rPr>
              <w:t>The schema specifies a component claim with identity, domain, refusals, dependencies, offers, conflict resolution, negotiation surface where applicable, integration ports, faults, and metadata.</w:t>
            </w:r>
          </w:p>
        </w:tc>
      </w:tr>
      <w:tr>
        <w:tc>
          <w:tcPr>
            <w:tcW w:type="dxa" w:w="4968"/>
            <w:shd w:fill="F9FAFB"/>
            <w:vAlign w:val="top"/>
          </w:tcPr>
          <w:p>
            <w:r>
              <w:rPr>
                <w:rFonts w:ascii="Aptos" w:hAnsi="Aptos"/>
                <w:sz w:val="18"/>
              </w:rPr>
              <w:t>Integration without overclaiming intelligence</w:t>
            </w:r>
          </w:p>
        </w:tc>
        <w:tc>
          <w:tcPr>
            <w:tcW w:type="dxa" w:w="4968"/>
            <w:shd w:fill="FFFFFF"/>
            <w:vAlign w:val="top"/>
          </w:tcPr>
          <w:p>
            <w:r>
              <w:rPr>
                <w:rFonts w:ascii="Aptos" w:hAnsi="Aptos"/>
                <w:sz w:val="18"/>
              </w:rPr>
              <w:t>The schema distinguishes integration ports from intelligence. AI capability as a dependency does not automatically mean the component can negotiate its own boundaries.</w:t>
            </w:r>
          </w:p>
        </w:tc>
      </w:tr>
      <w:tr>
        <w:tc>
          <w:tcPr>
            <w:tcW w:type="dxa" w:w="4968"/>
            <w:shd w:fill="F9FAFB"/>
            <w:vAlign w:val="top"/>
          </w:tcPr>
          <w:p>
            <w:r>
              <w:rPr>
                <w:rFonts w:ascii="Aptos" w:hAnsi="Aptos"/>
                <w:sz w:val="18"/>
              </w:rPr>
              <w:t>Operational safety</w:t>
            </w:r>
          </w:p>
        </w:tc>
        <w:tc>
          <w:tcPr>
            <w:tcW w:type="dxa" w:w="4968"/>
            <w:shd w:fill="FFFFFF"/>
            <w:vAlign w:val="top"/>
          </w:tcPr>
          <w:p>
            <w:r>
              <w:rPr>
                <w:rFonts w:ascii="Aptos" w:hAnsi="Aptos"/>
                <w:sz w:val="18"/>
              </w:rPr>
              <w:t>Faults are treated as declared, machine-readable signals with propagation and remediation rules, rather than untyped logs.</w:t>
            </w:r>
          </w:p>
        </w:tc>
      </w:tr>
    </w:tbl>
    <w:p/>
    <w:p>
      <w:pPr>
        <w:pStyle w:val="Heading2"/>
      </w:pPr>
      <w:r>
        <w:t>Editorial boundary for Part 2</w:t>
      </w:r>
    </w:p>
    <w:p>
      <w:pPr>
        <w:pStyle w:val="ListBullet"/>
      </w:pPr>
      <w:r>
        <w:t>Do not explain DCP schema mechanics in the public body.</w:t>
      </w:r>
    </w:p>
    <w:p>
      <w:pPr>
        <w:pStyle w:val="ListBullet"/>
      </w:pPr>
      <w:r>
        <w:t>Use DCP only as continuity from Part 1 and as a bridge into Part 3.</w:t>
      </w:r>
    </w:p>
    <w:p>
      <w:pPr>
        <w:pStyle w:val="ListBullet"/>
      </w:pPr>
      <w:r>
        <w:t>Keep the reader focused on the baseline shift: from writing components to assembling governable systems.</w:t>
      </w:r>
    </w:p>
    <w:p>
      <w:pPr>
        <w:pStyle w:val="ListBullet"/>
      </w:pPr>
      <w:r>
        <w:t>Introduce the need for self-description, frozen composition, runtime determinism, and explicit boundaries as concepts, not as schema fields.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6"/>
      </w:rPr>
      <w:t>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The Baseline Shift | Part 2 in the DCP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B55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60" w:after="160"/>
      <w:ind w:left="360" w:right="360"/>
    </w:pPr>
    <w:rPr>
      <w:rFonts w:ascii="Aptos" w:hAnsi="Aptos"/>
      <w:i/>
      <w:color w:val="1F293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