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수출 물품 매매계약서 (발췌본)</w:t>
      </w:r>
    </w:p>
    <w:p>
      <w:r>
        <w:rPr>
          <w:color w:val="B03030"/>
          <w:sz w:val="18"/>
        </w:rPr>
        <w:t>※ 교육용 가상 계약서입니다. 회사명·금액은 모두 가상이며, 실제 계약에 사용할 수 없습니다.</w:t>
      </w:r>
    </w:p>
    <w:p>
      <w:r>
        <w:t>매도인(Seller): 한빛금속 주식회사 (대한민국)</w:t>
        <w:br/>
        <w:t>매수인(Buyer): Nordic Metals GmbH (독일)</w:t>
        <w:br/>
        <w:t>계약일: 2026-09-15</w:t>
      </w:r>
    </w:p>
    <w:p>
      <w:pPr>
        <w:pStyle w:val="Heading2"/>
      </w:pPr>
      <w:r>
        <w:t>제1조 (계약 물품)</w:t>
      </w:r>
    </w:p>
    <w:p>
      <w:r>
        <w:t>품목: Aluminum Extruded Profile 6063-T5, 40mm x 40mm</w:t>
      </w:r>
    </w:p>
    <w:p>
      <w:r>
        <w:t>HS Code: 7604.29</w:t>
      </w:r>
    </w:p>
    <w:p>
      <w:r>
        <w:t>수량: 200 BUNDLES</w:t>
      </w:r>
    </w:p>
    <w:p>
      <w:r>
        <w:t>총 계약금액: USD 185,000</w:t>
      </w:r>
    </w:p>
    <w:p>
      <w:r>
        <w:t>원산지: 대한민국 또는 중국 (선적 시점에 매도인이 정한다)</w:t>
      </w:r>
    </w:p>
    <w:p>
      <w:pPr>
        <w:pStyle w:val="Heading2"/>
      </w:pPr>
      <w:r>
        <w:t>제2조 (인도 조건)</w:t>
      </w:r>
    </w:p>
    <w:p>
      <w:r>
        <w:t>인도 조건은 FOB Incheon으로 한다. 선적 항구는 인천항이며, 선적 기한은 2026년 11월 30일까지로 한다.</w:t>
      </w:r>
    </w:p>
    <w:p>
      <w:pPr>
        <w:pStyle w:val="Heading2"/>
      </w:pPr>
      <w:r>
        <w:t>제3조 (선적 서류)</w:t>
      </w:r>
    </w:p>
    <w:p>
      <w:r>
        <w:t>매도인은 상업송장, 패킹리스트, 원산지증명서를 매수인에게 제출한다.</w:t>
      </w:r>
    </w:p>
    <w:p>
      <w:r>
        <w:t>상업송장과 패킹리스트의 수량, 금액, 중량 차이가 5퍼센트 이내인 경우에는 서류 불일치로 보지 않는다.</w:t>
      </w:r>
    </w:p>
    <w:p>
      <w:pPr>
        <w:pStyle w:val="Heading2"/>
      </w:pPr>
      <w:r>
        <w:t>제4조 (배출량 정보)</w:t>
      </w:r>
    </w:p>
    <w:p>
      <w:r>
        <w:t>매도인은 본 계약 물품의 내재 배출량 정보를 매수인에게 제공할 의무를 지지 않는다.</w:t>
      </w:r>
    </w:p>
    <w:p>
      <w:pPr>
        <w:pStyle w:val="Heading2"/>
      </w:pPr>
      <w:r>
        <w:t>제5조 (서류 정정)</w:t>
      </w:r>
    </w:p>
    <w:p>
      <w:r>
        <w:t>서류 불일치가 발견되면 매도인은 수출신고 수리일부터 90일 이내에 정정할 수 있다.</w:t>
      </w:r>
    </w:p>
    <w:p>
      <w:pPr>
        <w:pStyle w:val="Heading2"/>
      </w:pPr>
      <w:r>
        <w:t>제6조 (대금 결제)</w:t>
      </w:r>
    </w:p>
    <w:p>
      <w:r>
        <w:t>대금은 취소불능 일람출급 신용장(L/C at sight)으로 결제한다.</w:t>
      </w:r>
    </w:p>
    <w:p>
      <w:pPr>
        <w:pStyle w:val="Heading2"/>
      </w:pPr>
      <w:r>
        <w:t>제7조 (포장)</w:t>
      </w:r>
    </w:p>
    <w:p>
      <w:r>
        <w:t>물품은 수출용 표준 포장으로 포장하며, 번들 단위로 라벨을 부착한다.</w:t>
      </w:r>
    </w:p>
    <w:p>
      <w:pPr>
        <w:pStyle w:val="Heading2"/>
      </w:pPr>
      <w:r>
        <w:t>제8조 (준거법)</w:t>
      </w:r>
    </w:p>
    <w:p>
      <w:r>
        <w:t>본 계약은 대한민국 법에 따라 해석한다.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