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A738" w14:textId="77777777" w:rsidR="00E600E9" w:rsidRPr="0009792A" w:rsidRDefault="00E600E9" w:rsidP="00E600E9">
      <w:pPr>
        <w:pStyle w:val="Heading1"/>
      </w:pPr>
      <w:r w:rsidRPr="0009792A">
        <w:t>Apple’s Emission Goals and Dataset</w:t>
      </w:r>
    </w:p>
    <w:p w14:paraId="730EC331" w14:textId="77777777" w:rsidR="00E600E9" w:rsidRPr="0009792A" w:rsidRDefault="00E600E9" w:rsidP="00E600E9">
      <w:pPr>
        <w:pStyle w:val="NormalWeb"/>
        <w:shd w:val="clear" w:color="auto" w:fill="FFFFFF"/>
        <w:rPr>
          <w:rFonts w:ascii="Abadi" w:hAnsi="Abadi"/>
          <w:color w:val="6E6E6E"/>
          <w:sz w:val="22"/>
          <w:szCs w:val="22"/>
        </w:rPr>
      </w:pPr>
      <w:r w:rsidRPr="0009792A">
        <w:rPr>
          <w:rFonts w:ascii="Abadi" w:hAnsi="Abadi"/>
          <w:color w:val="6E6E6E"/>
          <w:sz w:val="22"/>
          <w:szCs w:val="22"/>
        </w:rPr>
        <w:t xml:space="preserve">In 2020, after announcing their corporate operations were officially carbon neutral, Apple pledged to make their products carbon neutral by 2030. </w:t>
      </w:r>
    </w:p>
    <w:p w14:paraId="18632351" w14:textId="77777777" w:rsidR="00E600E9" w:rsidRPr="0009792A" w:rsidRDefault="00E600E9" w:rsidP="00E600E9">
      <w:pPr>
        <w:pStyle w:val="NormalWeb"/>
        <w:shd w:val="clear" w:color="auto" w:fill="FFFFFF"/>
        <w:rPr>
          <w:rFonts w:ascii="Abadi" w:hAnsi="Abadi"/>
          <w:color w:val="6E6E6E"/>
          <w:sz w:val="22"/>
          <w:szCs w:val="22"/>
        </w:rPr>
      </w:pPr>
      <w:r w:rsidRPr="0009792A">
        <w:rPr>
          <w:rFonts w:ascii="Abadi" w:hAnsi="Abadi"/>
          <w:color w:val="6E6E6E"/>
          <w:sz w:val="22"/>
          <w:szCs w:val="22"/>
        </w:rPr>
        <w:t xml:space="preserve">To achieve this goal, they set their emissions for 2015 (38.4 million metric tons CO2e) as the baseline and will aim to reduce them by 75% by 2030. </w:t>
      </w:r>
    </w:p>
    <w:p w14:paraId="2E4E9F49" w14:textId="77777777" w:rsidR="00E600E9" w:rsidRPr="0009792A" w:rsidRDefault="00E600E9" w:rsidP="00E600E9">
      <w:pPr>
        <w:pStyle w:val="NormalWeb"/>
        <w:shd w:val="clear" w:color="auto" w:fill="FFFFFF"/>
        <w:rPr>
          <w:rFonts w:ascii="Abadi" w:hAnsi="Abadi"/>
          <w:color w:val="6E6E6E"/>
          <w:sz w:val="22"/>
          <w:szCs w:val="22"/>
        </w:rPr>
      </w:pPr>
      <w:r w:rsidRPr="0009792A">
        <w:rPr>
          <w:rFonts w:ascii="Abadi" w:hAnsi="Abadi"/>
          <w:color w:val="6E6E6E"/>
          <w:sz w:val="22"/>
          <w:szCs w:val="22"/>
        </w:rPr>
        <w:t>The remaining 25% of gross emissions (9.6 million metric tons CO2e) will be removed using carbon offsets, bringing the net emissions to 0.</w:t>
      </w:r>
    </w:p>
    <w:p w14:paraId="19418A97" w14:textId="77777777" w:rsidR="00E600E9" w:rsidRPr="0009792A" w:rsidRDefault="00E600E9" w:rsidP="00E600E9">
      <w:pPr>
        <w:pStyle w:val="NormalWeb"/>
        <w:shd w:val="clear" w:color="auto" w:fill="FFFFFF"/>
        <w:rPr>
          <w:rFonts w:ascii="Abadi" w:hAnsi="Abadi"/>
          <w:color w:val="6E6E6E"/>
          <w:sz w:val="22"/>
          <w:szCs w:val="22"/>
        </w:rPr>
      </w:pPr>
      <w:r w:rsidRPr="0009792A">
        <w:rPr>
          <w:rFonts w:ascii="Abadi" w:hAnsi="Abadi"/>
          <w:color w:val="6E6E6E"/>
          <w:sz w:val="22"/>
          <w:szCs w:val="22"/>
        </w:rPr>
        <w:t>For the </w:t>
      </w:r>
      <w:r w:rsidRPr="0009792A">
        <w:rPr>
          <w:rStyle w:val="Strong"/>
          <w:rFonts w:ascii="Abadi" w:hAnsi="Abadi"/>
          <w:color w:val="6E6E6E"/>
          <w:sz w:val="22"/>
          <w:szCs w:val="22"/>
        </w:rPr>
        <w:t>Maven Environmental Challenge</w:t>
      </w:r>
      <w:r w:rsidRPr="0009792A">
        <w:rPr>
          <w:rFonts w:ascii="Abadi" w:hAnsi="Abadi"/>
          <w:color w:val="6E6E6E"/>
          <w:sz w:val="22"/>
          <w:szCs w:val="22"/>
        </w:rPr>
        <w:t xml:space="preserve">, you'll be working as an independent journalist and data viz enthusiast. </w:t>
      </w:r>
    </w:p>
    <w:p w14:paraId="026E78E2" w14:textId="77777777" w:rsidR="00E600E9" w:rsidRPr="0009792A" w:rsidRDefault="00E600E9" w:rsidP="00E600E9">
      <w:pPr>
        <w:pStyle w:val="NormalWeb"/>
        <w:shd w:val="clear" w:color="auto" w:fill="FFFFFF"/>
        <w:rPr>
          <w:rFonts w:ascii="Abadi" w:hAnsi="Abadi"/>
          <w:color w:val="6E6E6E"/>
          <w:sz w:val="22"/>
          <w:szCs w:val="22"/>
        </w:rPr>
      </w:pPr>
      <w:r w:rsidRPr="0009792A">
        <w:rPr>
          <w:rFonts w:ascii="Abadi" w:hAnsi="Abadi"/>
          <w:color w:val="6E6E6E"/>
          <w:sz w:val="22"/>
          <w:szCs w:val="22"/>
        </w:rPr>
        <w:t>Your task is to use the data provided by Apple in their Environmental Progress Reports to </w:t>
      </w:r>
      <w:r w:rsidRPr="0009792A">
        <w:rPr>
          <w:rStyle w:val="Strong"/>
          <w:rFonts w:ascii="Abadi" w:hAnsi="Abadi"/>
          <w:color w:val="6E6E6E"/>
          <w:sz w:val="22"/>
          <w:szCs w:val="22"/>
        </w:rPr>
        <w:t>visualize their progress towards becoming carbon neutral in 2030</w:t>
      </w:r>
      <w:r w:rsidRPr="0009792A">
        <w:rPr>
          <w:rFonts w:ascii="Abadi" w:hAnsi="Abadi"/>
          <w:color w:val="6E6E6E"/>
          <w:sz w:val="22"/>
          <w:szCs w:val="22"/>
        </w:rPr>
        <w:t>.</w:t>
      </w:r>
    </w:p>
    <w:p w14:paraId="63202827" w14:textId="77777777" w:rsidR="00E600E9" w:rsidRPr="0009792A" w:rsidRDefault="00E600E9" w:rsidP="00E600E9">
      <w:pPr>
        <w:pStyle w:val="Heading2"/>
      </w:pPr>
      <w:r w:rsidRPr="0009792A">
        <w:t>Datasets</w:t>
      </w:r>
    </w:p>
    <w:p w14:paraId="63B146E5" w14:textId="77777777" w:rsidR="00E600E9" w:rsidRPr="0009792A" w:rsidRDefault="00E600E9" w:rsidP="00E600E9">
      <w:pPr>
        <w:pStyle w:val="Heading3"/>
      </w:pPr>
      <w:r w:rsidRPr="0009792A">
        <w:t>Greenhouse gas emissions</w:t>
      </w:r>
    </w:p>
    <w:tbl>
      <w:tblPr>
        <w:tblStyle w:val="GridTable2-Accent4"/>
        <w:tblW w:w="0" w:type="auto"/>
        <w:tblLook w:val="04A0" w:firstRow="1" w:lastRow="0" w:firstColumn="1" w:lastColumn="0" w:noHBand="0" w:noVBand="1"/>
      </w:tblPr>
      <w:tblGrid>
        <w:gridCol w:w="1418"/>
        <w:gridCol w:w="7608"/>
      </w:tblGrid>
      <w:tr w:rsidR="00E600E9" w:rsidRPr="0009792A" w14:paraId="1B51CCF4" w14:textId="77777777" w:rsidTr="00464D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2F9B129"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Field</w:t>
            </w:r>
          </w:p>
        </w:tc>
        <w:tc>
          <w:tcPr>
            <w:tcW w:w="7608" w:type="dxa"/>
            <w:noWrap/>
            <w:hideMark/>
          </w:tcPr>
          <w:p w14:paraId="600E2FEF" w14:textId="77777777" w:rsidR="00E600E9" w:rsidRPr="0009792A" w:rsidRDefault="00E600E9" w:rsidP="00464D74">
            <w:pPr>
              <w:cnfStyle w:val="100000000000" w:firstRow="1"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Description</w:t>
            </w:r>
          </w:p>
        </w:tc>
      </w:tr>
      <w:tr w:rsidR="00E600E9" w:rsidRPr="0009792A" w14:paraId="26E0A949"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2C305A0C"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Fiscal Year</w:t>
            </w:r>
          </w:p>
        </w:tc>
        <w:tc>
          <w:tcPr>
            <w:tcW w:w="7608" w:type="dxa"/>
            <w:noWrap/>
            <w:hideMark/>
          </w:tcPr>
          <w:p w14:paraId="55FB5B0B" w14:textId="77777777" w:rsidR="00E600E9" w:rsidRPr="0009792A"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Apple's fiscal calendar starts on the last Sunday of September and is 364 days long</w:t>
            </w:r>
          </w:p>
        </w:tc>
      </w:tr>
      <w:tr w:rsidR="00E600E9" w:rsidRPr="0009792A" w14:paraId="56C3CD5B"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3CB2BC4"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Category</w:t>
            </w:r>
          </w:p>
        </w:tc>
        <w:tc>
          <w:tcPr>
            <w:tcW w:w="7608" w:type="dxa"/>
            <w:noWrap/>
            <w:hideMark/>
          </w:tcPr>
          <w:p w14:paraId="745AB44C" w14:textId="77777777" w:rsidR="00E600E9" w:rsidRPr="0009792A"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Emissions are divided into two categories: corporate emissions and product life cycle emissions</w:t>
            </w:r>
          </w:p>
        </w:tc>
      </w:tr>
      <w:tr w:rsidR="00E600E9" w:rsidRPr="0009792A" w14:paraId="4EE03B8F"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30A9FEBE"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Type</w:t>
            </w:r>
          </w:p>
        </w:tc>
        <w:tc>
          <w:tcPr>
            <w:tcW w:w="7608" w:type="dxa"/>
            <w:noWrap/>
            <w:hideMark/>
          </w:tcPr>
          <w:p w14:paraId="049E7AF8" w14:textId="77777777" w:rsidR="00E600E9" w:rsidRPr="0009792A"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There are two types of emissions data included: gross emissions (which add to the carbon footprint) and carbon removals (which subtract from the carbon footprint)</w:t>
            </w:r>
          </w:p>
        </w:tc>
      </w:tr>
      <w:tr w:rsidR="00E600E9" w:rsidRPr="0009792A" w14:paraId="22C059E5"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0B59B106"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Scope</w:t>
            </w:r>
          </w:p>
        </w:tc>
        <w:tc>
          <w:tcPr>
            <w:tcW w:w="7608" w:type="dxa"/>
            <w:noWrap/>
            <w:hideMark/>
          </w:tcPr>
          <w:p w14:paraId="0AE8DF04" w14:textId="77777777" w:rsidR="00E600E9" w:rsidRPr="0009792A"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There are three scopes: direct scope 1 emissions; indirect scope 2 emissions from purchased electricity, steam, heating, and cooling; and indirect scope 3 emissions from purchased goods and services, transportation and distribution, business travel, employee commute, product use, and end of life</w:t>
            </w:r>
          </w:p>
        </w:tc>
      </w:tr>
      <w:tr w:rsidR="00E600E9" w:rsidRPr="0009792A" w14:paraId="02306638"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48457DEF"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Description</w:t>
            </w:r>
          </w:p>
        </w:tc>
        <w:tc>
          <w:tcPr>
            <w:tcW w:w="7608" w:type="dxa"/>
            <w:noWrap/>
            <w:hideMark/>
          </w:tcPr>
          <w:p w14:paraId="2CFD0833" w14:textId="77777777" w:rsidR="00E600E9" w:rsidRPr="0009792A"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The source of the greenhouse gas emissions</w:t>
            </w:r>
          </w:p>
        </w:tc>
      </w:tr>
      <w:tr w:rsidR="00E600E9" w:rsidRPr="0009792A" w14:paraId="71FA2208"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14:paraId="15CE3615"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Emissions</w:t>
            </w:r>
          </w:p>
        </w:tc>
        <w:tc>
          <w:tcPr>
            <w:tcW w:w="7608" w:type="dxa"/>
            <w:noWrap/>
            <w:hideMark/>
          </w:tcPr>
          <w:p w14:paraId="22FD7EE7" w14:textId="77777777" w:rsidR="00E600E9" w:rsidRPr="0009792A"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Greenhouse gas emissions (metric tons CO2e)</w:t>
            </w:r>
          </w:p>
        </w:tc>
      </w:tr>
    </w:tbl>
    <w:p w14:paraId="23F87D00" w14:textId="77777777" w:rsidR="00E600E9" w:rsidRPr="0009792A" w:rsidRDefault="00E600E9" w:rsidP="00E600E9">
      <w:pPr>
        <w:pStyle w:val="NormalWeb"/>
        <w:shd w:val="clear" w:color="auto" w:fill="FFFFFF"/>
        <w:rPr>
          <w:rFonts w:ascii="Abadi" w:hAnsi="Abadi"/>
          <w:sz w:val="22"/>
          <w:szCs w:val="22"/>
        </w:rPr>
      </w:pPr>
    </w:p>
    <w:p w14:paraId="0EE038A7" w14:textId="77777777" w:rsidR="00E600E9" w:rsidRPr="0009792A" w:rsidRDefault="00E600E9" w:rsidP="00E600E9">
      <w:pPr>
        <w:pStyle w:val="NormalWeb"/>
        <w:shd w:val="clear" w:color="auto" w:fill="FFFFFF"/>
        <w:rPr>
          <w:rFonts w:ascii="Abadi" w:hAnsi="Abadi"/>
          <w:sz w:val="22"/>
          <w:szCs w:val="22"/>
        </w:rPr>
      </w:pPr>
      <w:r w:rsidRPr="0009792A">
        <w:rPr>
          <w:rFonts w:ascii="Abadi" w:hAnsi="Abadi"/>
          <w:sz w:val="22"/>
          <w:szCs w:val="22"/>
        </w:rPr>
        <w:t>*Apple’s greenhouse gas emissions are calculated using the World Resources Institute Greenhouse Gas Protocol methodology for calculating market-based emissions.</w:t>
      </w:r>
    </w:p>
    <w:p w14:paraId="4AEA155E" w14:textId="77777777" w:rsidR="00E600E9" w:rsidRPr="0009792A" w:rsidRDefault="00E600E9" w:rsidP="00E600E9">
      <w:pPr>
        <w:pStyle w:val="NormalWeb"/>
        <w:shd w:val="clear" w:color="auto" w:fill="FFFFFF"/>
        <w:ind w:left="360"/>
        <w:rPr>
          <w:rFonts w:ascii="Abadi" w:hAnsi="Abadi"/>
          <w:sz w:val="22"/>
          <w:szCs w:val="22"/>
        </w:rPr>
      </w:pPr>
    </w:p>
    <w:p w14:paraId="1142818E" w14:textId="77777777" w:rsidR="00E600E9" w:rsidRPr="0009792A" w:rsidRDefault="00E600E9" w:rsidP="00E600E9">
      <w:pPr>
        <w:pStyle w:val="Heading3"/>
      </w:pPr>
      <w:r w:rsidRPr="0009792A">
        <w:t>Carbon footprint by product</w:t>
      </w:r>
    </w:p>
    <w:tbl>
      <w:tblPr>
        <w:tblStyle w:val="GridTable2-Accent4"/>
        <w:tblW w:w="0" w:type="auto"/>
        <w:tblLook w:val="04A0" w:firstRow="1" w:lastRow="0" w:firstColumn="1" w:lastColumn="0" w:noHBand="0" w:noVBand="1"/>
      </w:tblPr>
      <w:tblGrid>
        <w:gridCol w:w="1829"/>
        <w:gridCol w:w="6235"/>
      </w:tblGrid>
      <w:tr w:rsidR="00E600E9" w:rsidRPr="0009792A" w14:paraId="62DE2EC5" w14:textId="77777777" w:rsidTr="00464D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F70E639"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Field</w:t>
            </w:r>
          </w:p>
        </w:tc>
        <w:tc>
          <w:tcPr>
            <w:tcW w:w="0" w:type="auto"/>
            <w:hideMark/>
          </w:tcPr>
          <w:p w14:paraId="693CF70A" w14:textId="77777777" w:rsidR="00E600E9" w:rsidRPr="0009792A" w:rsidRDefault="00E600E9" w:rsidP="00464D74">
            <w:pPr>
              <w:cnfStyle w:val="100000000000" w:firstRow="1"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Description</w:t>
            </w:r>
          </w:p>
        </w:tc>
      </w:tr>
      <w:tr w:rsidR="00E600E9" w:rsidRPr="0009792A" w14:paraId="55DF2122"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00B52A3D"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Release Year</w:t>
            </w:r>
          </w:p>
        </w:tc>
        <w:tc>
          <w:tcPr>
            <w:tcW w:w="0" w:type="auto"/>
            <w:hideMark/>
          </w:tcPr>
          <w:p w14:paraId="41222480" w14:textId="77777777" w:rsidR="00E600E9" w:rsidRPr="0009792A"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Year the product was released</w:t>
            </w:r>
          </w:p>
        </w:tc>
      </w:tr>
      <w:tr w:rsidR="00E600E9" w:rsidRPr="0009792A" w14:paraId="7C8B17B2"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C070A76"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Product</w:t>
            </w:r>
          </w:p>
        </w:tc>
        <w:tc>
          <w:tcPr>
            <w:tcW w:w="0" w:type="auto"/>
            <w:hideMark/>
          </w:tcPr>
          <w:p w14:paraId="65294D65" w14:textId="77777777" w:rsidR="00E600E9" w:rsidRPr="0009792A"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Product name</w:t>
            </w:r>
          </w:p>
        </w:tc>
      </w:tr>
      <w:tr w:rsidR="00E600E9" w:rsidRPr="0009792A" w14:paraId="73C2E388"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7F18F91A"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Baseline Storage</w:t>
            </w:r>
          </w:p>
        </w:tc>
        <w:tc>
          <w:tcPr>
            <w:tcW w:w="0" w:type="auto"/>
            <w:hideMark/>
          </w:tcPr>
          <w:p w14:paraId="7C195AF2" w14:textId="77777777" w:rsidR="00E600E9" w:rsidRPr="0009792A"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Lowest storage option</w:t>
            </w:r>
          </w:p>
        </w:tc>
      </w:tr>
      <w:tr w:rsidR="00E600E9" w:rsidRPr="0009792A" w14:paraId="685911A9"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69FCEB9"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Carbon Footprint</w:t>
            </w:r>
          </w:p>
        </w:tc>
        <w:tc>
          <w:tcPr>
            <w:tcW w:w="0" w:type="auto"/>
            <w:hideMark/>
          </w:tcPr>
          <w:p w14:paraId="0BCA3B7E" w14:textId="77777777" w:rsidR="00E600E9" w:rsidRPr="0009792A"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Greenhouse gas emissions from the product life cycle (kg CO2e)</w:t>
            </w:r>
          </w:p>
        </w:tc>
      </w:tr>
    </w:tbl>
    <w:p w14:paraId="3C0765C6" w14:textId="77777777" w:rsidR="00E600E9" w:rsidRPr="0009792A" w:rsidRDefault="00E600E9" w:rsidP="00E600E9">
      <w:pPr>
        <w:pStyle w:val="NormalWeb"/>
        <w:shd w:val="clear" w:color="auto" w:fill="FFFFFF"/>
        <w:ind w:left="360"/>
        <w:rPr>
          <w:rFonts w:ascii="Abadi" w:hAnsi="Abadi"/>
          <w:sz w:val="22"/>
          <w:szCs w:val="22"/>
        </w:rPr>
      </w:pPr>
    </w:p>
    <w:p w14:paraId="02D82D8E" w14:textId="77777777" w:rsidR="00E600E9" w:rsidRPr="0009792A" w:rsidRDefault="00E600E9" w:rsidP="00E600E9">
      <w:pPr>
        <w:pStyle w:val="Heading3"/>
      </w:pPr>
      <w:r w:rsidRPr="0009792A">
        <w:lastRenderedPageBreak/>
        <w:t>Normalizing factors</w:t>
      </w:r>
    </w:p>
    <w:tbl>
      <w:tblPr>
        <w:tblStyle w:val="GridTable2-Accent4"/>
        <w:tblW w:w="5000" w:type="pct"/>
        <w:tblLook w:val="04A0" w:firstRow="1" w:lastRow="0" w:firstColumn="1" w:lastColumn="0" w:noHBand="0" w:noVBand="1"/>
      </w:tblPr>
      <w:tblGrid>
        <w:gridCol w:w="1489"/>
        <w:gridCol w:w="7537"/>
      </w:tblGrid>
      <w:tr w:rsidR="00E600E9" w:rsidRPr="0009792A" w14:paraId="19E4C383" w14:textId="77777777" w:rsidTr="00464D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0" w:type="pct"/>
            <w:hideMark/>
          </w:tcPr>
          <w:p w14:paraId="3A586525"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Field</w:t>
            </w:r>
          </w:p>
        </w:tc>
        <w:tc>
          <w:tcPr>
            <w:tcW w:w="4210" w:type="pct"/>
            <w:hideMark/>
          </w:tcPr>
          <w:p w14:paraId="6C2D1DFF" w14:textId="77777777" w:rsidR="00E600E9" w:rsidRPr="0009792A" w:rsidRDefault="00E600E9" w:rsidP="00464D74">
            <w:pPr>
              <w:cnfStyle w:val="100000000000" w:firstRow="1"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Description</w:t>
            </w:r>
          </w:p>
        </w:tc>
      </w:tr>
      <w:tr w:rsidR="00E600E9" w:rsidRPr="0009792A" w14:paraId="61554CE2"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0" w:type="pct"/>
            <w:hideMark/>
          </w:tcPr>
          <w:p w14:paraId="782D4670"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Fiscal Year</w:t>
            </w:r>
          </w:p>
        </w:tc>
        <w:tc>
          <w:tcPr>
            <w:tcW w:w="4210" w:type="pct"/>
            <w:hideMark/>
          </w:tcPr>
          <w:p w14:paraId="7BF42C52" w14:textId="77777777" w:rsidR="00E600E9" w:rsidRPr="0009792A"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Figures are as of the end of the fiscal year</w:t>
            </w:r>
          </w:p>
        </w:tc>
      </w:tr>
      <w:tr w:rsidR="00E600E9" w:rsidRPr="0009792A" w14:paraId="1193461C"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790" w:type="pct"/>
            <w:hideMark/>
          </w:tcPr>
          <w:p w14:paraId="20736720"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Revenue</w:t>
            </w:r>
          </w:p>
        </w:tc>
        <w:tc>
          <w:tcPr>
            <w:tcW w:w="4210" w:type="pct"/>
            <w:hideMark/>
          </w:tcPr>
          <w:p w14:paraId="0647F51E" w14:textId="77777777" w:rsidR="00E600E9" w:rsidRPr="0009792A"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Net sales (in millions, US$)</w:t>
            </w:r>
          </w:p>
        </w:tc>
      </w:tr>
      <w:tr w:rsidR="00E600E9" w:rsidRPr="0009792A" w14:paraId="3ED68F2B"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0" w:type="pct"/>
            <w:hideMark/>
          </w:tcPr>
          <w:p w14:paraId="59F55B37"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Market Capitalization</w:t>
            </w:r>
          </w:p>
        </w:tc>
        <w:tc>
          <w:tcPr>
            <w:tcW w:w="4210" w:type="pct"/>
            <w:hideMark/>
          </w:tcPr>
          <w:p w14:paraId="34B92BEA" w14:textId="77777777" w:rsidR="00E600E9" w:rsidRPr="0009792A"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Value of the company (in billions, US$)</w:t>
            </w:r>
          </w:p>
        </w:tc>
      </w:tr>
      <w:tr w:rsidR="00E600E9" w:rsidRPr="0009792A" w14:paraId="6014B33C"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790" w:type="pct"/>
            <w:hideMark/>
          </w:tcPr>
          <w:p w14:paraId="483F3252" w14:textId="77777777" w:rsidR="00E600E9" w:rsidRPr="0009792A" w:rsidRDefault="00E600E9" w:rsidP="00464D74">
            <w:pPr>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Employees</w:t>
            </w:r>
          </w:p>
        </w:tc>
        <w:tc>
          <w:tcPr>
            <w:tcW w:w="4210" w:type="pct"/>
            <w:hideMark/>
          </w:tcPr>
          <w:p w14:paraId="3B7A5B7E" w14:textId="77777777" w:rsidR="00E600E9" w:rsidRPr="0009792A"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09792A">
              <w:rPr>
                <w:rFonts w:ascii="Abadi" w:eastAsia="Times New Roman" w:hAnsi="Abadi" w:cs="Calibri"/>
                <w:color w:val="000000"/>
                <w:kern w:val="0"/>
                <w:lang w:eastAsia="en-IN"/>
                <w14:ligatures w14:val="none"/>
              </w:rPr>
              <w:t>Number of full-time equivalent employees</w:t>
            </w:r>
          </w:p>
        </w:tc>
      </w:tr>
    </w:tbl>
    <w:p w14:paraId="152CE30F" w14:textId="77777777" w:rsidR="00E600E9" w:rsidRPr="0009792A" w:rsidRDefault="00E600E9" w:rsidP="00E600E9">
      <w:pPr>
        <w:rPr>
          <w:rFonts w:ascii="Abadi" w:hAnsi="Abadi"/>
        </w:rPr>
      </w:pPr>
    </w:p>
    <w:p w14:paraId="760F7D41" w14:textId="77777777" w:rsidR="00E600E9" w:rsidRPr="0009792A" w:rsidRDefault="00E600E9" w:rsidP="00E600E9">
      <w:pPr>
        <w:pStyle w:val="ListParagraph"/>
        <w:ind w:left="360"/>
        <w:rPr>
          <w:rFonts w:ascii="Abadi" w:hAnsi="Abadi"/>
        </w:rPr>
      </w:pPr>
    </w:p>
    <w:p w14:paraId="4B451967" w14:textId="77777777" w:rsidR="00E600E9" w:rsidRPr="0009792A" w:rsidRDefault="00E600E9" w:rsidP="00E600E9">
      <w:pPr>
        <w:pStyle w:val="Heading3"/>
      </w:pPr>
      <w:r w:rsidRPr="0009792A">
        <w:t>Carbon footprint by product</w:t>
      </w:r>
      <w:r>
        <w:t xml:space="preserve"> details</w:t>
      </w:r>
    </w:p>
    <w:tbl>
      <w:tblPr>
        <w:tblStyle w:val="GridTable6Colorful-Accent4"/>
        <w:tblW w:w="0" w:type="auto"/>
        <w:tblLook w:val="04A0" w:firstRow="1" w:lastRow="0" w:firstColumn="1" w:lastColumn="0" w:noHBand="0" w:noVBand="1"/>
      </w:tblPr>
      <w:tblGrid>
        <w:gridCol w:w="2491"/>
        <w:gridCol w:w="6525"/>
      </w:tblGrid>
      <w:tr w:rsidR="00E600E9" w:rsidRPr="007C1738" w14:paraId="50C13163" w14:textId="77777777" w:rsidTr="00464D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4EC68BF"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Field</w:t>
            </w:r>
          </w:p>
        </w:tc>
        <w:tc>
          <w:tcPr>
            <w:tcW w:w="6576" w:type="dxa"/>
            <w:noWrap/>
            <w:hideMark/>
          </w:tcPr>
          <w:p w14:paraId="6C7B498A" w14:textId="77777777" w:rsidR="00E600E9" w:rsidRPr="007C1738" w:rsidRDefault="00E600E9" w:rsidP="00464D74">
            <w:pPr>
              <w:cnfStyle w:val="100000000000" w:firstRow="1"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Description</w:t>
            </w:r>
          </w:p>
        </w:tc>
      </w:tr>
      <w:tr w:rsidR="00E600E9" w:rsidRPr="007C1738" w14:paraId="4A76B0E6"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907F5B"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Released For Fiscal Year</w:t>
            </w:r>
          </w:p>
        </w:tc>
        <w:tc>
          <w:tcPr>
            <w:tcW w:w="6576" w:type="dxa"/>
            <w:noWrap/>
            <w:hideMark/>
          </w:tcPr>
          <w:p w14:paraId="2872781D" w14:textId="77777777" w:rsidR="00E600E9" w:rsidRPr="007C1738"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Fiscal year for which the product was released</w:t>
            </w:r>
          </w:p>
        </w:tc>
      </w:tr>
      <w:tr w:rsidR="00E600E9" w:rsidRPr="007C1738" w14:paraId="045FAA8A"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6D4284"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Release Year</w:t>
            </w:r>
          </w:p>
        </w:tc>
        <w:tc>
          <w:tcPr>
            <w:tcW w:w="6576" w:type="dxa"/>
            <w:noWrap/>
            <w:hideMark/>
          </w:tcPr>
          <w:p w14:paraId="689DAF6C" w14:textId="77777777" w:rsidR="00E600E9" w:rsidRPr="007C1738"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Year the product was released</w:t>
            </w:r>
          </w:p>
        </w:tc>
      </w:tr>
      <w:tr w:rsidR="00E600E9" w:rsidRPr="007C1738" w14:paraId="222B971B"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51E1D9D"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Release date</w:t>
            </w:r>
          </w:p>
        </w:tc>
        <w:tc>
          <w:tcPr>
            <w:tcW w:w="6576" w:type="dxa"/>
            <w:noWrap/>
            <w:hideMark/>
          </w:tcPr>
          <w:p w14:paraId="4F62F3B0" w14:textId="77777777" w:rsidR="00E600E9" w:rsidRPr="007C1738"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Date the product was released</w:t>
            </w:r>
          </w:p>
        </w:tc>
      </w:tr>
      <w:tr w:rsidR="00E600E9" w:rsidRPr="007C1738" w14:paraId="4C7C93FC"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50BD6C"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Product Category</w:t>
            </w:r>
          </w:p>
        </w:tc>
        <w:tc>
          <w:tcPr>
            <w:tcW w:w="6576" w:type="dxa"/>
            <w:noWrap/>
            <w:hideMark/>
          </w:tcPr>
          <w:p w14:paraId="1D7FD78A" w14:textId="77777777" w:rsidR="00E600E9" w:rsidRPr="007C1738"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Product name</w:t>
            </w:r>
          </w:p>
        </w:tc>
      </w:tr>
      <w:tr w:rsidR="00E600E9" w:rsidRPr="007C1738" w14:paraId="1F8B49EA"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4615FE"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Product</w:t>
            </w:r>
          </w:p>
        </w:tc>
        <w:tc>
          <w:tcPr>
            <w:tcW w:w="6576" w:type="dxa"/>
            <w:noWrap/>
            <w:hideMark/>
          </w:tcPr>
          <w:p w14:paraId="35C69D3F" w14:textId="77777777" w:rsidR="00E600E9" w:rsidRPr="007C1738"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p>
        </w:tc>
      </w:tr>
      <w:tr w:rsidR="00E600E9" w:rsidRPr="007C1738" w14:paraId="579023AB"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9F492F"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Configuration</w:t>
            </w:r>
          </w:p>
        </w:tc>
        <w:tc>
          <w:tcPr>
            <w:tcW w:w="6576" w:type="dxa"/>
            <w:noWrap/>
            <w:hideMark/>
          </w:tcPr>
          <w:p w14:paraId="22C76C3D" w14:textId="77777777" w:rsidR="00E600E9" w:rsidRPr="007C1738"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p>
        </w:tc>
      </w:tr>
      <w:tr w:rsidR="00E600E9" w:rsidRPr="007C1738" w14:paraId="3079012D"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FB54A36"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Generation</w:t>
            </w:r>
          </w:p>
        </w:tc>
        <w:tc>
          <w:tcPr>
            <w:tcW w:w="6576" w:type="dxa"/>
            <w:noWrap/>
            <w:hideMark/>
          </w:tcPr>
          <w:p w14:paraId="78ECD374" w14:textId="77777777" w:rsidR="00E600E9" w:rsidRPr="007C1738"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p>
        </w:tc>
      </w:tr>
      <w:tr w:rsidR="00E600E9" w:rsidRPr="007C1738" w14:paraId="206DD800"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D2EF4E3"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Series</w:t>
            </w:r>
          </w:p>
        </w:tc>
        <w:tc>
          <w:tcPr>
            <w:tcW w:w="6576" w:type="dxa"/>
            <w:noWrap/>
            <w:hideMark/>
          </w:tcPr>
          <w:p w14:paraId="7D7584A0" w14:textId="77777777" w:rsidR="00E600E9" w:rsidRPr="007C1738"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p>
        </w:tc>
      </w:tr>
      <w:tr w:rsidR="00E600E9" w:rsidRPr="007C1738" w14:paraId="513190B5"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10444CE"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Model</w:t>
            </w:r>
          </w:p>
        </w:tc>
        <w:tc>
          <w:tcPr>
            <w:tcW w:w="6576" w:type="dxa"/>
            <w:noWrap/>
            <w:hideMark/>
          </w:tcPr>
          <w:p w14:paraId="0BD04D49" w14:textId="77777777" w:rsidR="00E600E9" w:rsidRPr="007C1738"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p>
        </w:tc>
      </w:tr>
      <w:tr w:rsidR="00E600E9" w:rsidRPr="007C1738" w14:paraId="6C162366"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5894984"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Storage</w:t>
            </w:r>
          </w:p>
        </w:tc>
        <w:tc>
          <w:tcPr>
            <w:tcW w:w="6576" w:type="dxa"/>
            <w:noWrap/>
            <w:hideMark/>
          </w:tcPr>
          <w:p w14:paraId="2ED63E05" w14:textId="77777777" w:rsidR="00E600E9" w:rsidRPr="007C1738"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Storage option (in GB)</w:t>
            </w:r>
          </w:p>
        </w:tc>
      </w:tr>
      <w:tr w:rsidR="00E600E9" w:rsidRPr="007C1738" w14:paraId="57B6C405"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858FB3D"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Carbon Footprint</w:t>
            </w:r>
          </w:p>
        </w:tc>
        <w:tc>
          <w:tcPr>
            <w:tcW w:w="6576" w:type="dxa"/>
            <w:noWrap/>
            <w:hideMark/>
          </w:tcPr>
          <w:p w14:paraId="78AB1E4F" w14:textId="77777777" w:rsidR="00E600E9" w:rsidRPr="007C1738"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p>
        </w:tc>
      </w:tr>
      <w:tr w:rsidR="00E600E9" w:rsidRPr="007C1738" w14:paraId="6C96FB27"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8ACF75"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Production</w:t>
            </w:r>
          </w:p>
        </w:tc>
        <w:tc>
          <w:tcPr>
            <w:tcW w:w="6576" w:type="dxa"/>
            <w:noWrap/>
            <w:hideMark/>
          </w:tcPr>
          <w:p w14:paraId="7D457499" w14:textId="77777777" w:rsidR="00E600E9" w:rsidRPr="007C1738"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 of estimated greenhouse gas emissions by category</w:t>
            </w:r>
          </w:p>
        </w:tc>
      </w:tr>
      <w:tr w:rsidR="00E600E9" w:rsidRPr="007C1738" w14:paraId="19F34921"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2E04D2"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Product use</w:t>
            </w:r>
          </w:p>
        </w:tc>
        <w:tc>
          <w:tcPr>
            <w:tcW w:w="6576" w:type="dxa"/>
            <w:noWrap/>
            <w:hideMark/>
          </w:tcPr>
          <w:p w14:paraId="3B7BDDA8" w14:textId="77777777" w:rsidR="00E600E9" w:rsidRPr="007C1738"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 of estimated greenhouse gas emissions by category</w:t>
            </w:r>
          </w:p>
        </w:tc>
      </w:tr>
      <w:tr w:rsidR="00E600E9" w:rsidRPr="007C1738" w14:paraId="0E4CD0B6"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25493B53"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Transport</w:t>
            </w:r>
          </w:p>
        </w:tc>
        <w:tc>
          <w:tcPr>
            <w:tcW w:w="6576" w:type="dxa"/>
            <w:noWrap/>
            <w:hideMark/>
          </w:tcPr>
          <w:p w14:paraId="0575ABCF" w14:textId="77777777" w:rsidR="00E600E9" w:rsidRPr="007C1738" w:rsidRDefault="00E600E9" w:rsidP="00464D74">
            <w:pPr>
              <w:cnfStyle w:val="000000000000" w:firstRow="0" w:lastRow="0" w:firstColumn="0" w:lastColumn="0" w:oddVBand="0" w:evenVBand="0" w:oddHBand="0"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 of estimated greenhouse gas emissions by category</w:t>
            </w:r>
          </w:p>
        </w:tc>
      </w:tr>
      <w:tr w:rsidR="00E600E9" w:rsidRPr="007C1738" w14:paraId="530A771F"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3EF858C" w14:textId="77777777" w:rsidR="00E600E9" w:rsidRPr="007C1738" w:rsidRDefault="00E600E9" w:rsidP="00464D74">
            <w:pPr>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End-of-life processing</w:t>
            </w:r>
          </w:p>
        </w:tc>
        <w:tc>
          <w:tcPr>
            <w:tcW w:w="6576" w:type="dxa"/>
            <w:noWrap/>
            <w:hideMark/>
          </w:tcPr>
          <w:p w14:paraId="06E324E1" w14:textId="77777777" w:rsidR="00E600E9" w:rsidRPr="007C1738" w:rsidRDefault="00E600E9" w:rsidP="00464D74">
            <w:pPr>
              <w:cnfStyle w:val="000000100000" w:firstRow="0" w:lastRow="0" w:firstColumn="0" w:lastColumn="0" w:oddVBand="0" w:evenVBand="0" w:oddHBand="1" w:evenHBand="0" w:firstRowFirstColumn="0" w:firstRowLastColumn="0" w:lastRowFirstColumn="0" w:lastRowLastColumn="0"/>
              <w:rPr>
                <w:rFonts w:ascii="Abadi" w:eastAsia="Times New Roman" w:hAnsi="Abadi" w:cs="Calibri"/>
                <w:color w:val="000000"/>
                <w:kern w:val="0"/>
                <w:lang w:eastAsia="en-IN"/>
                <w14:ligatures w14:val="none"/>
              </w:rPr>
            </w:pPr>
            <w:r w:rsidRPr="007C1738">
              <w:rPr>
                <w:rFonts w:ascii="Abadi" w:eastAsia="Times New Roman" w:hAnsi="Abadi" w:cs="Calibri"/>
                <w:color w:val="000000"/>
                <w:kern w:val="0"/>
                <w:lang w:eastAsia="en-IN"/>
                <w14:ligatures w14:val="none"/>
              </w:rPr>
              <w:t>% of estimated greenhouse gas emissions by category</w:t>
            </w:r>
          </w:p>
        </w:tc>
      </w:tr>
    </w:tbl>
    <w:p w14:paraId="5388C09E" w14:textId="77777777" w:rsidR="00E600E9" w:rsidRPr="007C1738" w:rsidRDefault="00E600E9" w:rsidP="00E600E9">
      <w:pPr>
        <w:rPr>
          <w:rFonts w:ascii="Abadi" w:hAnsi="Abadi"/>
        </w:rPr>
      </w:pPr>
    </w:p>
    <w:p w14:paraId="40525DDE" w14:textId="77777777" w:rsidR="00E600E9" w:rsidRPr="0009792A" w:rsidRDefault="00E600E9" w:rsidP="00E600E9">
      <w:pPr>
        <w:pStyle w:val="Heading3"/>
      </w:pPr>
      <w:r w:rsidRPr="0009792A">
        <w:t>Avoided Emissions (Renewable electricity)</w:t>
      </w:r>
    </w:p>
    <w:tbl>
      <w:tblPr>
        <w:tblStyle w:val="GridTable3-Accent4"/>
        <w:tblW w:w="0" w:type="auto"/>
        <w:tblInd w:w="-5" w:type="dxa"/>
        <w:tblLook w:val="04A0" w:firstRow="1" w:lastRow="0" w:firstColumn="1" w:lastColumn="0" w:noHBand="0" w:noVBand="1"/>
      </w:tblPr>
      <w:tblGrid>
        <w:gridCol w:w="1783"/>
        <w:gridCol w:w="7248"/>
      </w:tblGrid>
      <w:tr w:rsidR="00E600E9" w:rsidRPr="00086095" w14:paraId="56BDE507" w14:textId="77777777" w:rsidTr="00464D7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noWrap/>
            <w:hideMark/>
          </w:tcPr>
          <w:p w14:paraId="32E7D9C7" w14:textId="77777777" w:rsidR="00E600E9" w:rsidRPr="00086095" w:rsidRDefault="00E600E9" w:rsidP="00464D74">
            <w:pPr>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Field</w:t>
            </w:r>
          </w:p>
        </w:tc>
        <w:tc>
          <w:tcPr>
            <w:tcW w:w="0" w:type="auto"/>
            <w:noWrap/>
            <w:hideMark/>
          </w:tcPr>
          <w:p w14:paraId="039A6FC1" w14:textId="77777777" w:rsidR="00E600E9" w:rsidRPr="00086095" w:rsidRDefault="00E600E9" w:rsidP="00464D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Description</w:t>
            </w:r>
          </w:p>
        </w:tc>
      </w:tr>
      <w:tr w:rsidR="00E600E9" w:rsidRPr="00086095" w14:paraId="1EE93BDA" w14:textId="77777777" w:rsidTr="00464D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E0813EF" w14:textId="77777777" w:rsidR="00E600E9" w:rsidRPr="00086095" w:rsidRDefault="00E600E9" w:rsidP="00464D74">
            <w:pPr>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Year</w:t>
            </w:r>
          </w:p>
        </w:tc>
        <w:tc>
          <w:tcPr>
            <w:tcW w:w="0" w:type="auto"/>
            <w:noWrap/>
            <w:hideMark/>
          </w:tcPr>
          <w:p w14:paraId="26F1A239" w14:textId="77777777" w:rsidR="00E600E9" w:rsidRPr="00086095" w:rsidRDefault="00E600E9" w:rsidP="00464D7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Apple's fiscal calendar starts on the last Sunday of September and is 364 days long</w:t>
            </w:r>
          </w:p>
        </w:tc>
      </w:tr>
      <w:tr w:rsidR="00E600E9" w:rsidRPr="00086095" w14:paraId="50418D1C" w14:textId="77777777" w:rsidTr="00464D7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A9D72F" w14:textId="77777777" w:rsidR="00E600E9" w:rsidRPr="00086095" w:rsidRDefault="00E600E9" w:rsidP="00464D74">
            <w:pPr>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Emissions Avoided</w:t>
            </w:r>
          </w:p>
        </w:tc>
        <w:tc>
          <w:tcPr>
            <w:tcW w:w="0" w:type="auto"/>
            <w:noWrap/>
            <w:hideMark/>
          </w:tcPr>
          <w:p w14:paraId="32B120BC" w14:textId="77777777" w:rsidR="00E600E9" w:rsidRPr="00086095" w:rsidRDefault="00E600E9" w:rsidP="00464D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en-IN"/>
                <w14:ligatures w14:val="none"/>
              </w:rPr>
            </w:pPr>
            <w:r w:rsidRPr="00086095">
              <w:rPr>
                <w:rFonts w:ascii="Calibri" w:eastAsia="Times New Roman" w:hAnsi="Calibri" w:cs="Calibri"/>
                <w:color w:val="000000"/>
                <w:kern w:val="0"/>
                <w:lang w:eastAsia="en-IN"/>
                <w14:ligatures w14:val="none"/>
              </w:rPr>
              <w:t>(in metric tons CO2e) avoided because of switching to renewable electricity</w:t>
            </w:r>
          </w:p>
        </w:tc>
      </w:tr>
    </w:tbl>
    <w:p w14:paraId="7DCF4994" w14:textId="77777777" w:rsidR="00E600E9" w:rsidRPr="0009792A" w:rsidRDefault="00E600E9" w:rsidP="00E600E9">
      <w:pPr>
        <w:pStyle w:val="NormalWeb"/>
        <w:shd w:val="clear" w:color="auto" w:fill="FFFFFF"/>
        <w:rPr>
          <w:rFonts w:ascii="Abadi" w:hAnsi="Abadi"/>
          <w:sz w:val="22"/>
          <w:szCs w:val="22"/>
        </w:rPr>
      </w:pPr>
    </w:p>
    <w:p w14:paraId="1446ADE0" w14:textId="77777777" w:rsidR="00E600E9" w:rsidRPr="009A617F" w:rsidRDefault="00E600E9" w:rsidP="00E600E9">
      <w:pPr>
        <w:pStyle w:val="Heading3"/>
      </w:pPr>
      <w:r w:rsidRPr="0009792A">
        <w:t>Energy and carbon footprint (corporate facilities) by category</w:t>
      </w:r>
    </w:p>
    <w:p w14:paraId="76892EA2" w14:textId="77777777" w:rsidR="00E600E9" w:rsidRPr="0009792A" w:rsidRDefault="00E600E9" w:rsidP="00E600E9">
      <w:pPr>
        <w:pStyle w:val="NormalWeb"/>
        <w:shd w:val="clear" w:color="auto" w:fill="FFFFFF"/>
        <w:rPr>
          <w:rFonts w:ascii="Abadi" w:hAnsi="Abadi"/>
          <w:sz w:val="22"/>
          <w:szCs w:val="22"/>
        </w:rPr>
      </w:pPr>
    </w:p>
    <w:p w14:paraId="07CEE8E7" w14:textId="77777777" w:rsidR="00E600E9" w:rsidRPr="0009792A" w:rsidRDefault="00E600E9" w:rsidP="00E600E9">
      <w:pPr>
        <w:pStyle w:val="Heading2"/>
      </w:pPr>
      <w:r w:rsidRPr="0009792A">
        <w:t xml:space="preserve">Understanding </w:t>
      </w:r>
      <w:r>
        <w:t xml:space="preserve">Business and </w:t>
      </w:r>
      <w:r w:rsidRPr="0009792A">
        <w:t>Data</w:t>
      </w:r>
      <w:r>
        <w:t>/</w:t>
      </w:r>
      <w:r w:rsidRPr="0009792A">
        <w:t>Datasets for Analysis</w:t>
      </w:r>
    </w:p>
    <w:p w14:paraId="27C996B3" w14:textId="77777777" w:rsidR="00E600E9" w:rsidRPr="0009792A" w:rsidRDefault="00E600E9" w:rsidP="00E600E9">
      <w:pPr>
        <w:pStyle w:val="Heading3"/>
      </w:pPr>
      <w:r w:rsidRPr="0009792A">
        <w:t>Corporate Emissions:</w:t>
      </w:r>
    </w:p>
    <w:p w14:paraId="7BA70E04" w14:textId="77777777" w:rsidR="00E600E9" w:rsidRPr="0009792A" w:rsidRDefault="00E600E9" w:rsidP="00E600E9">
      <w:pPr>
        <w:rPr>
          <w:rFonts w:ascii="Abadi" w:hAnsi="Abadi" w:cs="Arial"/>
          <w:color w:val="202122"/>
          <w:shd w:val="clear" w:color="auto" w:fill="FFFFFF"/>
        </w:rPr>
      </w:pPr>
      <w:r w:rsidRPr="0009792A">
        <w:rPr>
          <w:rFonts w:ascii="Abadi" w:hAnsi="Abadi"/>
          <w:b/>
          <w:bCs/>
        </w:rPr>
        <w:t>Scope 1</w:t>
      </w:r>
      <w:r w:rsidRPr="0009792A">
        <w:rPr>
          <w:rFonts w:ascii="Abadi" w:hAnsi="Abadi"/>
        </w:rPr>
        <w:t xml:space="preserve"> emissions - </w:t>
      </w:r>
      <w:r w:rsidRPr="0009792A">
        <w:rPr>
          <w:rFonts w:ascii="Abadi" w:hAnsi="Abadi" w:cs="Arial"/>
          <w:color w:val="202122"/>
          <w:shd w:val="clear" w:color="auto" w:fill="FFFFFF"/>
        </w:rPr>
        <w:t>all direct GHG emissions</w:t>
      </w:r>
    </w:p>
    <w:p w14:paraId="52D1AA1C" w14:textId="77777777" w:rsidR="00E600E9" w:rsidRPr="0009792A" w:rsidRDefault="00E600E9" w:rsidP="00E600E9">
      <w:pPr>
        <w:pStyle w:val="ListParagraph"/>
        <w:numPr>
          <w:ilvl w:val="0"/>
          <w:numId w:val="1"/>
        </w:numPr>
        <w:rPr>
          <w:rFonts w:ascii="Abadi" w:hAnsi="Abadi"/>
        </w:rPr>
      </w:pPr>
      <w:r w:rsidRPr="0009792A">
        <w:rPr>
          <w:rFonts w:ascii="Abadi" w:hAnsi="Abadi"/>
        </w:rPr>
        <w:t>Natural gas, diesel, propane</w:t>
      </w:r>
    </w:p>
    <w:p w14:paraId="5077DB59" w14:textId="77777777" w:rsidR="00E600E9" w:rsidRPr="0009792A" w:rsidRDefault="00E600E9" w:rsidP="00E600E9">
      <w:pPr>
        <w:pStyle w:val="ListParagraph"/>
        <w:numPr>
          <w:ilvl w:val="0"/>
          <w:numId w:val="1"/>
        </w:numPr>
        <w:rPr>
          <w:rFonts w:ascii="Abadi" w:hAnsi="Abadi"/>
        </w:rPr>
      </w:pPr>
      <w:r w:rsidRPr="0009792A">
        <w:rPr>
          <w:rFonts w:ascii="Abadi" w:hAnsi="Abadi"/>
        </w:rPr>
        <w:lastRenderedPageBreak/>
        <w:t>Fleet vehicles</w:t>
      </w:r>
    </w:p>
    <w:p w14:paraId="2126C3BE" w14:textId="77777777" w:rsidR="00E600E9" w:rsidRPr="0009792A" w:rsidRDefault="00E600E9" w:rsidP="00E600E9">
      <w:pPr>
        <w:pStyle w:val="ListParagraph"/>
        <w:numPr>
          <w:ilvl w:val="0"/>
          <w:numId w:val="1"/>
        </w:numPr>
        <w:rPr>
          <w:rFonts w:ascii="Abadi" w:hAnsi="Abadi"/>
        </w:rPr>
      </w:pPr>
      <w:r w:rsidRPr="0009792A">
        <w:rPr>
          <w:rFonts w:ascii="Abadi" w:hAnsi="Abadi"/>
        </w:rPr>
        <w:t>Other emissions - Emissions from R&amp;D processes and refrigerant leaks</w:t>
      </w:r>
    </w:p>
    <w:p w14:paraId="673024C4" w14:textId="77777777" w:rsidR="00E600E9" w:rsidRPr="0009792A" w:rsidRDefault="00E600E9" w:rsidP="00E600E9">
      <w:pPr>
        <w:rPr>
          <w:rFonts w:ascii="Abadi" w:hAnsi="Abadi" w:cs="Arial"/>
          <w:color w:val="202122"/>
          <w:shd w:val="clear" w:color="auto" w:fill="FFFFFF"/>
        </w:rPr>
      </w:pPr>
      <w:r w:rsidRPr="0009792A">
        <w:rPr>
          <w:rFonts w:ascii="Abadi" w:hAnsi="Abadi"/>
          <w:b/>
          <w:bCs/>
        </w:rPr>
        <w:t>Scope 2</w:t>
      </w:r>
      <w:r w:rsidRPr="0009792A">
        <w:rPr>
          <w:rFonts w:ascii="Abadi" w:hAnsi="Abadi"/>
        </w:rPr>
        <w:t xml:space="preserve"> emissions** – </w:t>
      </w:r>
      <w:r w:rsidRPr="0009792A">
        <w:rPr>
          <w:rFonts w:ascii="Abadi" w:hAnsi="Abadi" w:cs="Arial"/>
          <w:color w:val="202122"/>
          <w:shd w:val="clear" w:color="auto" w:fill="FFFFFF"/>
        </w:rPr>
        <w:t>indirect GHG emissions</w:t>
      </w:r>
    </w:p>
    <w:p w14:paraId="3CFF5DC0" w14:textId="77777777" w:rsidR="00E600E9" w:rsidRPr="0009792A" w:rsidRDefault="00E600E9" w:rsidP="00E600E9">
      <w:pPr>
        <w:rPr>
          <w:rFonts w:ascii="Abadi" w:hAnsi="Abadi"/>
        </w:rPr>
      </w:pPr>
      <w:r w:rsidRPr="0009792A">
        <w:rPr>
          <w:rFonts w:ascii="Abadi" w:hAnsi="Abadi" w:cs="Arial"/>
          <w:color w:val="202122"/>
          <w:shd w:val="clear" w:color="auto" w:fill="FFFFFF"/>
        </w:rPr>
        <w:t>Market based.</w:t>
      </w:r>
    </w:p>
    <w:p w14:paraId="2BBC73D4" w14:textId="77777777" w:rsidR="00E600E9" w:rsidRPr="0009792A" w:rsidRDefault="00E600E9" w:rsidP="00E600E9">
      <w:pPr>
        <w:pStyle w:val="ListParagraph"/>
        <w:numPr>
          <w:ilvl w:val="0"/>
          <w:numId w:val="1"/>
        </w:numPr>
        <w:rPr>
          <w:rFonts w:ascii="Abadi" w:hAnsi="Abadi"/>
        </w:rPr>
      </w:pPr>
      <w:r w:rsidRPr="0009792A">
        <w:rPr>
          <w:rFonts w:ascii="Abadi" w:hAnsi="Abadi"/>
        </w:rPr>
        <w:t>Electricity</w:t>
      </w:r>
    </w:p>
    <w:p w14:paraId="77B46720" w14:textId="77777777" w:rsidR="00E600E9" w:rsidRPr="0009792A" w:rsidRDefault="00E600E9" w:rsidP="00E600E9">
      <w:pPr>
        <w:pStyle w:val="ListParagraph"/>
        <w:numPr>
          <w:ilvl w:val="0"/>
          <w:numId w:val="1"/>
        </w:numPr>
        <w:rPr>
          <w:rFonts w:ascii="Abadi" w:hAnsi="Abadi"/>
        </w:rPr>
      </w:pPr>
      <w:r w:rsidRPr="0009792A">
        <w:rPr>
          <w:rFonts w:ascii="Abadi" w:hAnsi="Abadi"/>
        </w:rPr>
        <w:t>Steam, heating, cooling – [emissions from the purchase of district heating*, chilled water, and steam]</w:t>
      </w:r>
    </w:p>
    <w:p w14:paraId="5EE53208" w14:textId="77777777" w:rsidR="00E600E9" w:rsidRPr="0009792A" w:rsidRDefault="00E600E9" w:rsidP="00E600E9">
      <w:pPr>
        <w:pStyle w:val="ListParagraph"/>
        <w:ind w:left="360"/>
        <w:rPr>
          <w:rFonts w:ascii="Abadi" w:hAnsi="Abadi"/>
        </w:rPr>
      </w:pPr>
    </w:p>
    <w:p w14:paraId="19BD3D0B" w14:textId="77777777" w:rsidR="00E600E9" w:rsidRPr="0009792A" w:rsidRDefault="00E600E9" w:rsidP="00E600E9">
      <w:pPr>
        <w:pStyle w:val="ListParagraph"/>
        <w:ind w:left="0"/>
        <w:rPr>
          <w:rFonts w:ascii="Abadi" w:hAnsi="Abadi"/>
        </w:rPr>
      </w:pPr>
      <w:r w:rsidRPr="0009792A">
        <w:rPr>
          <w:rFonts w:ascii="Abadi" w:hAnsi="Abadi"/>
        </w:rPr>
        <w:t>* District energy is an innovative energy solution that involves the production of thermal energy at a central facility and distribution to buildings via an underground piping network.</w:t>
      </w:r>
    </w:p>
    <w:p w14:paraId="0BDB8433" w14:textId="77777777" w:rsidR="00E600E9" w:rsidRPr="0009792A" w:rsidRDefault="00E600E9" w:rsidP="00E600E9">
      <w:pPr>
        <w:rPr>
          <w:rFonts w:ascii="Abadi" w:hAnsi="Abadi"/>
        </w:rPr>
      </w:pPr>
      <w:r w:rsidRPr="0009792A">
        <w:rPr>
          <w:rFonts w:ascii="Abadi" w:hAnsi="Abadi"/>
        </w:rPr>
        <w:t>** estimate the life cycle emissions associated with our use of renewable electricity for our corporate facilities to be about 60,000 metric tons CO2e. We do not currently account for these emissions in our carbon footprint, due to the poor quality of this data.</w:t>
      </w:r>
    </w:p>
    <w:p w14:paraId="7F6B4AA7" w14:textId="77777777" w:rsidR="00E600E9" w:rsidRPr="0009792A" w:rsidRDefault="00E600E9" w:rsidP="00E600E9">
      <w:pPr>
        <w:rPr>
          <w:rFonts w:ascii="Abadi" w:hAnsi="Abadi"/>
        </w:rPr>
      </w:pPr>
      <w:r w:rsidRPr="0009792A">
        <w:rPr>
          <w:rFonts w:ascii="Abadi" w:hAnsi="Abadi"/>
          <w:b/>
          <w:bCs/>
        </w:rPr>
        <w:t xml:space="preserve">Scope 3 - </w:t>
      </w:r>
      <w:r w:rsidRPr="0009792A">
        <w:rPr>
          <w:rFonts w:ascii="Abadi" w:hAnsi="Abadi"/>
        </w:rPr>
        <w:t>emissions from product life cycle, suppliers, and product users – value and supply chain</w:t>
      </w:r>
    </w:p>
    <w:p w14:paraId="521BD65D" w14:textId="77777777" w:rsidR="00E600E9" w:rsidRPr="0009792A" w:rsidRDefault="00E600E9" w:rsidP="00E600E9">
      <w:pPr>
        <w:rPr>
          <w:rFonts w:ascii="Abadi" w:hAnsi="Abadi"/>
          <w:b/>
          <w:bCs/>
        </w:rPr>
      </w:pPr>
      <w:r w:rsidRPr="0009792A">
        <w:rPr>
          <w:rFonts w:ascii="Abadi" w:hAnsi="Abadi"/>
        </w:rPr>
        <w:t>Corporate</w:t>
      </w:r>
    </w:p>
    <w:p w14:paraId="10FB84A1" w14:textId="77777777" w:rsidR="00E600E9" w:rsidRPr="0009792A" w:rsidRDefault="00E600E9" w:rsidP="00E600E9">
      <w:pPr>
        <w:pStyle w:val="ListParagraph"/>
        <w:numPr>
          <w:ilvl w:val="0"/>
          <w:numId w:val="1"/>
        </w:numPr>
        <w:rPr>
          <w:rFonts w:ascii="Abadi" w:hAnsi="Abadi"/>
        </w:rPr>
      </w:pPr>
      <w:r w:rsidRPr="0009792A">
        <w:rPr>
          <w:rFonts w:ascii="Abadi" w:hAnsi="Abadi"/>
        </w:rPr>
        <w:t>Business travel</w:t>
      </w:r>
    </w:p>
    <w:p w14:paraId="1C1BDBF9" w14:textId="77777777" w:rsidR="00E600E9" w:rsidRPr="0009792A" w:rsidRDefault="00E600E9" w:rsidP="00E600E9">
      <w:pPr>
        <w:pStyle w:val="ListParagraph"/>
        <w:numPr>
          <w:ilvl w:val="0"/>
          <w:numId w:val="1"/>
        </w:numPr>
        <w:rPr>
          <w:rFonts w:ascii="Abadi" w:hAnsi="Abadi"/>
        </w:rPr>
      </w:pPr>
      <w:r w:rsidRPr="0009792A">
        <w:rPr>
          <w:rFonts w:ascii="Abadi" w:hAnsi="Abadi"/>
        </w:rPr>
        <w:t>Employee Commute</w:t>
      </w:r>
    </w:p>
    <w:p w14:paraId="73D29DDF" w14:textId="77777777" w:rsidR="00E600E9" w:rsidRPr="0009792A" w:rsidRDefault="00E600E9" w:rsidP="00E600E9">
      <w:pPr>
        <w:pStyle w:val="ListParagraph"/>
        <w:numPr>
          <w:ilvl w:val="0"/>
          <w:numId w:val="1"/>
        </w:numPr>
        <w:rPr>
          <w:rFonts w:ascii="Abadi" w:hAnsi="Abadi"/>
        </w:rPr>
      </w:pPr>
      <w:r w:rsidRPr="0009792A">
        <w:rPr>
          <w:rFonts w:ascii="Abadi" w:hAnsi="Abadi"/>
        </w:rPr>
        <w:t>Upstream fuel</w:t>
      </w:r>
    </w:p>
    <w:p w14:paraId="71FF599D" w14:textId="77777777" w:rsidR="00E600E9" w:rsidRPr="0009792A" w:rsidRDefault="00E600E9" w:rsidP="00E600E9">
      <w:pPr>
        <w:pStyle w:val="ListParagraph"/>
        <w:numPr>
          <w:ilvl w:val="0"/>
          <w:numId w:val="1"/>
        </w:numPr>
        <w:rPr>
          <w:rFonts w:ascii="Abadi" w:hAnsi="Abadi"/>
        </w:rPr>
      </w:pPr>
      <w:r w:rsidRPr="0009792A">
        <w:rPr>
          <w:rFonts w:ascii="Abadi" w:hAnsi="Abadi"/>
        </w:rPr>
        <w:t>Work from home (Market Based)</w:t>
      </w:r>
    </w:p>
    <w:p w14:paraId="6C1DC190" w14:textId="77777777" w:rsidR="00E600E9" w:rsidRPr="0009792A" w:rsidRDefault="00E600E9" w:rsidP="00E600E9">
      <w:pPr>
        <w:pStyle w:val="ListParagraph"/>
        <w:numPr>
          <w:ilvl w:val="0"/>
          <w:numId w:val="1"/>
        </w:numPr>
        <w:rPr>
          <w:rFonts w:ascii="Abadi" w:hAnsi="Abadi"/>
        </w:rPr>
      </w:pPr>
      <w:r w:rsidRPr="0009792A">
        <w:rPr>
          <w:rFonts w:ascii="Abadi" w:hAnsi="Abadi"/>
        </w:rPr>
        <w:t>Transmission and distribution loss (market-based)</w:t>
      </w:r>
    </w:p>
    <w:p w14:paraId="4C978FF2" w14:textId="77777777" w:rsidR="00E600E9" w:rsidRPr="0009792A" w:rsidRDefault="00E600E9" w:rsidP="00E600E9">
      <w:pPr>
        <w:pStyle w:val="ListParagraph"/>
        <w:numPr>
          <w:ilvl w:val="0"/>
          <w:numId w:val="1"/>
        </w:numPr>
        <w:rPr>
          <w:rFonts w:ascii="Abadi" w:hAnsi="Abadi"/>
        </w:rPr>
      </w:pPr>
      <w:r w:rsidRPr="0009792A">
        <w:rPr>
          <w:rFonts w:ascii="Abadi" w:hAnsi="Abadi"/>
        </w:rPr>
        <w:t>Third-party cloud (market-based)</w:t>
      </w:r>
    </w:p>
    <w:p w14:paraId="6D7A20A3" w14:textId="77777777" w:rsidR="00E600E9" w:rsidRPr="0009792A" w:rsidRDefault="00E600E9" w:rsidP="00E600E9">
      <w:pPr>
        <w:rPr>
          <w:rFonts w:ascii="Abadi" w:hAnsi="Abadi"/>
        </w:rPr>
      </w:pPr>
      <w:r w:rsidRPr="0009792A">
        <w:rPr>
          <w:rFonts w:ascii="Abadi" w:hAnsi="Abadi"/>
        </w:rPr>
        <w:t xml:space="preserve">Product </w:t>
      </w:r>
    </w:p>
    <w:p w14:paraId="0142F25F" w14:textId="77777777" w:rsidR="00E600E9" w:rsidRPr="0009792A" w:rsidRDefault="00E600E9" w:rsidP="00E600E9">
      <w:pPr>
        <w:pStyle w:val="ListParagraph"/>
        <w:numPr>
          <w:ilvl w:val="0"/>
          <w:numId w:val="1"/>
        </w:numPr>
        <w:rPr>
          <w:rFonts w:ascii="Abadi" w:hAnsi="Abadi"/>
        </w:rPr>
      </w:pPr>
      <w:r w:rsidRPr="0009792A">
        <w:rPr>
          <w:rFonts w:ascii="Abadi" w:hAnsi="Abadi"/>
        </w:rPr>
        <w:t>Manufacturing (purchased goods and services)</w:t>
      </w:r>
    </w:p>
    <w:p w14:paraId="0058E262" w14:textId="77777777" w:rsidR="00E600E9" w:rsidRPr="0009792A" w:rsidRDefault="00E600E9" w:rsidP="00E600E9">
      <w:pPr>
        <w:pStyle w:val="ListParagraph"/>
        <w:numPr>
          <w:ilvl w:val="0"/>
          <w:numId w:val="1"/>
        </w:numPr>
        <w:rPr>
          <w:rFonts w:ascii="Abadi" w:hAnsi="Abadi"/>
        </w:rPr>
      </w:pPr>
      <w:r w:rsidRPr="0009792A">
        <w:rPr>
          <w:rFonts w:ascii="Abadi" w:hAnsi="Abadi"/>
        </w:rPr>
        <w:t>Product transportation (upstream and downstream)</w:t>
      </w:r>
    </w:p>
    <w:p w14:paraId="6CF18219" w14:textId="77777777" w:rsidR="00E600E9" w:rsidRPr="0009792A" w:rsidRDefault="00E600E9" w:rsidP="00E600E9">
      <w:pPr>
        <w:pStyle w:val="ListParagraph"/>
        <w:numPr>
          <w:ilvl w:val="0"/>
          <w:numId w:val="1"/>
        </w:numPr>
        <w:rPr>
          <w:rFonts w:ascii="Abadi" w:hAnsi="Abadi"/>
        </w:rPr>
      </w:pPr>
      <w:r w:rsidRPr="0009792A">
        <w:rPr>
          <w:rFonts w:ascii="Abadi" w:hAnsi="Abadi"/>
        </w:rPr>
        <w:t>Product use (use of sold products)</w:t>
      </w:r>
    </w:p>
    <w:p w14:paraId="0818DCC7" w14:textId="77777777" w:rsidR="00E600E9" w:rsidRPr="0009792A" w:rsidRDefault="00E600E9" w:rsidP="00E600E9">
      <w:pPr>
        <w:pStyle w:val="ListParagraph"/>
        <w:numPr>
          <w:ilvl w:val="0"/>
          <w:numId w:val="1"/>
        </w:numPr>
        <w:rPr>
          <w:rFonts w:ascii="Abadi" w:hAnsi="Abadi"/>
        </w:rPr>
      </w:pPr>
      <w:r w:rsidRPr="0009792A">
        <w:rPr>
          <w:rFonts w:ascii="Abadi" w:hAnsi="Abadi"/>
        </w:rPr>
        <w:t>End-of-life processing</w:t>
      </w:r>
    </w:p>
    <w:p w14:paraId="3CDA6448" w14:textId="77777777" w:rsidR="00E600E9" w:rsidRPr="0009792A" w:rsidRDefault="00E600E9" w:rsidP="00E600E9">
      <w:pPr>
        <w:rPr>
          <w:rFonts w:ascii="Abadi" w:hAnsi="Abadi"/>
        </w:rPr>
      </w:pPr>
      <w:r w:rsidRPr="0009792A">
        <w:rPr>
          <w:rFonts w:ascii="Abadi" w:hAnsi="Abadi"/>
        </w:rPr>
        <w:tab/>
      </w:r>
    </w:p>
    <w:p w14:paraId="2145FB85" w14:textId="77777777" w:rsidR="00E600E9" w:rsidRPr="0009792A" w:rsidRDefault="00E600E9" w:rsidP="00E600E9">
      <w:pPr>
        <w:rPr>
          <w:rFonts w:ascii="Abadi" w:hAnsi="Abadi"/>
        </w:rPr>
      </w:pPr>
      <w:r w:rsidRPr="0009792A">
        <w:rPr>
          <w:rFonts w:ascii="Abadi" w:hAnsi="Abadi"/>
        </w:rPr>
        <w:t xml:space="preserve">Building emissions refers to emissions from natural gas and electricity at corporate offices, data </w:t>
      </w:r>
      <w:proofErr w:type="spellStart"/>
      <w:r w:rsidRPr="0009792A">
        <w:rPr>
          <w:rFonts w:ascii="Abadi" w:hAnsi="Abadi"/>
        </w:rPr>
        <w:t>centers</w:t>
      </w:r>
      <w:proofErr w:type="spellEnd"/>
      <w:r w:rsidRPr="0009792A">
        <w:rPr>
          <w:rFonts w:ascii="Abadi" w:hAnsi="Abadi"/>
        </w:rPr>
        <w:t xml:space="preserve">, and retail </w:t>
      </w:r>
      <w:proofErr w:type="gramStart"/>
      <w:r w:rsidRPr="0009792A">
        <w:rPr>
          <w:rFonts w:ascii="Abadi" w:hAnsi="Abadi"/>
        </w:rPr>
        <w:t>stores</w:t>
      </w:r>
      <w:proofErr w:type="gramEnd"/>
    </w:p>
    <w:p w14:paraId="14CEDD3C" w14:textId="77777777" w:rsidR="00E600E9" w:rsidRPr="0009792A" w:rsidRDefault="00E600E9" w:rsidP="00E600E9">
      <w:pPr>
        <w:pStyle w:val="Heading3"/>
      </w:pPr>
      <w:r w:rsidRPr="0009792A">
        <w:t>Avoided Emissions:</w:t>
      </w:r>
    </w:p>
    <w:p w14:paraId="5F09F7F3" w14:textId="77777777" w:rsidR="00E600E9" w:rsidRPr="0009792A" w:rsidRDefault="00E600E9" w:rsidP="00E600E9">
      <w:pPr>
        <w:rPr>
          <w:rFonts w:ascii="Abadi" w:hAnsi="Abadi"/>
        </w:rPr>
      </w:pPr>
      <w:r w:rsidRPr="0009792A">
        <w:rPr>
          <w:rFonts w:ascii="Abadi" w:hAnsi="Abadi"/>
        </w:rPr>
        <w:t xml:space="preserve">Scope 2 emissions avoided - Corporate facilities – Renewable </w:t>
      </w:r>
      <w:proofErr w:type="gramStart"/>
      <w:r w:rsidRPr="0009792A">
        <w:rPr>
          <w:rFonts w:ascii="Abadi" w:hAnsi="Abadi"/>
        </w:rPr>
        <w:t>electricity</w:t>
      </w:r>
      <w:proofErr w:type="gramEnd"/>
    </w:p>
    <w:p w14:paraId="1C7A051D" w14:textId="77777777" w:rsidR="00E600E9" w:rsidRPr="0009792A" w:rsidRDefault="00E600E9" w:rsidP="00E600E9">
      <w:pPr>
        <w:pStyle w:val="Heading3"/>
      </w:pPr>
      <w:r w:rsidRPr="0009792A">
        <w:t>Carbon Offsets</w:t>
      </w:r>
      <w:r>
        <w:t>:</w:t>
      </w:r>
    </w:p>
    <w:p w14:paraId="1022E93A" w14:textId="77777777" w:rsidR="00E600E9" w:rsidRPr="0009792A" w:rsidRDefault="00E600E9" w:rsidP="00E600E9">
      <w:pPr>
        <w:spacing w:after="0"/>
        <w:rPr>
          <w:rFonts w:ascii="Abadi" w:hAnsi="Abadi"/>
        </w:rPr>
      </w:pPr>
      <w:r w:rsidRPr="0009792A">
        <w:rPr>
          <w:rFonts w:ascii="Abadi" w:hAnsi="Abadi"/>
        </w:rPr>
        <w:t xml:space="preserve">Corporate carbon offsets </w:t>
      </w:r>
    </w:p>
    <w:p w14:paraId="265A18AF" w14:textId="77777777" w:rsidR="00E600E9" w:rsidRPr="0009792A" w:rsidRDefault="00E600E9" w:rsidP="00E600E9">
      <w:pPr>
        <w:spacing w:after="0"/>
        <w:rPr>
          <w:rFonts w:ascii="Abadi" w:hAnsi="Abadi"/>
        </w:rPr>
      </w:pPr>
      <w:r w:rsidRPr="0009792A">
        <w:rPr>
          <w:rFonts w:ascii="Abadi" w:hAnsi="Abadi"/>
        </w:rPr>
        <w:t>Product carbon offsets</w:t>
      </w:r>
    </w:p>
    <w:p w14:paraId="6971B768" w14:textId="77777777" w:rsidR="00E600E9" w:rsidRPr="0009792A" w:rsidRDefault="00E600E9" w:rsidP="00E600E9">
      <w:pPr>
        <w:rPr>
          <w:rFonts w:ascii="Abadi" w:hAnsi="Abadi"/>
        </w:rPr>
      </w:pPr>
    </w:p>
    <w:p w14:paraId="4A95F5B6" w14:textId="77777777" w:rsidR="00E600E9" w:rsidRPr="0009792A" w:rsidRDefault="00E600E9" w:rsidP="00E600E9">
      <w:pPr>
        <w:pStyle w:val="Heading3"/>
      </w:pPr>
      <w:r w:rsidRPr="0009792A">
        <w:t>Product- wise carbon emissions</w:t>
      </w:r>
    </w:p>
    <w:p w14:paraId="7600144A" w14:textId="77777777" w:rsidR="00E600E9" w:rsidRPr="0009792A" w:rsidRDefault="00E600E9" w:rsidP="00E600E9">
      <w:pPr>
        <w:rPr>
          <w:rFonts w:ascii="Abadi" w:hAnsi="Abadi"/>
        </w:rPr>
      </w:pPr>
      <w:r w:rsidRPr="0009792A">
        <w:rPr>
          <w:rFonts w:ascii="Abadi" w:hAnsi="Abadi"/>
        </w:rPr>
        <w:t>Estimated emissions are calculated in accordance with guidelines and requirements as specified by ISO 14040 and ISO 14044. Calculation includes emissions for the following life-cycle phases contributing to Global Warming Potential (GWP 100 years) in CO2 equivalency factors (CO2e):</w:t>
      </w:r>
    </w:p>
    <w:p w14:paraId="7C175E87" w14:textId="77777777" w:rsidR="00E600E9" w:rsidRPr="0009792A" w:rsidRDefault="00E600E9" w:rsidP="00E600E9">
      <w:pPr>
        <w:rPr>
          <w:rFonts w:ascii="Abadi" w:hAnsi="Abadi"/>
        </w:rPr>
      </w:pPr>
      <w:r w:rsidRPr="0009792A">
        <w:rPr>
          <w:rFonts w:ascii="Abadi" w:hAnsi="Abadi"/>
        </w:rPr>
        <w:lastRenderedPageBreak/>
        <w:t>Production</w:t>
      </w:r>
    </w:p>
    <w:p w14:paraId="279266CB" w14:textId="77777777" w:rsidR="00E600E9" w:rsidRPr="0009792A" w:rsidRDefault="00E600E9" w:rsidP="00E600E9">
      <w:pPr>
        <w:rPr>
          <w:rFonts w:ascii="Abadi" w:hAnsi="Abadi"/>
        </w:rPr>
      </w:pPr>
      <w:r w:rsidRPr="0009792A">
        <w:rPr>
          <w:rFonts w:ascii="Abadi" w:hAnsi="Abadi"/>
        </w:rPr>
        <w:t>Transport</w:t>
      </w:r>
    </w:p>
    <w:p w14:paraId="367E3610" w14:textId="77777777" w:rsidR="00E600E9" w:rsidRPr="0009792A" w:rsidRDefault="00E600E9" w:rsidP="00E600E9">
      <w:pPr>
        <w:rPr>
          <w:rFonts w:ascii="Abadi" w:hAnsi="Abadi"/>
        </w:rPr>
      </w:pPr>
      <w:r w:rsidRPr="0009792A">
        <w:rPr>
          <w:rFonts w:ascii="Abadi" w:hAnsi="Abadi"/>
        </w:rPr>
        <w:t>Product use</w:t>
      </w:r>
    </w:p>
    <w:p w14:paraId="22ECE61F" w14:textId="77777777" w:rsidR="00E600E9" w:rsidRPr="0009792A" w:rsidRDefault="00E600E9" w:rsidP="00E600E9">
      <w:pPr>
        <w:rPr>
          <w:rFonts w:ascii="Abadi" w:hAnsi="Abadi"/>
        </w:rPr>
      </w:pPr>
      <w:r w:rsidRPr="0009792A">
        <w:rPr>
          <w:rFonts w:ascii="Abadi" w:hAnsi="Abadi"/>
        </w:rPr>
        <w:t>End-of-life processing</w:t>
      </w:r>
    </w:p>
    <w:p w14:paraId="7544F2B9" w14:textId="77777777" w:rsidR="00E600E9" w:rsidRPr="0009792A" w:rsidRDefault="00E600E9" w:rsidP="00E600E9">
      <w:pPr>
        <w:pStyle w:val="Heading3"/>
      </w:pPr>
      <w:r w:rsidRPr="0009792A">
        <w:t>Normalizing Factors</w:t>
      </w:r>
    </w:p>
    <w:p w14:paraId="71209DA3" w14:textId="77777777" w:rsidR="00E600E9" w:rsidRPr="0009792A" w:rsidRDefault="00E600E9" w:rsidP="00E600E9">
      <w:pPr>
        <w:rPr>
          <w:rFonts w:ascii="Abadi" w:hAnsi="Abadi"/>
        </w:rPr>
      </w:pPr>
      <w:r w:rsidRPr="0009792A">
        <w:rPr>
          <w:rFonts w:ascii="Abadi" w:hAnsi="Abadi"/>
        </w:rPr>
        <w:t xml:space="preserve">Normalizing factors in emissions refer to the factors or variables used to adjust or standardize emissions data to make meaningful comparisons between different entities, periods, or situations. Emissions data can vary significantly based on various factors like location, scale, and economic activities. Normalizing factors help in comparing emissions fairly, </w:t>
      </w:r>
      <w:proofErr w:type="gramStart"/>
      <w:r w:rsidRPr="0009792A">
        <w:rPr>
          <w:rFonts w:ascii="Abadi" w:hAnsi="Abadi"/>
        </w:rPr>
        <w:t>taking into account</w:t>
      </w:r>
      <w:proofErr w:type="gramEnd"/>
      <w:r w:rsidRPr="0009792A">
        <w:rPr>
          <w:rFonts w:ascii="Abadi" w:hAnsi="Abadi"/>
        </w:rPr>
        <w:t xml:space="preserve"> these variations.</w:t>
      </w:r>
    </w:p>
    <w:p w14:paraId="0B4C6EEE" w14:textId="77777777" w:rsidR="00E600E9" w:rsidRPr="0009792A" w:rsidRDefault="00E600E9" w:rsidP="00E600E9">
      <w:pPr>
        <w:rPr>
          <w:rFonts w:ascii="Abadi" w:hAnsi="Abadi"/>
        </w:rPr>
      </w:pPr>
      <w:r w:rsidRPr="0009792A">
        <w:rPr>
          <w:rFonts w:ascii="Abadi" w:hAnsi="Abadi"/>
        </w:rPr>
        <w:t>Net sales can be used as a normalizing factor in certain contexts, particularly when you want to assess the efficiency or performance of a business or industry in relation to its sales revenue. Normalizing by net sales helps provide insights into the relationship between emissions and economic activity.</w:t>
      </w:r>
    </w:p>
    <w:p w14:paraId="0E48458E" w14:textId="77777777" w:rsidR="00E600E9" w:rsidRPr="0009792A" w:rsidRDefault="00E600E9" w:rsidP="00E600E9">
      <w:pPr>
        <w:rPr>
          <w:rFonts w:ascii="Abadi" w:hAnsi="Abadi"/>
        </w:rPr>
      </w:pPr>
      <w:r w:rsidRPr="0009792A">
        <w:rPr>
          <w:rFonts w:ascii="Abadi" w:hAnsi="Abadi"/>
          <w:noProof/>
        </w:rPr>
        <w:drawing>
          <wp:inline distT="0" distB="0" distL="0" distR="0" wp14:anchorId="14BE385C" wp14:editId="6084DEC9">
            <wp:extent cx="3234906" cy="687418"/>
            <wp:effectExtent l="0" t="0" r="3810" b="0"/>
            <wp:docPr id="1653200273"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00273" name="Picture 1" descr="A grey background with white text&#10;&#10;Description automatically generated"/>
                    <pic:cNvPicPr/>
                  </pic:nvPicPr>
                  <pic:blipFill>
                    <a:blip r:embed="rId5"/>
                    <a:stretch>
                      <a:fillRect/>
                    </a:stretch>
                  </pic:blipFill>
                  <pic:spPr>
                    <a:xfrm>
                      <a:off x="0" y="0"/>
                      <a:ext cx="3248762" cy="690362"/>
                    </a:xfrm>
                    <a:prstGeom prst="rect">
                      <a:avLst/>
                    </a:prstGeom>
                  </pic:spPr>
                </pic:pic>
              </a:graphicData>
            </a:graphic>
          </wp:inline>
        </w:drawing>
      </w:r>
    </w:p>
    <w:p w14:paraId="05A108B2" w14:textId="77777777" w:rsidR="00E600E9" w:rsidRPr="0009792A" w:rsidRDefault="00E600E9" w:rsidP="00E600E9">
      <w:pPr>
        <w:rPr>
          <w:rFonts w:ascii="Abadi" w:hAnsi="Abadi"/>
        </w:rPr>
      </w:pPr>
      <w:r w:rsidRPr="0009792A">
        <w:rPr>
          <w:rFonts w:ascii="Abadi" w:hAnsi="Abadi"/>
        </w:rPr>
        <w:t>Business Performance and Trend Analysis</w:t>
      </w:r>
    </w:p>
    <w:p w14:paraId="0DD7394F" w14:textId="77777777" w:rsidR="00E600E9" w:rsidRPr="0009792A" w:rsidRDefault="00E600E9" w:rsidP="00E600E9">
      <w:pPr>
        <w:rPr>
          <w:rFonts w:ascii="Abadi" w:hAnsi="Abadi"/>
        </w:rPr>
      </w:pPr>
    </w:p>
    <w:p w14:paraId="797E236E" w14:textId="77777777" w:rsidR="004B1225" w:rsidRDefault="004B1225"/>
    <w:sectPr w:rsidR="004B1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726C"/>
    <w:multiLevelType w:val="hybridMultilevel"/>
    <w:tmpl w:val="F58242B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1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1C"/>
    <w:rsid w:val="0021761C"/>
    <w:rsid w:val="004B1225"/>
    <w:rsid w:val="009F19F3"/>
    <w:rsid w:val="00E600E9"/>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6FF099DD-F3AD-460B-8525-498BE403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0E9"/>
  </w:style>
  <w:style w:type="paragraph" w:styleId="Heading1">
    <w:name w:val="heading 1"/>
    <w:basedOn w:val="Normal"/>
    <w:next w:val="Normal"/>
    <w:link w:val="Heading1Char"/>
    <w:uiPriority w:val="9"/>
    <w:qFormat/>
    <w:rsid w:val="00E6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0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00E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600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600E9"/>
    <w:pPr>
      <w:ind w:left="720"/>
      <w:contextualSpacing/>
    </w:pPr>
  </w:style>
  <w:style w:type="character" w:styleId="Strong">
    <w:name w:val="Strong"/>
    <w:basedOn w:val="DefaultParagraphFont"/>
    <w:uiPriority w:val="22"/>
    <w:qFormat/>
    <w:rsid w:val="00E600E9"/>
    <w:rPr>
      <w:b/>
      <w:bCs/>
    </w:rPr>
  </w:style>
  <w:style w:type="table" w:styleId="GridTable2-Accent4">
    <w:name w:val="Grid Table 2 Accent 4"/>
    <w:basedOn w:val="TableNormal"/>
    <w:uiPriority w:val="47"/>
    <w:rsid w:val="00E600E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4">
    <w:name w:val="Grid Table 3 Accent 4"/>
    <w:basedOn w:val="TableNormal"/>
    <w:uiPriority w:val="48"/>
    <w:rsid w:val="00E600E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6Colorful-Accent4">
    <w:name w:val="Grid Table 6 Colorful Accent 4"/>
    <w:basedOn w:val="TableNormal"/>
    <w:uiPriority w:val="51"/>
    <w:rsid w:val="00E600E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Rajasekaran</dc:creator>
  <cp:keywords/>
  <dc:description/>
  <cp:lastModifiedBy>Naresh Rajasekaran</cp:lastModifiedBy>
  <cp:revision>2</cp:revision>
  <dcterms:created xsi:type="dcterms:W3CDTF">2024-01-09T06:04:00Z</dcterms:created>
  <dcterms:modified xsi:type="dcterms:W3CDTF">2024-01-09T06:04:00Z</dcterms:modified>
</cp:coreProperties>
</file>