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30/6/2026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M2 · Redes Multidimensionales del Conocimiento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JORGE ENRIQUE GARCIA MELO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4%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$ 1.660.000.000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M2-P1 · Redes multidimensionales del conocimiento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OLIMPO JOSE GARCIA BELTRAN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11%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$ 1.170.000.000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M2-P1-A1 · Impulsar las redes colaborativas nacionales e internacionales de impacto para posicionar a la Universidad de Ibagué como un actor de excelencia científica y pertinencia territorial, mediante la participación activa en ecosistemas globales de conocimiento, atracción de recursos externos y generación acelerada de producción científica y tecnológica de alto impacto.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$ 715.000.000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M2-P1-A1-I1 · Número de documentos formulados y/o actualizados e institucionalizados para el fortalecimiento del susbsistema de investigación y creación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6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M2-P1-A1-I2 · Número de redes nacionales e internacionales de conocimiento (científicas, artísticas y tecnológicas) en las que participa la Universidad de Ibagué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M2-P1-A1-I2 · Índice institucional de apalancamiento de recursos externos en proyectos de I+D+i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2.5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2.1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2.3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2.4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2.5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M3-P1-A1-I4 · Número de movilidades académicas nacionales e internacionales derivadas de alianzas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M2-P1-A2 · Potenciar la excelencia científica, la visibilidad global y la articulación transdisciplinaria de la Universidad de Ibagué mediante alianzas estratégicas, coautorías internacionales y posicionamiento académico de alto impacto.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$ 347.500.000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M2-P1-A2-I1 · Índice H institucional: medición de impacto de la producción científica a nivel internacional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Aprobado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jose.garcia@unibague.edu.co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16/6/2026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44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jose.garcia@unibague.edu.co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16/6/2026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jorge.melo@unibague.edu.co (17/6/2026)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8" w:before="60"/>
        <w:ind w:left="360"/>
      </w:pPr>
      <w:r>
        <w:rPr>
          <w:b/>
          <w:bCs/>
        </w:rPr>
        <w:t xml:space="preserve">Logros y actividades desarrolladas durante el periodo:</w:t>
      </w:r>
    </w:p>
    <w:p>
      <w:pPr>
        <w:spacing w:after="20" w:before="0"/>
        <w:ind w:left="720"/>
      </w:pPr>
      <w:r>
        <w:t xml:space="preserve">La actividad de indice H global para la Universidad de Ibagué se ha logrado debido a la referenciación individuales que tienen los profesores más productivos de la institución. </w:t>
      </w:r>
    </w:p>
    <w:p>
      <w:pPr>
        <w:spacing w:after="8" w:before="60"/>
        <w:ind w:left="360"/>
      </w:pPr>
      <w:r>
        <w:rPr>
          <w:b/>
          <w:bCs/>
        </w:rPr>
        <w:t xml:space="preserve">Observaciones adicionales:</w:t>
      </w:r>
    </w:p>
    <w:p>
      <w:pPr>
        <w:spacing w:after="20" w:before="0"/>
        <w:ind w:left="720"/>
      </w:pPr>
      <w:r>
        <w:t xml:space="preserve">La actividad se ha cargado con el nombre de Indice H institucional, alcanzar este indicador es independiente a cualquier acción debido a que está relacionada con la capacidad de impactar a la comunidad investigadora internacional y que esto tomen nuestros trabajos como referentes para organizar la referencias de los trabajos que ellos publican.</w:t>
      </w:r>
    </w:p>
    <w:p>
      <w:pPr>
        <w:spacing w:after="30" w:before="60"/>
      </w:pPr>
      <w:r>
        <w:rPr>
          <w:b/>
          <w:bCs/>
        </w:rPr>
        <w:t xml:space="preserve">Documento de evidencia adjunto 1 (Indice H institucional.jpeg): </w:t>
      </w:r>
      <w:hyperlink w:history="1" r:id="rIdaacwnxmidy-akdtidz-bv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M2-P1-A2-I2 · Número de publicaciones de alto impacto (Q1–Q2) en SCOPUS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11.05%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172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19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Enviado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jose.garcia@unibague.edu.co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3/6/2026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28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jose.garcia@unibague.edu.co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3/6/2026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Pendiente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8" w:before="60"/>
        <w:ind w:left="360"/>
      </w:pPr>
      <w:r>
        <w:rPr>
          <w:b/>
          <w:bCs/>
        </w:rPr>
        <w:t xml:space="preserve">Logros y actividades desarrolladas durante el periodo:</w:t>
      </w:r>
    </w:p>
    <w:p>
      <w:pPr>
        <w:spacing w:after="20" w:before="0"/>
        <w:ind w:left="720"/>
      </w:pPr>
      <w:r>
        <w:t xml:space="preserve">Durante el primer semestre de 2026A se alcanzó y superó la meta de 15 artículos Q1 y Q2 gracias a las capacidades investigativas individuales, consolidadas mediante alianzas estratégicas nacionales e internacionales, el acompañamiento de la asignación de APC y para priorizar de líneas con alto potencial de publicación. Además, la implementación anual de incentivos económicos y seguimiento continuo.</w:t>
      </w:r>
    </w:p>
    <w:p>
      <w:pPr>
        <w:spacing w:after="8" w:before="60"/>
        <w:ind w:left="360"/>
      </w:pPr>
      <w:r>
        <w:rPr>
          <w:b/>
          <w:bCs/>
        </w:rPr>
        <w:t xml:space="preserve">Justificación en caso de superar la meta:</w:t>
      </w:r>
    </w:p>
    <w:p>
      <w:pPr>
        <w:spacing w:after="8" w:before="0"/>
        <w:ind w:left="720"/>
      </w:pPr>
      <w:r>
        <w:t xml:space="preserve">• h.     Articulación con actores externos</w:t>
      </w:r>
    </w:p>
    <w:p>
      <w:pPr>
        <w:spacing w:after="8" w:before="60"/>
        <w:ind w:left="360"/>
      </w:pPr>
      <w:r>
        <w:rPr>
          <w:b/>
          <w:bCs/>
        </w:rPr>
        <w:t xml:space="preserve">Observaciones adicionales:</w:t>
      </w:r>
    </w:p>
    <w:p>
      <w:pPr>
        <w:spacing w:after="20" w:before="0"/>
        <w:ind w:left="720"/>
      </w:pPr>
      <w:r>
        <w:t xml:space="preserve">El incentivo a la producción académica es un estimulo económico que impulsa a los profesores a participar en redes de conocimiento y de producción científica.</w:t>
      </w:r>
    </w:p>
    <w:p>
      <w:pPr>
        <w:spacing w:after="30" w:before="60"/>
      </w:pPr>
      <w:r>
        <w:rPr>
          <w:b/>
          <w:bCs/>
        </w:rPr>
        <w:t xml:space="preserve">Documento de evidencia adjunto 1 (ANEXO M2-P1-A2-I2.pdf): </w:t>
      </w:r>
      <w:hyperlink w:history="1" r:id="rIdfsoawiimh6gc7la66oynh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M2-P1-A2-I3 · Número de publicaciones en coautoría interinstitucional publicadas en SCOPUS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220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M2-P1-A2-I4 · Número de proyectos nuevos, formulados y aprobados con enfoque transdisciplinar conforme a los lineamientos institucionales.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7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M2-P1-A2-I5 · Número de nuevos proyectos en alianza con actores internacionales y financiados con recursos internacionales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M2-P1-A3 · Posicionar estratégicamente a la Universidad de Ibagué como un actor visible, reconocido y conectado en redes globales de conocimiento, mediante estrategias de comunicación, diplomacia científica, scouting inteligente y liderazgo institucional selectivo.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$ 107.500.000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M2-P1-A3-I1 · Posición en rankings internacionales reconocidos de educación superior.  - Scimago LAC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427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437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427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M2-P1-A3-I2 · Número de productos científicos (papers, libros, capítulos de libro y proceedings) con coautorías internacionales.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9.3%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172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17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16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Enviado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jose.garcia@unibague.edu.co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3/6/2026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Pendiente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8" w:before="60"/>
        <w:ind w:left="360"/>
      </w:pPr>
      <w:r>
        <w:rPr>
          <w:b/>
          <w:bCs/>
        </w:rPr>
        <w:t xml:space="preserve">Logros y actividades desarrolladas durante el periodo:</w:t>
      </w:r>
    </w:p>
    <w:p>
      <w:pPr>
        <w:spacing w:after="20" w:before="0"/>
        <w:ind w:left="720"/>
      </w:pPr>
      <w:r>
        <w:t xml:space="preserve">El no alcance de la meta propuesta se debe principalmente a retrasos en los tiempos de publicación de revistas indexadas, especialmente en procesos de revisión por pares y aceptación editorial. Asimismo, algunas colaboraciones internacionales no lograron concretarse dentro del periodo establecido, y ciertos manuscritos se encuentran aún en evaluación y la taza de rechazo internacional es alta. Mantener el fortalecimiento sostenido de la cooperación científica internacional.</w:t>
      </w:r>
    </w:p>
    <w:p>
      <w:pPr>
        <w:spacing w:after="8" w:before="60"/>
        <w:ind w:left="360"/>
      </w:pPr>
      <w:r>
        <w:rPr>
          <w:b/>
          <w:bCs/>
        </w:rPr>
        <w:t xml:space="preserve">Justificación en caso de no cumplimiento de la meta:</w:t>
      </w:r>
    </w:p>
    <w:p>
      <w:pPr>
        <w:spacing w:after="8" w:before="0"/>
        <w:ind w:left="720"/>
      </w:pPr>
      <w:r>
        <w:t xml:space="preserve">• f.	Factores externos</w:t>
      </w:r>
    </w:p>
    <w:p>
      <w:pPr>
        <w:spacing w:after="8" w:before="0"/>
        <w:ind w:left="720"/>
      </w:pPr>
      <w:r>
        <w:t xml:space="preserve">• e.	Demoras administrativas</w:t>
      </w:r>
    </w:p>
    <w:p>
      <w:pPr>
        <w:spacing w:after="8" w:before="0"/>
        <w:ind w:left="720"/>
      </w:pPr>
      <w:r>
        <w:t xml:space="preserve">• c.	Ajustes metodológicos</w:t>
      </w:r>
    </w:p>
    <w:p>
      <w:pPr>
        <w:spacing w:after="8" w:before="0"/>
        <w:ind w:left="720"/>
      </w:pPr>
      <w:r>
        <w:t xml:space="preserve">• b.	Dependencia de terceros
Justificación: La meta se va a cumplir, durante los primeros días del mes de junión se indexará un nuevo docuemnto</w:t>
      </w:r>
    </w:p>
    <w:p>
      <w:pPr>
        <w:spacing w:after="8" w:before="60"/>
        <w:ind w:left="360"/>
      </w:pPr>
      <w:r>
        <w:rPr>
          <w:b/>
          <w:bCs/>
        </w:rPr>
        <w:t xml:space="preserve">Acciones correctivas para el cumplimiento de la meta:</w:t>
      </w:r>
    </w:p>
    <w:p>
      <w:pPr>
        <w:spacing w:after="20" w:before="0"/>
        <w:ind w:left="720"/>
      </w:pPr>
      <w:r>
        <w:t xml:space="preserve">El no alcance de la meta se explica por factores asociados a los tiempos de evaluación editorial en revistas y editoriales internacionales, que exceden los periodos de corte institucional. Adicionalmente, algunas coautorías internacionales presentán retrasos en la consolidación de resultados y envío de manuscritos. Varios productos se encuentran en proceso de revisión o aceptación, lo que evidencia un avance significativo, aunque no reflejado completamente en el indicador del periodo.</w:t>
      </w:r>
    </w:p>
    <w:p>
      <w:pPr>
        <w:spacing w:after="8" w:before="60"/>
        <w:ind w:left="360"/>
      </w:pPr>
      <w:r>
        <w:rPr>
          <w:b/>
          <w:bCs/>
        </w:rPr>
        <w:t xml:space="preserve">Observaciones adicionales:</w:t>
      </w:r>
    </w:p>
    <w:p>
      <w:pPr>
        <w:spacing w:after="20" w:before="0"/>
        <w:ind w:left="720"/>
      </w:pPr>
      <w:r>
        <w:t xml:space="preserve">No aplica</w:t>
      </w:r>
    </w:p>
    <w:p>
      <w:pPr>
        <w:spacing w:after="30" w:before="60"/>
      </w:pPr>
      <w:r>
        <w:rPr>
          <w:b/>
          <w:bCs/>
        </w:rPr>
        <w:t xml:space="preserve">Documento de evidencia adjunto 1 (ANEXO M2-P1-A3-I2.pdf): </w:t>
      </w:r>
      <w:hyperlink w:history="1" r:id="rIdxnaziv9pmrbnj8bm6syaj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M2-P2 · Misiones académicas y científicas para la transformación social y la sostenibilidad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HELGA PATRICIA BERMEO ANDRADE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$ 220.000.000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M2-P2-A1 · Activar un modelo de misiones universitarias multiactor, orientadas a resolver desafíos complejos del Tolima con impacto global, movilizando ciencia aplicada, diplomacia territorial, innovación social y soberanía tecnológica.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M2-P2-A1-I1 · # de nuevas misiones académicas y científicas internacionales diseñadas y ejecutadas conforme a las prioridades estratégicas institucionales.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M2-P2-A1-I2 · # de nuevas alianzas internacionales multiactor activas con proyectos, iniciativas o acciones conjuntas en ejecución.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8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M2-P2-A1-I3 · # productos de apropiación social como resultados de las misiones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2029A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M2-P2-A1-I4 · # publicaciones de alto impacto como resultados de las misiones acádemicas ejecutadas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M2-P2-A2 · Implementar un sistema de evaluación de impacto social y académico; medir resultados de cada misión no solo en publicaciones y patentes, sino también en mejoras tangibles en calidad de vida, sostenibilidad ambiental y desarrollo territorial.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M2-P2-A2-I1 · Sistema institucional de evaluación de impacto social y académico de  misiones, alianzas, redes y proyectos diseñado, validado y en operación.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0.5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0.5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M2-P2-A3-I2 · Misiones institucionales evaluadas mediante el sistema institucional de evaluación de impacto / Total de misiones ejecutadas en el periodo.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100%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50%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M2-P3 · Laboratorios vivos de innovación territorial para bioterritorios inteligentes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JAIME EDUARDO REYES MARTINEZ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$ 270.000.000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M2-P3-A1 · Convertir a la Universidad de Ibagué en el gestor de la red de bioterritorios inteligentes como Laboratorios Vivos de Innovación Territorial (Living Labs) con impacto real en la región.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$ 30.000.000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M2-P3-A1-I1 · # Modelo institucional para la conformación y operación de una red de bioterrirorios inteligentes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M2-P2-A2-I2 · # de Redes territoriales conformadas y articuladas como Laboratorios Vivos de Innovación Territorial para el desarrollo de bioterritorios inteligentes.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M2-P3-A2-I3 · # Laboratorios vivos de innovación territorial formalmente implementados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3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M2-P3-A2 · Consolidar la red de bioterritorios inteligentes con identidad estratégica, enfoque territorial y diseñados bajo estándares nacionales e internacionales (Horizon Europe, European Network of Living Labs (ENoLL), Organisation for Economic Co-operation and Development (OECD) y Minciencias).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$ 240.000.000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M2-P3-A2-I1 · # de proyectos piloto implementados en el marco de los Laboratorios Vivos de innovación territorial en áreas estratégicas (agricultura sostenible, transición energética, movilidad y paz territorial) al 2029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9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M2-P3-A2-I2 · # de participantes que culminan procesos formativos en los espacios de co-creación desarrollados dentro de los Living Labs por semestre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100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Periodo no activo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 w:rsidR="00C95C3C">
      <w:headerReference w:type="even" r:id="rId14"/>
      <w:headerReference w:type="default" r:id="rId13"/>
      <w:footerReference w:type="even" r:id="rId12"/>
      <w:footerReference w:type="default" r:id="rId17"/>
      <w:headerReference w:type="first" r:id="rId16"/>
      <w:footerReference w:type="first" r:id="rId15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cwnxmidy-akdtidz-bv" Type="http://schemas.openxmlformats.org/officeDocument/2006/relationships/hyperlink" Target="https://drive.google.com/file/d/1yhsThMTS0qODgxHNyG7FVyJgk9r0gxIg/view?usp=drivesdk" TargetMode="External"/><Relationship Id="rIdfsoawiimh6gc7la66oynh" Type="http://schemas.openxmlformats.org/officeDocument/2006/relationships/hyperlink" Target="https://drive.google.com/file/d/1lRl8SIzqcLxGv8Dkdzn7-R65OOe715Hq/view?usp=drivesdk" TargetMode="External"/><Relationship Id="rIdxnaziv9pmrbnj8bm6syaj" Type="http://schemas.openxmlformats.org/officeDocument/2006/relationships/hyperlink" Target="https://drive.google.com/file/d/1W0LJ_3j3dYpIyzFgRT8jva8u1c1PblSv/view?usp=drivesdk" TargetMode="External"/><Relationship Id="rId7" Type="http://schemas.openxmlformats.org/officeDocument/2006/relationships/image" Target="media/1ceb40d542c283afef0f5063cf89c3c037c1b6d8.jpg"/><Relationship Id="rId11" Type="http://schemas.openxmlformats.org/officeDocument/2006/relationships/fontTable" Target="fontTable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1.xml"/><Relationship Id="rId15" Type="http://schemas.openxmlformats.org/officeDocument/2006/relationships/footer" Target="footer3.xml"/><Relationship Id="rId16" Type="http://schemas.openxmlformats.org/officeDocument/2006/relationships/header" Target="header3.xml"/><Relationship Id="rId17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2026-06-30T19:49:25.050Z</dcterms:created>
  <dcterms:modified xsi:type="dcterms:W3CDTF">2026-06-30T19:49:25.050Z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