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6350" distL="0" distR="0" simplePos="0" locked="0" layoutInCell="1" allowOverlap="1" relativeHeight="3" wp14:anchorId="3A12DDD0">
                <wp:simplePos x="0" y="0"/>
                <wp:positionH relativeFrom="column">
                  <wp:posOffset>-666115</wp:posOffset>
                </wp:positionH>
                <wp:positionV relativeFrom="paragraph">
                  <wp:posOffset>-1431290</wp:posOffset>
                </wp:positionV>
                <wp:extent cx="5737225" cy="546100"/>
                <wp:effectExtent l="0" t="0" r="0" b="6350"/>
                <wp:wrapNone/>
                <wp:docPr id="1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54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 Narrow" w:hAnsi="Arial Narrow" w:eastAsia="Bahnschrift SemiBold Condensed" w:cs="Bahnschrift SemiBold Condensed"/>
                                <w:color w:val="1F3864"/>
                                <w:sz w:val="46"/>
                                <w:szCs w:val="46"/>
                              </w:rPr>
                            </w:pPr>
                            <w:bookmarkStart w:id="0" w:name="_Hlk165303719"/>
                            <w:r>
                              <w:rPr>
                                <w:rFonts w:eastAsia="Bahnschrift SemiBold Condensed" w:cs="Bahnschrift SemiBold Condensed" w:ascii="Arial Narrow" w:hAnsi="Arial Narrow"/>
                                <w:color w:val="1F3864"/>
                                <w:sz w:val="46"/>
                                <w:szCs w:val="46"/>
                              </w:rPr>
                              <w:t>Sistema de aseguramiento de la calidad</w:t>
                            </w:r>
                            <w:bookmarkEnd w:id="0"/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stroked="f" o:allowincell="f" style="position:absolute;margin-left:-52.45pt;margin-top:-112.7pt;width:451.7pt;height:42.95pt;mso-wrap-style:square;v-text-anchor:top" wp14:anchorId="3A12DDD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 Narrow" w:hAnsi="Arial Narrow" w:eastAsia="Bahnschrift SemiBold Condensed" w:cs="Bahnschrift SemiBold Condensed"/>
                          <w:color w:val="1F3864"/>
                          <w:sz w:val="46"/>
                          <w:szCs w:val="46"/>
                        </w:rPr>
                      </w:pPr>
                      <w:bookmarkStart w:id="1" w:name="_Hlk165303719"/>
                      <w:r>
                        <w:rPr>
                          <w:rFonts w:eastAsia="Bahnschrift SemiBold Condensed" w:cs="Bahnschrift SemiBold Condensed" w:ascii="Arial Narrow" w:hAnsi="Arial Narrow"/>
                          <w:color w:val="1F3864"/>
                          <w:sz w:val="46"/>
                          <w:szCs w:val="46"/>
                        </w:rPr>
                        <w:t>Sistema de aseguramiento de la calidad</w:t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1" allowOverlap="1" relativeHeight="5" wp14:anchorId="6D60251C">
                <wp:simplePos x="0" y="0"/>
                <wp:positionH relativeFrom="column">
                  <wp:posOffset>-682625</wp:posOffset>
                </wp:positionH>
                <wp:positionV relativeFrom="paragraph">
                  <wp:posOffset>-2310130</wp:posOffset>
                </wp:positionV>
                <wp:extent cx="4441190" cy="1424940"/>
                <wp:effectExtent l="0" t="0" r="0" b="3810"/>
                <wp:wrapNone/>
                <wp:docPr id="2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320" cy="142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192"/>
                              <w:rPr>
                                <w:rFonts w:ascii="Tw Cen MT Condensed Extra Bold" w:hAnsi="Tw Cen MT Condensed Extra Bold" w:eastAsia="Bahnschrift SemiBold Condensed" w:cs="Bahnschrift SemiBold Condensed"/>
                                <w:color w:val="1F3864"/>
                                <w:sz w:val="96"/>
                                <w:szCs w:val="90"/>
                                <w:lang w:val="es-MX"/>
                              </w:rPr>
                            </w:pPr>
                            <w:r>
                              <w:rPr>
                                <w:rFonts w:eastAsia="Bahnschrift SemiBold Condensed" w:cs="Bahnschrift SemiBold Condensed" w:ascii="Tw Cen MT Condensed Extra Bold" w:hAnsi="Tw Cen MT Condensed Extra Bold"/>
                                <w:color w:val="1F3864"/>
                                <w:sz w:val="96"/>
                                <w:szCs w:val="90"/>
                                <w:lang w:val="es-MX"/>
                              </w:rPr>
                              <w:t>Impacto Social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stroked="f" o:allowincell="f" style="position:absolute;margin-left:-53.75pt;margin-top:-181.9pt;width:349.65pt;height:112.15pt;mso-wrap-style:square;v-text-anchor:top" wp14:anchorId="6D60251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192"/>
                        <w:rPr>
                          <w:rFonts w:ascii="Tw Cen MT Condensed Extra Bold" w:hAnsi="Tw Cen MT Condensed Extra Bold" w:eastAsia="Bahnschrift SemiBold Condensed" w:cs="Bahnschrift SemiBold Condensed"/>
                          <w:color w:val="1F3864"/>
                          <w:sz w:val="96"/>
                          <w:szCs w:val="90"/>
                          <w:lang w:val="es-MX"/>
                        </w:rPr>
                      </w:pPr>
                      <w:r>
                        <w:rPr>
                          <w:rFonts w:eastAsia="Bahnschrift SemiBold Condensed" w:cs="Bahnschrift SemiBold Condensed" w:ascii="Tw Cen MT Condensed Extra Bold" w:hAnsi="Tw Cen MT Condensed Extra Bold"/>
                          <w:color w:val="1F3864"/>
                          <w:sz w:val="96"/>
                          <w:szCs w:val="90"/>
                          <w:lang w:val="es-MX"/>
                        </w:rPr>
                        <w:t>Impacto Social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175" distL="0" distR="0" simplePos="0" locked="0" layoutInCell="1" allowOverlap="1" relativeHeight="7" wp14:anchorId="74E7D355">
                <wp:simplePos x="0" y="0"/>
                <wp:positionH relativeFrom="column">
                  <wp:posOffset>-631825</wp:posOffset>
                </wp:positionH>
                <wp:positionV relativeFrom="paragraph">
                  <wp:posOffset>-1720215</wp:posOffset>
                </wp:positionV>
                <wp:extent cx="5737225" cy="835025"/>
                <wp:effectExtent l="0" t="0" r="0" b="3175"/>
                <wp:wrapNone/>
                <wp:docPr id="3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83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Tw Cen MT Condensed Extra Bold" w:hAnsi="Tw Cen MT Condensed Extra Bold" w:eastAsia="Bahnschrift SemiBold Condensed" w:cs="Bahnschrift SemiBold Condensed"/>
                                <w:color w:themeColor="background1" w:themeShade="80" w:val="808080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eastAsia="Bahnschrift SemiBold Condensed" w:cs="Bahnschrift SemiBold Condensed" w:ascii="Tw Cen MT Condensed Extra Bold" w:hAnsi="Tw Cen MT Condensed Extra Bold"/>
                                <w:color w:themeColor="background1" w:themeShade="80" w:val="808080"/>
                                <w:sz w:val="56"/>
                                <w:szCs w:val="96"/>
                              </w:rPr>
                              <w:t>Informe responsable de ámbito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w Cen MT Condensed Extra Bold" w:hAnsi="Tw Cen MT Condensed Extra Bold" w:eastAsia="Bahnschrift SemiBold Condensed" w:cs="Bahnschrift SemiBold Condensed"/>
                                <w:color w:themeColor="background1" w:themeShade="80" w:val="80808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eastAsia="Bahnschrift SemiBold Condensed" w:cs="Bahnschrift SemiBold Condensed" w:ascii="Tw Cen MT Condensed Extra Bold" w:hAnsi="Tw Cen MT Condensed Extra Bold"/>
                                <w:color w:themeColor="background1" w:themeShade="80" w:val="808080"/>
                                <w:sz w:val="44"/>
                                <w:szCs w:val="44"/>
                              </w:rPr>
                              <w:t>2025A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stroked="f" o:allowincell="f" style="position:absolute;margin-left:-49.75pt;margin-top:-135.45pt;width:451.7pt;height:65.7pt;mso-wrap-style:square;v-text-anchor:top" wp14:anchorId="74E7D35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Tw Cen MT Condensed Extra Bold" w:hAnsi="Tw Cen MT Condensed Extra Bold" w:eastAsia="Bahnschrift SemiBold Condensed" w:cs="Bahnschrift SemiBold Condensed"/>
                          <w:color w:themeColor="background1" w:themeShade="80" w:val="808080"/>
                          <w:sz w:val="56"/>
                          <w:szCs w:val="96"/>
                        </w:rPr>
                      </w:pPr>
                      <w:r>
                        <w:rPr>
                          <w:rFonts w:eastAsia="Bahnschrift SemiBold Condensed" w:cs="Bahnschrift SemiBold Condensed" w:ascii="Tw Cen MT Condensed Extra Bold" w:hAnsi="Tw Cen MT Condensed Extra Bold"/>
                          <w:color w:themeColor="background1" w:themeShade="80" w:val="808080"/>
                          <w:sz w:val="56"/>
                          <w:szCs w:val="96"/>
                        </w:rPr>
                        <w:t>Informe responsable de ámbito</w:t>
                      </w:r>
                    </w:p>
                    <w:p>
                      <w:pPr>
                        <w:pStyle w:val="FrameContents"/>
                        <w:rPr>
                          <w:rFonts w:ascii="Tw Cen MT Condensed Extra Bold" w:hAnsi="Tw Cen MT Condensed Extra Bold" w:eastAsia="Bahnschrift SemiBold Condensed" w:cs="Bahnschrift SemiBold Condensed"/>
                          <w:color w:themeColor="background1" w:themeShade="80" w:val="808080"/>
                          <w:sz w:val="44"/>
                          <w:szCs w:val="44"/>
                        </w:rPr>
                      </w:pPr>
                      <w:r>
                        <w:rPr>
                          <w:rFonts w:eastAsia="Bahnschrift SemiBold Condensed" w:cs="Bahnschrift SemiBold Condensed" w:ascii="Tw Cen MT Condensed Extra Bold" w:hAnsi="Tw Cen MT Condensed Extra Bold"/>
                          <w:color w:themeColor="background1" w:themeShade="80" w:val="808080"/>
                          <w:sz w:val="44"/>
                          <w:szCs w:val="44"/>
                        </w:rPr>
                        <w:t>2025A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 wp14:anchorId="22603585">
                <wp:simplePos x="0" y="0"/>
                <wp:positionH relativeFrom="column">
                  <wp:posOffset>-636905</wp:posOffset>
                </wp:positionH>
                <wp:positionV relativeFrom="paragraph">
                  <wp:posOffset>-1275715</wp:posOffset>
                </wp:positionV>
                <wp:extent cx="5737225" cy="390525"/>
                <wp:effectExtent l="0" t="0" r="0" b="0"/>
                <wp:wrapNone/>
                <wp:docPr id="4" name="Cuadro de tex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20" cy="3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 Narrow" w:hAnsi="Arial Narrow" w:eastAsia="Bahnschrift SemiBold Condensed" w:cs="Bahnschrift SemiBold Condensed"/>
                                <w:b/>
                                <w:color w:val="1F3864"/>
                                <w:sz w:val="46"/>
                                <w:szCs w:val="46"/>
                                <w:lang w:val="es-MX"/>
                              </w:rPr>
                            </w:pPr>
                            <w:r>
                              <w:rPr>
                                <w:rFonts w:eastAsia="Bahnschrift SemiBold Condensed" w:cs="Bahnschrift SemiBold Condensed" w:ascii="Arial Narrow" w:hAnsi="Arial Narrow"/>
                                <w:b/>
                                <w:color w:val="1F3864"/>
                                <w:sz w:val="46"/>
                                <w:szCs w:val="46"/>
                                <w:lang w:val="es-MX"/>
                              </w:rPr>
                              <w:t>Dirección de Extensión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3" path="m0,0l-2147483645,0l-2147483645,-2147483646l0,-2147483646xe" stroked="f" o:allowincell="f" style="position:absolute;margin-left:-50.15pt;margin-top:-100.45pt;width:451.7pt;height:30.7pt;mso-wrap-style:square;v-text-anchor:top" wp14:anchorId="2260358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 Narrow" w:hAnsi="Arial Narrow" w:eastAsia="Bahnschrift SemiBold Condensed" w:cs="Bahnschrift SemiBold Condensed"/>
                          <w:b/>
                          <w:color w:val="1F3864"/>
                          <w:sz w:val="46"/>
                          <w:szCs w:val="46"/>
                          <w:lang w:val="es-MX"/>
                        </w:rPr>
                      </w:pPr>
                      <w:r>
                        <w:rPr>
                          <w:rFonts w:eastAsia="Bahnschrift SemiBold Condensed" w:cs="Bahnschrift SemiBold Condensed" w:ascii="Arial Narrow" w:hAnsi="Arial Narrow"/>
                          <w:b/>
                          <w:color w:val="1F3864"/>
                          <w:sz w:val="46"/>
                          <w:szCs w:val="46"/>
                          <w:lang w:val="es-MX"/>
                        </w:rPr>
                        <w:t>Dirección de Extensión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  <w:t>{report_title}</w:t>
      </w:r>
      <w:bookmarkStart w:id="2" w:name="_Hlk165304550"/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 xml:space="preserve">Informe de responsable de ámbito de información </w:t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  <w:bookmarkStart w:id="3" w:name="_GoBack"/>
      <w:bookmarkStart w:id="4" w:name="_GoBack"/>
      <w:bookmarkEnd w:id="4"/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Fecha: {generation_date}</w:t>
      </w:r>
    </w:p>
    <w:p>
      <w:pPr>
        <w:pStyle w:val="Normal"/>
        <w:jc w:val="center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{responsible_source}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Modelo IA: {ai_model}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{producer_source}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 xml:space="preserve">Año: 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{generation_year}</w:t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</w:p>
    <w:p>
      <w:pPr>
        <w:pStyle w:val="Normal"/>
        <w:jc w:val="center"/>
        <w:rPr>
          <w:b/>
          <w:color w:val="1F3864"/>
          <w:sz w:val="28"/>
        </w:rPr>
      </w:pPr>
      <w:r>
        <w:rPr>
          <w:b/>
          <w:color w:val="1F3864"/>
          <w:sz w:val="28"/>
        </w:rPr>
      </w:r>
      <w:bookmarkEnd w:id="2"/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  <w:t xml:space="preserve">Contenido </w:t>
      </w:r>
    </w:p>
    <w:p>
      <w:pPr>
        <w:pStyle w:val="Normal"/>
        <w:jc w:val="center"/>
        <w:rPr>
          <w:color w:val="FFFFFF"/>
        </w:rPr>
      </w:pPr>
      <w:r>
        <w:rPr>
          <w:color w:val="FFFFFF"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sz w:val="14"/>
            </w:rPr>
          </w:pPr>
          <w:r>
            <w:rPr>
              <w:lang w:val="es-ES"/>
            </w:rPr>
            <w:t xml:space="preserve"> </w:t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r>
            <w:fldChar w:fldCharType="begin"/>
          </w:r>
          <w:r>
            <w:rPr>
              <w:webHidden/>
              <w:rStyle w:val="IndexLink"/>
              <w:b w:val="false"/>
            </w:rPr>
            <w:instrText xml:space="preserve"> TOC \z \o "1-3" \u \h</w:instrText>
          </w:r>
          <w:r>
            <w:rPr>
              <w:webHidden/>
              <w:rStyle w:val="IndexLink"/>
              <w:b w:val="false"/>
            </w:rPr>
            <w:fldChar w:fldCharType="separate"/>
          </w:r>
          <w:hyperlink w:anchor="_Toc202803587">
            <w:r>
              <w:rPr>
                <w:webHidden/>
                <w:rStyle w:val="IndexLink"/>
                <w:b w:val="false"/>
              </w:rPr>
              <w:t>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Objetivo del informe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88">
            <w:r>
              <w:rPr>
                <w:webHidden/>
                <w:rStyle w:val="IndexLink"/>
                <w:b w:val="false"/>
              </w:rPr>
              <w:t>2.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Variables a analizar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89">
            <w:r>
              <w:rPr>
                <w:webHidden/>
                <w:rStyle w:val="IndexLink"/>
                <w:b w:val="false"/>
              </w:rPr>
              <w:t>3.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Metodología a emplear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0">
            <w:r>
              <w:rPr>
                <w:webHidden/>
                <w:rStyle w:val="IndexLink"/>
                <w:b w:val="false"/>
              </w:rPr>
              <w:t>4.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Procesamiento y análisis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1">
            <w:r>
              <w:rPr>
                <w:webHidden/>
                <w:rStyle w:val="IndexLink"/>
                <w:b w:val="false"/>
              </w:rPr>
              <w:t>4.1.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Estrategias de extensión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2">
            <w:r>
              <w:rPr>
                <w:webHidden/>
                <w:rStyle w:val="IndexLink"/>
                <w:b w:val="false"/>
              </w:rPr>
              <w:t>4.1.1.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del capítulo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3">
            <w:r>
              <w:rPr>
                <w:webHidden/>
                <w:rStyle w:val="IndexLink"/>
                <w:b w:val="false"/>
              </w:rPr>
              <w:t>4.2.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Políticas y estrategias de cooperación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4">
            <w:r>
              <w:rPr>
                <w:webHidden/>
                <w:rStyle w:val="IndexLink"/>
                <w:b w:val="false"/>
              </w:rPr>
              <w:t>4.2.1.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del capítulo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5">
            <w:r>
              <w:rPr>
                <w:webHidden/>
                <w:rStyle w:val="IndexLink"/>
                <w:b w:val="false"/>
              </w:rPr>
              <w:t>4.3.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Procesos académicos en la región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6">
            <w:r>
              <w:rPr>
                <w:webHidden/>
                <w:rStyle w:val="IndexLink"/>
                <w:b w:val="false"/>
              </w:rPr>
              <w:t>4.3.1.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del capítulo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7">
            <w:r>
              <w:rPr>
                <w:webHidden/>
                <w:rStyle w:val="IndexLink"/>
                <w:b w:val="false"/>
              </w:rPr>
              <w:t>4.4.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Proyectos de extensión – Capabilities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8">
            <w:r>
              <w:rPr>
                <w:webHidden/>
                <w:rStyle w:val="IndexLink"/>
                <w:b w:val="false"/>
              </w:rPr>
              <w:t>4.4.1.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del capítulo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599">
            <w:r>
              <w:rPr>
                <w:webHidden/>
                <w:rStyle w:val="IndexLink"/>
                <w:b w:val="false"/>
              </w:rPr>
              <w:t>5.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Conclusiones generales del ámbito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_Toc202803599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600">
            <w:r>
              <w:rPr>
                <w:webHidden/>
                <w:rStyle w:val="IndexLink"/>
                <w:b w:val="false"/>
              </w:rPr>
              <w:t>6.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Evaluación integral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_Toc202803600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color w:val="auto"/>
              <w:sz w:val="22"/>
              <w:szCs w:val="22"/>
              <w:lang w:eastAsia="es-CO"/>
            </w:rPr>
          </w:pPr>
          <w:hyperlink w:anchor="_Toc202803601">
            <w:r>
              <w:rPr>
                <w:webHidden/>
                <w:rStyle w:val="IndexLink"/>
                <w:b w:val="false"/>
              </w:rPr>
              <w:t>7.</w:t>
            </w:r>
            <w:r>
              <w:rPr>
                <w:rStyle w:val="IndexLink"/>
                <w:rFonts w:eastAsia="" w:cs="" w:cstheme="minorBidi" w:eastAsiaTheme="minorEastAsia"/>
                <w:b w:val="false"/>
                <w:color w:val="auto"/>
                <w:sz w:val="22"/>
                <w:szCs w:val="22"/>
                <w:lang w:eastAsia="es-CO"/>
              </w:rPr>
              <w:tab/>
            </w:r>
            <w:r>
              <w:rPr>
                <w:rStyle w:val="IndexLink"/>
                <w:b w:val="false"/>
              </w:rPr>
              <w:t>Acciones de mejora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_Toc202803601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</w:r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</w:r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</w:r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</w:r>
    </w:p>
    <w:p>
      <w:pPr>
        <w:pStyle w:val="Normal"/>
        <w:jc w:val="center"/>
        <w:rPr/>
      </w:pPr>
      <w:r>
        <w:rPr>
          <w:b/>
          <w:color w:themeColor="accent1" w:themeShade="80" w:val="1F3864"/>
          <w:sz w:val="28"/>
        </w:rPr>
        <w:t>Tablas</w:t>
      </w:r>
    </w:p>
    <w:p>
      <w:pPr>
        <w:pStyle w:val="Normal"/>
        <w:jc w:val="center"/>
        <w:rPr>
          <w:b/>
          <w:color w:themeColor="background1" w:val="FFFFFF"/>
          <w:szCs w:val="28"/>
        </w:rPr>
      </w:pPr>
      <w:bookmarkStart w:id="5" w:name="_heading=h.gjdgxs"/>
      <w:bookmarkEnd w:id="5"/>
      <w:r>
        <w:rPr>
          <w:b/>
          <w:color w:themeColor="background1" w:val="FFFFFF"/>
          <w:szCs w:val="28"/>
        </w:rPr>
        <w:t>LISTA DE TA</w:t>
      </w:r>
    </w:p>
    <w:p>
      <w:pPr>
        <w:pStyle w:val="Normal"/>
        <w:jc w:val="center"/>
        <w:rPr>
          <w:b/>
          <w:color w:themeColor="background1" w:val="FFFFFF"/>
          <w:szCs w:val="28"/>
        </w:rPr>
      </w:pPr>
      <w:r>
        <w:rPr>
          <w:b/>
          <w:color w:themeColor="background1" w:val="FFFFFF"/>
          <w:szCs w:val="28"/>
        </w:rPr>
      </w:r>
    </w:p>
    <w:p>
      <w:pPr>
        <w:pStyle w:val="Normal"/>
        <w:jc w:val="center"/>
        <w:rPr>
          <w:b/>
          <w:color w:themeColor="background1" w:val="FFFFFF"/>
          <w:szCs w:val="28"/>
        </w:rPr>
      </w:pPr>
      <w:r>
        <w:rPr>
          <w:b/>
          <w:color w:themeColor="background1" w:val="FFFFFF"/>
          <w:szCs w:val="28"/>
        </w:rPr>
        <w:t>BLAS</w:t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jc w:val="center"/>
        <w:rPr>
          <w:b/>
          <w:color w:themeColor="accent1" w:themeShade="80" w:val="1F3864"/>
          <w:sz w:val="28"/>
        </w:rPr>
      </w:pPr>
      <w:r>
        <w:rPr>
          <w:b/>
          <w:color w:themeColor="accent1" w:themeShade="80" w:val="1F3864"/>
          <w:sz w:val="28"/>
        </w:rPr>
        <w:t xml:space="preserve">                     </w:t>
      </w:r>
      <w:r>
        <w:rPr>
          <w:b/>
          <w:color w:themeColor="accent1" w:themeShade="80" w:val="1F3864"/>
          <w:sz w:val="28"/>
        </w:rPr>
        <w:t>Figuras</w:t>
      </w:r>
      <w:r>
        <w:rPr>
          <w:b/>
          <w:color w:themeColor="background1" w:val="FFFFFF"/>
          <w:szCs w:val="28"/>
        </w:rPr>
        <w:t xml:space="preserve"> DE FIGURAS</w:t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</w:p>
    <w:p>
      <w:pPr>
        <w:pStyle w:val="Normal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6" w:name="_Toc202803587"/>
      <w:bookmarkStart w:id="7" w:name="_heading=h.fpjux6ux5z2r"/>
      <w:bookmarkStart w:id="8" w:name="_heading=h.c8p2eu8nb1wp"/>
      <w:bookmarkStart w:id="9" w:name="_heading=h.tfagkh6a67mk"/>
      <w:bookmarkEnd w:id="7"/>
      <w:bookmarkEnd w:id="8"/>
      <w:bookmarkEnd w:id="9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Objetivo del informe</w:t>
      </w:r>
      <w:bookmarkEnd w:id="6"/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rFonts w:ascii="Calibri" w:hAnsi="Calibri" w:eastAsia="Calibri" w:cs="Calibri"/>
          <w:color w:themeColor="background1" w:themeShade="80" w:val="808080"/>
          <w:sz w:val="20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{objective}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spacing w:before="12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10" w:name="_Hlk163465962"/>
      <w:bookmarkStart w:id="11" w:name="_Toc202803588"/>
      <w:bookmarkStart w:id="12" w:name="_heading=h.3znysh7"/>
      <w:bookmarkStart w:id="13" w:name="_heading=h.1fob9te"/>
      <w:bookmarkEnd w:id="10"/>
      <w:bookmarkEnd w:id="12"/>
      <w:bookmarkEnd w:id="13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Variables a analizar</w:t>
      </w:r>
      <w:bookmarkEnd w:id="11"/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bookmarkStart w:id="14" w:name="_heading=h.tyjcwt"/>
      <w:bookmarkStart w:id="15" w:name="_heading=h.2et92p0"/>
      <w:bookmarkEnd w:id="14"/>
      <w:bookmarkEnd w:id="15"/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{variables}</w:t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spacing w:before="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16" w:name="_Hlk163465962"/>
      <w:bookmarkStart w:id="17" w:name="_Toc202803589"/>
      <w:bookmarkStart w:id="18" w:name="_heading=h.4d34og8"/>
      <w:bookmarkEnd w:id="16"/>
      <w:bookmarkEnd w:id="18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Metodología a emplear</w:t>
      </w:r>
      <w:bookmarkEnd w:id="17"/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{methodology}</w:t>
      </w:r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spacing w:before="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19" w:name="_Toc202803590"/>
      <w:bookmarkStart w:id="20" w:name="_heading=h.23ckvvd"/>
      <w:bookmarkStart w:id="21" w:name="_heading=h.1ksv4uv"/>
      <w:bookmarkEnd w:id="20"/>
      <w:bookmarkEnd w:id="21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Procesamiento y análisis</w:t>
      </w:r>
      <w:bookmarkEnd w:id="19"/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rFonts w:ascii="Calibri" w:hAnsi="Calibri" w:eastAsia="Calibri" w:cs="Calibri"/>
          <w:color w:val="FF000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{analysis_content}</w:t>
      </w:r>
    </w:p>
    <w:p>
      <w:pPr>
        <w:pStyle w:val="Normal"/>
        <w:rPr>
          <w:color w:val="0000CC"/>
          <w:sz w:val="22"/>
        </w:rPr>
      </w:pPr>
      <w:bookmarkStart w:id="22" w:name="_Hlk202802322"/>
      <w:r>
        <w:rPr>
          <w:color w:val="0000CC"/>
          <w:sz w:val="22"/>
        </w:rPr>
        <w:t>Nota: se pueden realizar distintos tipos de análisis, como descriptivo, de tendencias, de impacto u otros que se requieran según el objetivo.</w:t>
      </w:r>
      <w:bookmarkEnd w:id="22"/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Heading1"/>
        <w:numPr>
          <w:ilvl w:val="1"/>
          <w:numId w:val="1"/>
        </w:numPr>
        <w:spacing w:before="0" w:after="0"/>
        <w:ind w:hanging="432" w:left="426"/>
        <w:jc w:val="both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23" w:name="_Toc184734779"/>
      <w:bookmarkStart w:id="24" w:name="_Toc202803591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Estrategias de extensión</w:t>
      </w:r>
      <w:bookmarkEnd w:id="24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 xml:space="preserve"> </w:t>
      </w:r>
    </w:p>
    <w:p>
      <w:pPr>
        <w:pStyle w:val="Normal"/>
        <w:rPr>
          <w:sz w:val="20"/>
        </w:rPr>
      </w:pPr>
      <w:r>
        <w:rPr/>
        <w:t xml:space="preserve">Aspectos a evaluar: </w:t>
      </w:r>
      <w:r>
        <w:rPr>
          <w:color w:val="0000CC"/>
          <w:sz w:val="18"/>
        </w:rPr>
        <w:t>(No eliminar los aspectos a evaluar)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analítico sobre el efecto de las estrategias y acciones de proyección social, objetivos y principales aportes a la solución de problemas de la sociedad.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analítico de la participación en actividades que promuevan la comprensión de la realidad social (Proyección social) y el relacionamiento con otras culturas (discriminado por estudiantes, egresados, profesores y personal administrativo)</w:t>
      </w:r>
    </w:p>
    <w:p>
      <w:pPr>
        <w:pStyle w:val="Normal"/>
        <w:rPr>
          <w:color w:themeColor="background1" w:themeShade="80" w:val="808080"/>
          <w:sz w:val="22"/>
        </w:rPr>
      </w:pPr>
      <w:bookmarkStart w:id="25" w:name="_Toc184734779"/>
      <w:r>
        <w:rPr>
          <w:color w:themeColor="background1" w:themeShade="80" w:val="808080"/>
          <w:sz w:val="22"/>
        </w:rPr>
        <w:t>*Informe descriptivo de la participación y satisfacción de los cursos de extensión, que deriven estrategias para ofertas más atractivas.</w:t>
      </w:r>
      <w:bookmarkEnd w:id="2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2"/>
          <w:numId w:val="1"/>
        </w:numPr>
        <w:spacing w:before="0" w:after="0"/>
        <w:rPr>
          <w:rFonts w:ascii="Calibri" w:hAnsi="Calibri" w:cs="Calibri" w:asciiTheme="minorHAnsi" w:cstheme="minorHAnsi" w:hAnsiTheme="minorHAnsi"/>
          <w:color w:themeColor="accent1" w:themeShade="80" w:val="1F3864"/>
          <w:sz w:val="24"/>
        </w:rPr>
      </w:pPr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 xml:space="preserve"> </w:t>
      </w:r>
      <w:bookmarkStart w:id="26" w:name="_Toc202803592"/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>Conclusiones del capítulo</w:t>
      </w:r>
      <w:bookmarkEnd w:id="26"/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Cs w:val="32"/>
        </w:rPr>
      </w:r>
    </w:p>
    <w:p>
      <w:pPr>
        <w:pStyle w:val="Normal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Cs w:val="32"/>
        </w:rPr>
      </w:r>
    </w:p>
    <w:p>
      <w:pPr>
        <w:pStyle w:val="Heading1"/>
        <w:numPr>
          <w:ilvl w:val="1"/>
          <w:numId w:val="1"/>
        </w:numPr>
        <w:spacing w:before="0" w:after="0"/>
        <w:ind w:hanging="432" w:left="426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  <w:szCs w:val="28"/>
        </w:rPr>
      </w:pPr>
      <w:bookmarkStart w:id="27" w:name="_Toc202803593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  <w:szCs w:val="28"/>
        </w:rPr>
        <w:t>Políticas y estrategias de cooperación</w:t>
      </w:r>
      <w:bookmarkEnd w:id="27"/>
    </w:p>
    <w:p>
      <w:pPr>
        <w:pStyle w:val="Normal"/>
        <w:jc w:val="both"/>
        <w:rPr/>
      </w:pPr>
      <w:r>
        <w:rPr/>
        <w:t xml:space="preserve">Aspecto a evaluar: 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analítico sobre el efecto que han tenido las políticas y estrategias de cooperación en el desarrollo de labores de extensión.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</w:r>
    </w:p>
    <w:p>
      <w:pPr>
        <w:pStyle w:val="Normal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</w:r>
    </w:p>
    <w:p>
      <w:pPr>
        <w:pStyle w:val="Heading1"/>
        <w:numPr>
          <w:ilvl w:val="2"/>
          <w:numId w:val="1"/>
        </w:numPr>
        <w:spacing w:before="0" w:after="0"/>
        <w:rPr>
          <w:rFonts w:ascii="Calibri" w:hAnsi="Calibri" w:cs="Calibri" w:asciiTheme="minorHAnsi" w:cstheme="minorHAnsi" w:hAnsiTheme="minorHAnsi"/>
          <w:color w:themeColor="accent1" w:themeShade="80" w:val="1F3864"/>
          <w:sz w:val="24"/>
        </w:rPr>
      </w:pPr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 xml:space="preserve"> </w:t>
      </w:r>
      <w:bookmarkStart w:id="28" w:name="_Toc202803594"/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>Conclusiones del capítulo</w:t>
      </w:r>
      <w:bookmarkEnd w:id="28"/>
    </w:p>
    <w:p>
      <w:pPr>
        <w:pStyle w:val="Normal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Cs w:val="32"/>
        </w:rPr>
      </w:r>
    </w:p>
    <w:p>
      <w:pPr>
        <w:pStyle w:val="Heading1"/>
        <w:numPr>
          <w:ilvl w:val="1"/>
          <w:numId w:val="1"/>
        </w:numPr>
        <w:spacing w:before="0" w:after="0"/>
        <w:ind w:hanging="432" w:left="426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  <w:szCs w:val="28"/>
        </w:rPr>
      </w:pPr>
      <w:bookmarkStart w:id="29" w:name="_Toc202803595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  <w:szCs w:val="28"/>
        </w:rPr>
        <w:t>Procesos académicos en la región</w:t>
      </w:r>
      <w:bookmarkEnd w:id="29"/>
    </w:p>
    <w:p>
      <w:pPr>
        <w:pStyle w:val="Normal"/>
        <w:jc w:val="both"/>
        <w:rPr/>
      </w:pPr>
      <w:r>
        <w:rPr/>
        <w:t xml:space="preserve">Aspecto a evaluar: </w:t>
      </w:r>
    </w:p>
    <w:p>
      <w:pPr>
        <w:pStyle w:val="Normal"/>
        <w:jc w:val="both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sobre el impacto o incidencia de los procesos académicos en la región, en el territorio.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2"/>
          <w:numId w:val="1"/>
        </w:numPr>
        <w:spacing w:before="0" w:after="0"/>
        <w:rPr>
          <w:rFonts w:ascii="Calibri" w:hAnsi="Calibri" w:cs="Calibri" w:asciiTheme="minorHAnsi" w:cstheme="minorHAnsi" w:hAnsiTheme="minorHAnsi"/>
          <w:color w:themeColor="accent1" w:themeShade="80" w:val="1F3864"/>
          <w:sz w:val="24"/>
        </w:rPr>
      </w:pPr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 xml:space="preserve"> </w:t>
      </w:r>
      <w:bookmarkStart w:id="30" w:name="_Toc202803596"/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>Conclusiones del capítulo</w:t>
      </w:r>
      <w:bookmarkEnd w:id="30"/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Heading1"/>
        <w:numPr>
          <w:ilvl w:val="1"/>
          <w:numId w:val="1"/>
        </w:numPr>
        <w:spacing w:before="0" w:after="0"/>
        <w:ind w:hanging="432" w:left="426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  <w:szCs w:val="28"/>
        </w:rPr>
      </w:pPr>
      <w:bookmarkStart w:id="31" w:name="_Toc202803597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  <w:szCs w:val="28"/>
        </w:rPr>
        <w:t>Proyectos de extensión – Capabilities</w:t>
      </w:r>
      <w:bookmarkEnd w:id="31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  <w:szCs w:val="28"/>
        </w:rPr>
        <w:t xml:space="preserve"> </w:t>
      </w:r>
    </w:p>
    <w:p>
      <w:pPr>
        <w:pStyle w:val="Normal"/>
        <w:rPr/>
      </w:pPr>
      <w:r>
        <w:rPr/>
        <w:t xml:space="preserve">Aspecto a evaluar: </w:t>
      </w:r>
    </w:p>
    <w:p>
      <w:pPr>
        <w:pStyle w:val="Normal"/>
        <w:rPr>
          <w:color w:themeColor="background1" w:themeShade="80" w:val="808080"/>
          <w:sz w:val="22"/>
        </w:rPr>
      </w:pPr>
      <w:r>
        <w:rPr>
          <w:color w:themeColor="background1" w:themeShade="80" w:val="808080"/>
          <w:sz w:val="22"/>
        </w:rPr>
        <w:t>*Informe sobre los proyectos de extensión articulados con capabilities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2"/>
          <w:numId w:val="1"/>
        </w:numPr>
        <w:spacing w:before="0" w:after="0"/>
        <w:rPr>
          <w:rFonts w:ascii="Calibri" w:hAnsi="Calibri" w:cs="Calibri" w:asciiTheme="minorHAnsi" w:cstheme="minorHAnsi" w:hAnsiTheme="minorHAnsi"/>
          <w:color w:themeColor="accent1" w:themeShade="80" w:val="1F3864"/>
          <w:sz w:val="24"/>
        </w:rPr>
      </w:pPr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 xml:space="preserve"> </w:t>
      </w:r>
      <w:bookmarkStart w:id="32" w:name="_Toc202803598"/>
      <w:r>
        <w:rPr>
          <w:rFonts w:cs="Calibri" w:ascii="Calibri" w:hAnsi="Calibri" w:asciiTheme="minorHAnsi" w:cstheme="minorHAnsi" w:hAnsiTheme="minorHAnsi"/>
          <w:color w:themeColor="accent1" w:themeShade="80" w:val="1F3864"/>
          <w:sz w:val="24"/>
        </w:rPr>
        <w:t>Conclusiones del capítulo</w:t>
      </w:r>
      <w:bookmarkEnd w:id="32"/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rPr/>
      </w:pPr>
      <w:r>
        <w:rPr/>
      </w:r>
      <w:bookmarkStart w:id="33" w:name="_Hlk163815015"/>
      <w:bookmarkStart w:id="34" w:name="_Hlk163815015"/>
      <w:bookmarkEnd w:id="3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spacing w:before="0" w:after="0"/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35" w:name="_Hlk163815015"/>
      <w:bookmarkStart w:id="36" w:name="_Toc202803599"/>
      <w:bookmarkStart w:id="37" w:name="_heading=h.32hioqz"/>
      <w:bookmarkEnd w:id="35"/>
      <w:bookmarkEnd w:id="37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Conclusiones generales del ámbito</w:t>
      </w:r>
      <w:bookmarkEnd w:id="36"/>
    </w:p>
    <w:p>
      <w:pPr>
        <w:pStyle w:val="NormalWeb"/>
        <w:shd w:val="clear" w:color="auto" w:fill="FFFFFF"/>
        <w:spacing w:beforeAutospacing="0" w:before="0" w:afterAutospacing="0" w:after="240"/>
        <w:jc w:val="center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{general_conclusions}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Heading1"/>
        <w:numPr>
          <w:ilvl w:val="0"/>
          <w:numId w:val="1"/>
        </w:numPr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38" w:name="_Toc202803600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Evaluación integral</w:t>
      </w:r>
      <w:bookmarkEnd w:id="38"/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{integral_evaluation}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Calibri" w:hAnsi="Calibri" w:eastAsia="Calibri" w:cs="Calibri"/>
          <w:b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b/>
          <w:color w:themeColor="background1" w:themeShade="80" w:val="808080"/>
          <w:sz w:val="22"/>
          <w:lang w:val="es-CO"/>
        </w:rPr>
        <w:t>Revisar los resultados de la encuesta de autoevaluación que serán cargados en Miró (Dirección de Planeación)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Autospacing="0" w:before="0" w:afterAutospacing="0" w:after="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 xml:space="preserve">F11C42P1: Apreciación de profesores y estudiantes sobre la eficiencia, eficacia y orientación de los procesos administrativos hacia el desarrollo de las labores formativas, académicas, docentes, científicas, culturales y </w:t>
      </w:r>
      <w:r>
        <w:rPr>
          <w:rFonts w:eastAsia="Calibri" w:cs="Calibri" w:ascii="Calibri" w:hAnsi="Calibri"/>
          <w:b/>
          <w:color w:themeColor="background1" w:themeShade="80" w:val="808080"/>
          <w:sz w:val="22"/>
          <w:lang w:val="es-CO"/>
        </w:rPr>
        <w:t>de extensión</w:t>
      </w: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, junto con las acciones emprendidas como resultado de dichas apreciaciones.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Autospacing="0" w:before="0" w:afterAutospacing="0" w:after="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 xml:space="preserve">F2C3P1: Apreciación de los estudiantes en relación con su participación en las actividades de investigación, desarrollo tecnológico, creación artística, culturales, deportivas y </w:t>
      </w:r>
      <w:r>
        <w:rPr>
          <w:rFonts w:eastAsia="Calibri" w:cs="Calibri" w:ascii="Calibri" w:hAnsi="Calibri"/>
          <w:b/>
          <w:color w:themeColor="background1" w:themeShade="80" w:val="808080"/>
          <w:sz w:val="22"/>
          <w:lang w:val="es-CO"/>
        </w:rPr>
        <w:t>de extensión</w:t>
      </w: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, que contribuyen a su formación integral, junto con las acciones emprendidas como resultado de dichas apreciaciones.</w:t>
      </w:r>
    </w:p>
    <w:p>
      <w:pPr>
        <w:pStyle w:val="NormalWeb"/>
        <w:numPr>
          <w:ilvl w:val="0"/>
          <w:numId w:val="2"/>
        </w:numPr>
        <w:shd w:val="clear" w:color="auto" w:fill="FFFFFF"/>
        <w:spacing w:beforeAutospacing="0" w:before="0" w:afterAutospacing="0" w:after="24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 xml:space="preserve">F3C12P1: Apreciación de directivos y profesores del programa, sobre el efecto que ha tenido el régimen de estímulos al profesorado en el ejercicio cualificado de la docencia, la investigación, la innovación, la creación artística y cultural, </w:t>
      </w:r>
      <w:r>
        <w:rPr>
          <w:rFonts w:eastAsia="Calibri" w:cs="Calibri" w:ascii="Calibri" w:hAnsi="Calibri"/>
          <w:b/>
          <w:color w:themeColor="background1" w:themeShade="80" w:val="808080"/>
          <w:sz w:val="22"/>
          <w:lang w:val="es-CO"/>
        </w:rPr>
        <w:t>la extensión o proyección social</w:t>
      </w: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, en los aportes al desarrollo técnico y tecnológico y la cooperación internacional, junto con las acciones emprendidas como resultado de dichas apreciaciones.</w:t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both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NormalWeb"/>
        <w:shd w:val="clear" w:color="auto" w:fill="FFFFFF"/>
        <w:spacing w:beforeAutospacing="0" w:before="0" w:afterAutospacing="0" w:after="240"/>
        <w:ind w:left="720"/>
        <w:jc w:val="center"/>
        <w:rPr>
          <w:rFonts w:ascii="Calibri" w:hAnsi="Calibri" w:eastAsia="Calibri" w:cs="Calibri"/>
          <w:color w:themeColor="background1" w:themeShade="80" w:val="808080"/>
          <w:sz w:val="2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</w:r>
    </w:p>
    <w:p>
      <w:pPr>
        <w:pStyle w:val="Heading1"/>
        <w:numPr>
          <w:ilvl w:val="0"/>
          <w:numId w:val="1"/>
        </w:numPr>
        <w:jc w:val="center"/>
        <w:rPr>
          <w:rFonts w:ascii="Calibri" w:hAnsi="Calibri" w:cs="Calibri" w:asciiTheme="minorHAnsi" w:cstheme="minorHAnsi" w:hAnsiTheme="minorHAnsi"/>
          <w:b/>
          <w:color w:themeColor="accent1" w:themeShade="80" w:val="1F3864"/>
          <w:sz w:val="28"/>
        </w:rPr>
      </w:pPr>
      <w:bookmarkStart w:id="39" w:name="_Toc202803601"/>
      <w:r>
        <w:rPr>
          <w:rFonts w:cs="Calibri" w:ascii="Calibri" w:hAnsi="Calibri" w:asciiTheme="minorHAnsi" w:cstheme="minorHAnsi" w:hAnsiTheme="minorHAnsi"/>
          <w:b/>
          <w:color w:themeColor="accent1" w:themeShade="80" w:val="1F3864"/>
          <w:sz w:val="28"/>
        </w:rPr>
        <w:t>Acciones de mejora</w:t>
      </w:r>
      <w:bookmarkEnd w:id="39"/>
    </w:p>
    <w:p>
      <w:pPr>
        <w:pStyle w:val="NormalWeb"/>
        <w:shd w:val="clear" w:color="auto" w:fill="FFFFFF"/>
        <w:spacing w:beforeAutospacing="0" w:before="0" w:afterAutospacing="0" w:after="240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  <w:lang w:val="es-CO"/>
        </w:rPr>
      </w:pPr>
      <w:r>
        <w:rPr>
          <w:rFonts w:eastAsia="Calibri" w:cs="Calibri" w:ascii="Calibri" w:hAnsi="Calibri"/>
          <w:color w:themeColor="background1" w:themeShade="80" w:val="808080"/>
          <w:sz w:val="22"/>
          <w:lang w:val="es-CO"/>
        </w:rPr>
        <w:t>{improvement_actions}</w:t>
      </w:r>
    </w:p>
    <w:p>
      <w:pPr>
        <w:pStyle w:val="Normal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p>
      <w:pPr>
        <w:pStyle w:val="Normal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p>
      <w:pPr>
        <w:pStyle w:val="Normal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p>
      <w:pPr>
        <w:pStyle w:val="Normal"/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  <w:t>Referencias bibliográficas</w:t>
      </w:r>
    </w:p>
    <w:p>
      <w:pPr>
        <w:pStyle w:val="Normal"/>
        <w:rPr>
          <w:rFonts w:ascii="Calibri" w:hAnsi="Calibri" w:eastAsia="" w:cs="Calibri" w:asciiTheme="minorHAnsi" w:cstheme="minorHAnsi" w:eastAsiaTheme="majorEastAsia" w:hAnsiTheme="minorHAnsi"/>
          <w:b/>
          <w:color w:themeColor="accent1" w:themeShade="80" w:val="1F3864"/>
          <w:sz w:val="28"/>
          <w:szCs w:val="32"/>
        </w:rPr>
      </w:pPr>
      <w:r>
        <w:rPr>
          <w:rFonts w:eastAsia="" w:cs="Calibri" w:cstheme="minorHAnsi" w:eastAsiaTheme="majorEastAsia"/>
          <w:b/>
          <w:color w:themeColor="accent1" w:themeShade="80" w:val="1F3864"/>
          <w:sz w:val="28"/>
          <w:szCs w:val="3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0" w:right="1332" w:gutter="0" w:header="708" w:top="1417" w:footer="708" w:bottom="141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Arial Narrow">
    <w:charset w:val="01"/>
    <w:family w:val="roman"/>
    <w:pitch w:val="variable"/>
  </w:font>
  <w:font w:name="Tw Cen MT Condensed Extra Bol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jc w:val="right"/>
      <w:rPr>
        <w:color w:val="000000"/>
        <w:sz w:val="22"/>
        <w:szCs w:val="22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Normal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left w:val="single" w:sz="12" w:space="11" w:color="4472C4" w:themeColor="accent1"/>
      </w:pBdr>
      <w:tabs>
        <w:tab w:val="clear" w:pos="720"/>
        <w:tab w:val="left" w:pos="3620" w:leader="none"/>
        <w:tab w:val="left" w:pos="3964" w:leader="none"/>
      </w:tabs>
      <w:rPr>
        <w:rFonts w:ascii="Calibri Light" w:hAnsi="Calibri Light" w:eastAsia="" w:cs="" w:asciiTheme="majorHAnsi" w:cstheme="majorBidi" w:eastAsiaTheme="majorEastAsia" w:hAnsiTheme="majorHAnsi"/>
        <w:color w:val="002060"/>
        <w:sz w:val="20"/>
        <w:szCs w:val="20"/>
      </w:rPr>
    </w:pPr>
    <w:sdt>
      <w:sdtPr>
        <w:placeholder>
          <w:docPart w:val="E6EFAB8C1D394E34A73E9685A32C8F3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ítulo"/>
        <w:id w:val="-932208079"/>
        <w:text/>
      </w:sdtPr>
      <w:sdtContent>
        <w:r>
          <w:rPr>
            <w:rFonts w:eastAsia="" w:cs="" w:ascii="Calibri Light" w:hAnsi="Calibri Light" w:asciiTheme="majorHAnsi" w:cstheme="majorBidi" w:eastAsiaTheme="majorEastAsia" w:hAnsiTheme="majorHAnsi"/>
            <w:color w:val="002060"/>
            <w:sz w:val="20"/>
            <w:szCs w:val="20"/>
          </w:rPr>
        </w:r>
        <w:r>
          <w:rPr>
            <w:rFonts w:eastAsia="" w:cs="" w:ascii="Calibri Light" w:hAnsi="Calibri Light" w:asciiTheme="majorHAnsi" w:cstheme="majorBidi" w:eastAsiaTheme="majorEastAsia" w:hAnsiTheme="majorHAnsi"/>
            <w:color w:val="002060"/>
            <w:sz w:val="20"/>
            <w:szCs w:val="20"/>
          </w:rPr>
          <w:t>Informe Dirección de Extensión – Responsable 2025A</w:t>
        </w:r>
      </w:sdtContent>
    </w:sdt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24775" cy="10039985"/>
          <wp:effectExtent l="0" t="0" r="0" b="0"/>
          <wp:wrapSquare wrapText="bothSides"/>
          <wp:docPr id="5" name="Imagen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24775" cy="10039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28"/>
        <w:b/>
        <w:szCs w:val="28"/>
        <w:rFonts w:ascii="Calibri" w:hAnsi="Calibri" w:cs="Calibri" w:asciiTheme="minorHAnsi" w:cstheme="minorHAnsi" w:hAnsiTheme="minorHAnsi"/>
        <w:color w:themeColor="accent1" w:themeShade="80" w:val="1F386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646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CO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51ce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autoRedefine/>
    <w:qFormat/>
    <w:rsid w:val="00a62513"/>
    <w:pPr>
      <w:keepNext w:val="true"/>
      <w:keepLines/>
      <w:spacing w:before="360" w:after="80"/>
      <w:outlineLvl w:val="1"/>
    </w:pPr>
    <w:rPr>
      <w:b/>
      <w:color w:themeColor="accent1" w:themeShade="bf" w:val="2F5496"/>
      <w:szCs w:val="3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77095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d9537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9537e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351ce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51ce6"/>
    <w:rPr>
      <w:color w:themeColor="hyperlink" w:val="0563C1"/>
      <w:u w:val="single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77095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7758a6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452f0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qFormat/>
    <w:rsid w:val="005452f0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5452f0"/>
    <w:rPr>
      <w:b/>
      <w:bCs/>
      <w:sz w:val="20"/>
      <w:szCs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52f0"/>
    <w:rPr>
      <w:rFonts w:ascii="Segoe UI" w:hAnsi="Segoe UI" w:cs="Segoe UI"/>
      <w:sz w:val="18"/>
      <w:szCs w:val="18"/>
    </w:rPr>
  </w:style>
  <w:style w:type="character" w:styleId="Mencinsinresolver2" w:customStyle="1">
    <w:name w:val="Mención sin resolver2"/>
    <w:basedOn w:val="DefaultParagraphFont"/>
    <w:uiPriority w:val="99"/>
    <w:semiHidden/>
    <w:unhideWhenUsed/>
    <w:qFormat/>
    <w:rsid w:val="0018366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83667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73643"/>
    <w:rPr>
      <w:color w:val="605E5C"/>
      <w:shd w:fill="E1DFDD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9537e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d9537e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ListParagraph">
    <w:name w:val="List Paragraph"/>
    <w:basedOn w:val="Normal"/>
    <w:uiPriority w:val="34"/>
    <w:qFormat/>
    <w:rsid w:val="00cb5957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51ce6"/>
    <w:pPr>
      <w:spacing w:lineRule="auto" w:line="259"/>
      <w:outlineLvl w:val="9"/>
    </w:pPr>
    <w:rPr>
      <w:lang w:eastAsia="es-CO"/>
    </w:rPr>
  </w:style>
  <w:style w:type="paragraph" w:styleId="TOC1">
    <w:name w:val="TOC 1"/>
    <w:basedOn w:val="Normal"/>
    <w:next w:val="Normal"/>
    <w:autoRedefine/>
    <w:uiPriority w:val="39"/>
    <w:unhideWhenUsed/>
    <w:rsid w:val="00833f79"/>
    <w:pPr>
      <w:tabs>
        <w:tab w:val="clear" w:pos="720"/>
        <w:tab w:val="left" w:pos="660" w:leader="none"/>
        <w:tab w:val="right" w:pos="9198" w:leader="dot"/>
      </w:tabs>
      <w:spacing w:before="0" w:after="100"/>
    </w:pPr>
    <w:rPr>
      <w:rFonts w:cs="Calibri" w:cstheme="minorHAnsi"/>
      <w:b/>
      <w:color w:themeColor="text1" w:val="000000"/>
    </w:rPr>
  </w:style>
  <w:style w:type="paragraph" w:styleId="TOC2">
    <w:name w:val="TOC 2"/>
    <w:basedOn w:val="Normal"/>
    <w:next w:val="Normal"/>
    <w:autoRedefine/>
    <w:uiPriority w:val="39"/>
    <w:unhideWhenUsed/>
    <w:rsid w:val="00d44224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77095c"/>
    <w:pPr>
      <w:spacing w:before="0" w:after="100"/>
      <w:ind w:left="480"/>
    </w:pPr>
    <w:rPr/>
  </w:style>
  <w:style w:type="paragraph" w:styleId="NormalWeb">
    <w:name w:val="Normal (Web)"/>
    <w:basedOn w:val="Normal"/>
    <w:uiPriority w:val="99"/>
    <w:unhideWhenUsed/>
    <w:qFormat/>
    <w:rsid w:val="00817a21"/>
    <w:pPr>
      <w:spacing w:beforeAutospacing="1" w:afterAutospacing="1"/>
    </w:pPr>
    <w:rPr>
      <w:rFonts w:ascii="Times New Roman" w:hAnsi="Times New Roman" w:eastAsia="Times New Roman" w:cs="Times New Roman"/>
      <w:lang w:val="en-US"/>
    </w:rPr>
  </w:style>
  <w:style w:type="paragraph" w:styleId="AnnotationText">
    <w:name w:val="Annotation Text"/>
    <w:basedOn w:val="Normal"/>
    <w:link w:val="TextocomentarioCar"/>
    <w:uiPriority w:val="99"/>
    <w:unhideWhenUsed/>
    <w:rsid w:val="005452f0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5452f0"/>
    <w:pPr/>
    <w:rPr>
      <w:b/>
      <w:bCs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52f0"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202d2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normal2">
    <w:name w:val="Plain Table 2"/>
    <w:basedOn w:val="Tablanormal"/>
    <w:uiPriority w:val="42"/>
    <w:rsid w:val="005854bd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aconcuadrculaclara">
    <w:name w:val="Grid Table Light"/>
    <w:basedOn w:val="Tablanormal"/>
    <w:uiPriority w:val="40"/>
    <w:rsid w:val="00777001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22">
    <w:name w:val="2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13">
    <w:name w:val="1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pPr>
      <w:spacing w:after="80"/>
    </w:pPr>
    <w:rPr>
      <w:sz w:val="20"/>
      <w:szCs w:val="20"/>
    </w:r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pPr>
      <w:spacing w:after="80"/>
    </w:pPr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shd w:val="clear" w:color="auto" w:fill="DEEBF6"/>
    </w:tc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6EFAB8C1D394E34A73E9685A32C8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804DE-991D-4DCB-9A5C-F1AB172896A0}"/>
      </w:docPartPr>
      <w:docPartBody>
        <w:p w:rsidR="007E3A17" w:rsidRDefault="007E3A17" w:rsidP="007E3A17">
          <w:pPr>
            <w:pStyle w:val="E6EFAB8C1D394E34A73E9685A32C8F33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17"/>
    <w:rsid w:val="00004F29"/>
    <w:rsid w:val="000653A4"/>
    <w:rsid w:val="000B3B2C"/>
    <w:rsid w:val="00121A73"/>
    <w:rsid w:val="0017286D"/>
    <w:rsid w:val="00292BEA"/>
    <w:rsid w:val="003861C0"/>
    <w:rsid w:val="00463B2E"/>
    <w:rsid w:val="004C61F7"/>
    <w:rsid w:val="005365D0"/>
    <w:rsid w:val="005562BF"/>
    <w:rsid w:val="00605A75"/>
    <w:rsid w:val="006873EF"/>
    <w:rsid w:val="006A2005"/>
    <w:rsid w:val="006D4FBD"/>
    <w:rsid w:val="007117E7"/>
    <w:rsid w:val="00733EC1"/>
    <w:rsid w:val="007B3B8B"/>
    <w:rsid w:val="007E3A17"/>
    <w:rsid w:val="008C5B86"/>
    <w:rsid w:val="00907E29"/>
    <w:rsid w:val="00910DD9"/>
    <w:rsid w:val="009673FE"/>
    <w:rsid w:val="00A04D42"/>
    <w:rsid w:val="00AE4051"/>
    <w:rsid w:val="00AE7BC6"/>
    <w:rsid w:val="00AF1FC2"/>
    <w:rsid w:val="00B74AAF"/>
    <w:rsid w:val="00C67BE4"/>
    <w:rsid w:val="00C92731"/>
    <w:rsid w:val="00CB2668"/>
    <w:rsid w:val="00D9055D"/>
    <w:rsid w:val="00FD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6EFAB8C1D394E34A73E9685A32C8F33">
    <w:name w:val="E6EFAB8C1D394E34A73E9685A32C8F33"/>
    <w:rsid w:val="007E3A17"/>
  </w:style>
  <w:style w:type="paragraph" w:customStyle="1" w:styleId="906B8F83BA494A86916DDB23CE47D541">
    <w:name w:val="906B8F83BA494A86916DDB23CE47D541"/>
    <w:rsid w:val="007E3A17"/>
  </w:style>
  <w:style w:type="paragraph" w:customStyle="1" w:styleId="90CCDBE4CF0B4475AE33922B21DD18D2">
    <w:name w:val="90CCDBE4CF0B4475AE33922B21DD18D2"/>
    <w:rsid w:val="007E3A17"/>
  </w:style>
  <w:style w:type="paragraph" w:customStyle="1" w:styleId="D2DCA0CDD7E94EABBFDA2E72509D1511">
    <w:name w:val="D2DCA0CDD7E94EABBFDA2E72509D1511"/>
    <w:rsid w:val="007E3A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hqHZE0iz7JTh/jmdwQlc1CHXSA==">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</go:docsCustomData>
</go:gDocsCustomXmlDataStorage>
</file>

<file path=customXml/itemProps1.xml><?xml version="1.0" encoding="utf-8"?>
<ds:datastoreItem xmlns:ds="http://schemas.openxmlformats.org/officeDocument/2006/customXml" ds:itemID="{A686B467-DDC9-4312-8B42-448CB5483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5415</TotalTime>
  <Application>LibreOffice/24.2.7.2$Linux_X86_64 LibreOffice_project/420$Build-2</Application>
  <AppVersion>15.0000</AppVersion>
  <Pages>7</Pages>
  <Words>661</Words>
  <Characters>3915</Characters>
  <CharactersWithSpaces>4521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2024-03-22T19:20:00Z</dcterms:created>
  <dc:creator>Microsoft Office User</dc:creator>
  <dc:description/>
  <dc:language>es-ES</dc:language>
  <cp:lastModifiedBy/>
  <cp:lastPrinted>2025-02-14T17:00:00Z</cp:lastPrinted>
  <dcterms:modified xsi:type="dcterms:W3CDTF">2026-03-03T09:00:45Z</dcterms:modified>
  <cp:revision>1450</cp:revision>
  <dc:subject/>
  <dc:title>Informe Dirección de Extensión – Responsable 2025A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c6eb9025afde847f0aa2605f0f95894bcf4f5a51053a8abc70a6f0b5e42c17cb</vt:lpwstr>
  </property>
</Properties>
</file>