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drawing>
          <wp:inline distT="0" distB="0" distL="0" distR="0">
            <wp:extent cx="7562850" cy="979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979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0" w:right="0" w:bottom="0" w:left="0" w:header="0" w:footer="708" w:gutter="0"/>
          <w:pgNumType/>
          <w:docGrid w:linePitch="360"/>
        </w:sectPr>
      </w:pPr>
    </w:p>
    <w:p>
      <w:pPr>
        <w:pStyle w:val="Title"/>
        <w:spacing w:after="300" w:before="0"/>
        <w:jc w:val="center"/>
      </w:pPr>
      <w:r>
        <w:rPr>
          <w:b/>
          <w:bCs/>
          <w:sz w:val="36"/>
          <w:szCs w:val="36"/>
        </w:rPr>
        <w:t xml:space="preserve">Informe de Avance — Macroproyecto PDI</w:t>
      </w:r>
    </w:p>
    <w:p>
      <w:pPr>
        <w:spacing w:after="100" w:before="0"/>
        <w:jc w:val="center"/>
      </w:pPr>
      <w:r>
        <w:rPr>
          <w:b/>
          <w:bCs/>
          <w:color w:val="7C3AED"/>
        </w:rPr>
        <w:t xml:space="preserve">Todos los cortes</w:t>
      </w:r>
    </w:p>
    <w:p>
      <w:pPr>
        <w:spacing w:after="600" w:before="0"/>
        <w:jc w:val="center"/>
      </w:pPr>
      <w:r>
        <w:rPr>
          <w:color w:val="6B7280"/>
        </w:rPr>
        <w:t xml:space="preserve">Generado el 28/5/2026</w:t>
      </w: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M3 · Universidad Sostenible</w:t>
      </w:r>
    </w:p>
    <w:p>
      <w:pPr>
        <w:spacing w:after="40" w:before="80"/>
      </w:pPr>
      <w:r>
        <w:rPr>
          <w:b/>
          <w:bCs/>
        </w:rPr>
        <w:t xml:space="preserve">Líder: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 del macroproyecto: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$ 315.000.000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M3-P1 · Responsabilidad, optimización  y viabilidad financiera a largo plazo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M3-P1-A1 · Implementar el modelo de costos de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$ 67.000.000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M3-P1-A1-I1 · Modelo de costos de las funciones misionales diseñado, validado e implementado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0.5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M3-P1-A2-I2 · Margen neto promedio de las funciones misionales. (Excedente Neto/Ingresos Totales)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12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M3-P1-A2 · Implementar mecanismos de regulación en las unidades de Proyección Social acorde a su grado de autonomía establecido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M3-P1-A2-I1 · Margen bruto promedio de los proyectos de desarrollo y educación continua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M3-P1-A3 · Establecer las estrategias para la consecución de nuevas fuentes de financiación acorde con las funciones misionales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M3-P1-A3-I1 · Crecimiento en ingresos por nuevas fuentes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3.1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3.6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4.1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M3-P1-A4 · Desarrollar e implementar el modelo para la optimización de recursos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M3-P1-A4-I1 · % de reducción de gastos operativos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25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M3-P2 · Autorregulación y reorganización institucional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EDNA CATHERINE BELTRAN TOVAR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1%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M3-P2-A1 · Con base en la nueva estructura organizacional, actualizar y alinear el marco normativo institucional, procesos y funciones con el modelo de la Universidad Necesaria, asegurando su coherencia jurídica, operativa y académica.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1%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M3-P2-A1-I1 · Porcentaje de procesos institucionales nuevos o actualizados, alineados con la reorganización institucional y formalmente implementados.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2.5%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M3-P2-A1-I2 · Porcentaje de ajustes o creación de la normatividad institucional formalmente implementados conforme a reorganización institucional.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25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2029A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p>
      <w:pPr>
        <w:pStyle w:val="Heading1"/>
        <w:spacing w:after="120" w:before="400"/>
      </w:pPr>
      <w:r>
        <w:rPr>
          <w:b/>
          <w:bCs/>
          <w:sz w:val="28"/>
          <w:szCs w:val="28"/>
        </w:rPr>
        <w:t xml:space="preserve">Proyecto: M3-P3 · Alianzas estratégicas y cooperación nacional e internacional para la sostenibilidad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>SONIA VARGAS SABOGAL</w:t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$ 248.000.000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Bdr>
          <w:bottom w:val="single" w:color="CCCCCC" w:sz="1"/>
        </w:pBdr>
        <w:spacing w:after="200" w:before="200"/>
      </w:pPr>
    </w:p>
    <w:p>
      <w:pPr>
        <w:pStyle w:val="Heading2"/>
        <w:spacing w:after="100" w:before="300"/>
      </w:pPr>
      <w:r>
        <w:rPr>
          <w:b/>
          <w:bCs/>
          <w:color w:val="4B0082"/>
          <w:sz w:val="24"/>
          <w:szCs w:val="24"/>
        </w:rPr>
        <w:t xml:space="preserve">Acción: M3-P3-A1 · Fortalecer la visibilidad y el posicionamiento institucional en materia de sostenibilidad a través de la participación activa en redes y ranking internacionales, en coherencia con los ODS.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Presupuesto asignado: </w:t>
      </w:r>
      <w:r>
        <w:t xml:space="preserve">$ 248.000.000</w:t>
      </w:r>
    </w:p>
    <w:p>
      <w:pPr>
        <w:spacing w:after="40" w:before="80"/>
      </w:pPr>
      <w:r>
        <w:rPr>
          <w:b/>
          <w:bCs/>
        </w:rPr>
        <w:t xml:space="preserve">Presupuesto ejecutado: </w:t>
      </w:r>
      <w:r>
        <w:t xml:space="preserve">$ 0</w:t>
      </w:r>
    </w:p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M3-P3-A1-I1 · Número de unidades académicas que desarrollan actividades que aportan de forma explícita a los Objetivos de Desarrollo Sostenible (ODS).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70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70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M3-P3-A1-I2 · Informe institucional sobre avances en la contribución a los ODS y al cumplimiento de principios del Pacto Global.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M3-P3-A1-I3 · Informe de responsabilidad social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2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M3-P3-A1-I4 · Campaña institucional de posicionamiento como Universidad Verde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4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acumulado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2026B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2027B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2028B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6B21A8"/>
          <w:sz w:val="22"/>
          <w:szCs w:val="22"/>
        </w:rPr>
        <w:t xml:space="preserve">M3-P3-A1-I5 · Puntaje obtenido en el Ranking de Green Metric</w:t>
      </w:r>
    </w:p>
    <w:p>
      <w:pPr>
        <w:spacing w:after="40" w:before="80"/>
      </w:pPr>
      <w:r>
        <w:rPr>
          <w:b/>
          <w:bCs/>
        </w:rPr>
        <w:t xml:space="preserve">Responsable: </w:t>
      </w:r>
      <w:r>
        <w:t xml:space="preserve"/>
      </w:r>
    </w:p>
    <w:p>
      <w:pPr>
        <w:spacing w:after="40" w:before="80"/>
      </w:pPr>
      <w:r>
        <w:rPr>
          <w:b/>
          <w:bCs/>
        </w:rPr>
        <w:t xml:space="preserve">Avance actual: </w:t>
      </w:r>
      <w:r>
        <w:t xml:space="preserve">0%</w:t>
      </w:r>
    </w:p>
    <w:p>
      <w:pPr>
        <w:spacing w:after="40" w:before="80"/>
      </w:pPr>
      <w:r>
        <w:rPr>
          <w:b/>
          <w:bCs/>
        </w:rPr>
        <w:t xml:space="preserve">Meta final: </w:t>
      </w:r>
      <w:r>
        <w:t xml:space="preserve">8000</w:t>
      </w:r>
    </w:p>
    <w:p>
      <w:pPr>
        <w:spacing w:after="40" w:before="80"/>
      </w:pPr>
      <w:r>
        <w:rPr>
          <w:b/>
          <w:bCs/>
        </w:rPr>
        <w:t xml:space="preserve">Tipo de cálculo: </w:t>
      </w:r>
      <w:r>
        <w:t xml:space="preserve">ultimo_valor</w:t>
      </w:r>
    </w:p>
    <w:p>
      <w:pPr>
        <w:spacing w:after="60" w:before="100"/>
      </w:pPr>
      <w:r>
        <w:rPr>
          <w:b/>
          <w:bCs/>
        </w:rPr>
        <w:t xml:space="preserve">Periodos reportados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Periodo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Avance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Estado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Reportado por</w:t>
            </w:r>
          </w:p>
        </w:tc>
        <w:tc>
          <w:tcPr>
            <w:tcW w:type="pct" w:w="16%"/>
          </w:tcPr>
          <w:p>
            <w:r>
              <w:rPr>
                <w:b/>
                <w:bCs/>
                <w:sz w:val="18"/>
                <w:szCs w:val="18"/>
              </w:rPr>
              <w:t xml:space="preserve">Fecha envío</w:t>
            </w:r>
          </w:p>
        </w:tc>
      </w:tr>
      <w:tr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2029B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8000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Borrador</w:t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%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pBdr>
          <w:bottom w:val="single" w:color="CCCCCC" w:sz="1"/>
        </w:pBdr>
        <w:spacing w:after="200" w:before="200"/>
      </w:pP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9791700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97917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9791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1ceb40d542c283afef0f5063cf89c3c037c1b6d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bdf134b08d48d1842756de9f6834843233ced70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2026-05-28T22:30:36.860Z</dcterms:created>
  <dcterms:modified xsi:type="dcterms:W3CDTF">2026-05-28T22:30:36.860Z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