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drawing>
          <wp:inline distT="0" distB="0" distL="0" distR="0">
            <wp:extent cx="7562850" cy="979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979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0" w:footer="708" w:gutter="0"/>
          <w:pgNumType/>
          <w:docGrid w:linePitch="360"/>
        </w:sectPr>
      </w:pPr>
    </w:p>
    <w:p>
      <w:pPr>
        <w:pStyle w:val="Title"/>
        <w:spacing w:after="300" w:before="0"/>
        <w:jc w:val="center"/>
      </w:pPr>
      <w:r>
        <w:rPr>
          <w:b/>
          <w:bCs/>
          <w:sz w:val="36"/>
          <w:szCs w:val="36"/>
        </w:rPr>
        <w:t xml:space="preserve">Informe de Avance — Proyecto PDI</w:t>
      </w:r>
    </w:p>
    <w:p>
      <w:pPr>
        <w:spacing w:after="100" w:before="0"/>
        <w:jc w:val="center"/>
      </w:pPr>
      <w:r>
        <w:rPr>
          <w:b/>
          <w:bCs/>
          <w:color w:val="7C3AED"/>
        </w:rPr>
        <w:t xml:space="preserve">Todos los cortes</w:t>
      </w:r>
    </w:p>
    <w:p>
      <w:pPr>
        <w:spacing w:after="600" w:before="0"/>
        <w:jc w:val="center"/>
      </w:pPr>
      <w:r>
        <w:rPr>
          <w:color w:val="6B7280"/>
        </w:rPr>
        <w:t xml:space="preserve">Generado el 28/5/2026</w:t>
      </w: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M3-P2 · Autorregulación y reorganización institucional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EDNA CATHERINE BELTRAN TOVAR</w:t>
      </w:r>
    </w:p>
    <w:p>
      <w:pPr>
        <w:spacing w:after="40" w:before="80"/>
      </w:pPr>
      <w:r>
        <w:rPr>
          <w:b/>
          <w:bCs/>
        </w:rPr>
        <w:t xml:space="preserve">Formulador: </w:t>
      </w:r>
      <w:r>
        <w:t xml:space="preserve">VALENTINA SAENZ GUTIERREZ</w:t>
      </w:r>
    </w:p>
    <w:p>
      <w:pPr>
        <w:spacing w:after="40" w:before="80"/>
      </w:pPr>
      <w:r>
        <w:rPr>
          <w:b/>
          <w:bCs/>
        </w:rPr>
        <w:t xml:space="preserve">Avance del proyecto: </w:t>
      </w:r>
      <w:r>
        <w:t xml:space="preserve">1%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Fecha inicio: </w:t>
      </w:r>
      <w:r>
        <w:t xml:space="preserve">—</w:t>
      </w:r>
    </w:p>
    <w:p>
      <w:pPr>
        <w:spacing w:after="40" w:before="80"/>
      </w:pPr>
      <w:r>
        <w:rPr>
          <w:b/>
          <w:bCs/>
        </w:rPr>
        <w:t xml:space="preserve">Fecha fin: </w:t>
      </w:r>
      <w:r>
        <w:t xml:space="preserve">—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M3-P2-A1 · Con base en la nueva estructura organizacional, actualizar y alinear el marco normativo institucional, procesos y funciones con el modelo de la Universidad Necesaria, asegurando su coherencia jurídica, operativa y académica.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1%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M3-P2-A1-I1 · Porcentaje de procesos institucionales nuevos o actualizados, alineados con la reorganización institucional y formalmente implementados.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2.5%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80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2026A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8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2027A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30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2028A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2028B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2029A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2029B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M3-P2-A1-I2 · Porcentaje de ajustes o creación de la normatividad institucional formalmente implementados conforme a reorganización institucional.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80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2026A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8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2027A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25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2028A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2028B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25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2029A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2029B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979170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97917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9791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1ceb40d542c283afef0f5063cf89c3c037c1b6d8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bdf134b08d48d1842756de9f6834843233ced70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2026-05-28T22:39:23.016Z</dcterms:created>
  <dcterms:modified xsi:type="dcterms:W3CDTF">2026-05-28T22:39:23.016Z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