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7562850" cy="979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9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708" w:gutter="0"/>
          <w:pgNumType/>
          <w:docGrid w:linePitch="360"/>
        </w:sectPr>
      </w:pPr>
    </w:p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Macroproyecto PDI</w:t>
      </w:r>
    </w:p>
    <w:p>
      <w:pPr>
        <w:spacing w:after="100" w:before="0"/>
        <w:jc w:val="center"/>
      </w:pPr>
      <w:r>
        <w:rPr>
          <w:b/>
          <w:bCs/>
          <w:color w:val="7C3AED"/>
        </w:rPr>
        <w:t xml:space="preserve">Todos los cortes</w:t>
      </w:r>
    </w:p>
    <w:p>
      <w:pPr>
        <w:spacing w:after="600" w:before="0"/>
        <w:jc w:val="center"/>
      </w:pPr>
      <w:r>
        <w:rPr>
          <w:color w:val="6B7280"/>
        </w:rPr>
        <w:t xml:space="preserve">Generado el 26/5/2026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M3 · Universidad Sostenible</w:t>
      </w:r>
    </w:p>
    <w:p>
      <w:pPr>
        <w:spacing w:after="40" w:before="80"/>
      </w:pPr>
      <w:r>
        <w:rPr>
          <w:b/>
          <w:bCs/>
        </w:rPr>
        <w:t xml:space="preserve">Líder: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 del macroproyecto: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$ 315.000.000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M3-P1 · Responsabilidad, optimización  y viabilidad financiera a largo plazo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M3-P1-A1 · Implementar el modelo de costos de las funciones misionales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M3-P1-A1-I1 · Modelo de costos de las funciones misionales diseñado, validado e implementado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M3-P1-A2-I2 · Margen neto promedio de las funciones misionales. (Excedente Neto/Ingresos Totales)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M3-P1-A2 · Implementar mecanismos de regulación en las unidades de Proyección Social acorde a su grado de autonomía establecido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M3-P1-A2-I1 · Margen bruto promedio de los proyectos de desarrollo y educación continua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M3-P1-A3 · Establecer las estrategias para la consecución de nuevas fuentes de financiación acorde con las funciones misionales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M3-P1-A3-I1 · Crecimiento en ingresos por nuevas fuentes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M3-P1-A4 · Desarrollar e implementar el modelo para la optimización de recursos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M3-P1-A4-I1 · % de reducción de gastos operativos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M3-P2 · Autorregulación y reorganización institucional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EDNA CATHERINE BELTRAN TOVAR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M3-P2-A1 · Con base en la nueva estructura organizacional, actualizar y alinear el marco normativo institucional, procesos y funciones con el modelo de la Universidad Necesaria, asegurando su coherencia jurídica, operativa y académica.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M3-P2-A1-I1 · Porcentaje de procesos institucionales nuevos o actualizados, alineados con la reorganización institucional y formalmente implementados.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2.5%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M3-P2-A1-I2 · Porcentaje de ajustes o creación de la normatividad institucional formalmente implementados conforme a reorganización institucional.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M3-P3 · Alianzas estratégicas y cooperación nacional e internacional para la sostenibilidad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$ 248.000.000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M3-P3-A1 · Fortalecer la visibilidad y el posicionamiento institucional en materia de sostenibilidad a través de la participación activa en redes y ranking internacionales, en coherencia con los ODS.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$ 248.000.000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M3-P3-A1-I1 · Número de unidades académicas que desarrollan actividades que aportan de forma explícita a los Objetivos de Desarrollo Sostenible (ODS).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70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M3-P3-A1-I2 · Informe institucional sobre avances en la contribución a los ODS y al cumplimiento de principios del Pacto Global.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M3-P3-A1-I3 · Informe de responsabilidad social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M3-P3-A1-I4 · Campaña institucional de posicionamiento como Universidad Verde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M3-P3-A1-I5 · Puntaje obtenido en el Ranking de Green Metric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8000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97917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97917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979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1ceb40d542c283afef0f5063cf89c3c037c1b6d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df134b08d48d1842756de9f6834843233ced7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2026-05-26T19:06:00.136Z</dcterms:created>
  <dcterms:modified xsi:type="dcterms:W3CDTF">2026-05-26T19:06:00.136Z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