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Evidencias</w:t>
      </w:r>
    </w:p>
    <w:p>
      <w:r>
        <w:t xml:space="preserve">Indicador: M4-P1-AE1-IND2 · Porcentaje de integrantes de la comunidad universitaria que participan actividades institucionales de bienestar, convivencia o desarrollo humano</w:t>
      </w:r>
    </w:p>
    <w:p>
      <w:r>
        <w:t xml:space="preserve">Periodo: 2026B</w:t>
      </w:r>
    </w:p>
    <w:p>
      <w:r>
        <w:t xml:space="preserve">Responsable: guillermo.gonzalez@unibague.edu.co</w:t>
      </w:r>
    </w:p>
    <w:p>
      <w:r>
        <w:t xml:space="preserve">Fecha de envío: 22/4/2026</w:t>
      </w:r>
    </w:p>
    <w:p>
      <w:pPr>
        <w:spacing w:after="80" w:before="220"/>
      </w:pPr>
      <w:r>
        <w:rPr>
          <w:b/>
          <w:bCs/>
        </w:rPr>
        <w:t xml:space="preserve">1 evidencia</w:t>
      </w:r>
    </w:p>
    <w:p>
      <w:r>
        <w:t xml:space="preserve">supeer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2026-04-22T15:17:58.052Z</dcterms:created>
  <dcterms:modified xsi:type="dcterms:W3CDTF">2026-04-22T15:17:58.052Z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