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M3-P2-A1-I1 · Porcentaje de procesos institucionales nuevos o actualizados, alineados con la reorganización institucional y formalmente implementados.</w:t>
      </w:r>
    </w:p>
    <w:p>
      <w:r>
        <w:t xml:space="preserve">Periodo: 2026A</w:t>
      </w:r>
    </w:p>
    <w:p>
      <w:r>
        <w:t xml:space="preserve">Responsable: catherine.beltran@unibague.edu.co</w:t>
      </w:r>
    </w:p>
    <w:p>
      <w:r>
        <w:t xml:space="preserve">Fecha de envío: 12/5/2026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adsda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adsda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adsda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adsda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2026-05-12T23:38:41.524Z</dcterms:created>
  <dcterms:modified xsi:type="dcterms:W3CDTF">2026-05-12T23:38:41.524Z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