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Реализация процесса передачи токенами на бирже в сотрудничестве с ООО АктБарс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qwerty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Гаврилов Никита Александарович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/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