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12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2023-12-14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Арендодатель сдает арендатору квартиру, находящуюся по адресу ул. Галиаскара Камала 54 кв. 17. Квартира однокомнатная, в ней имеется 1 жилая комната, кухня, ванная, туалет, гардеробная, балкон. Арендатор обязуется вносить ежемесячную оплату в размере 18 000 рублей, оплата на коммунальные услуги так-же вносится арендатором и варьируется в зависимости от месяца. Арендодатель обязуется не повышать ежемесячную оплату в течении первого года аренды жилья. Данный контракт будет заверен электронной цифровой подписью арендатора и арендодателя. 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-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>Лузиев Мансур Харисович</w:t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0x144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