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okTitlePage"/>
        <w:spacing w:before="3400"/>
      </w:pPr>
      <w:r>
        <w:t>The Shadowtail Kangaroo</w:t>
      </w:r>
    </w:p>
    <w:p>
      <w:pPr>
        <w:pStyle w:val="BookTitleSubtitle"/>
      </w:pPr>
      <w:r>
        <w:t>A Corpus Thesis</w:t>
      </w:r>
    </w:p>
    <w:p>
      <w:pPr>
        <w:pStyle w:val="BookTitleMeta"/>
        <w:spacing w:before="3000"/>
      </w:pPr>
      <w:r>
        <w:t>Garmoska</w:t>
      </w:r>
    </w:p>
    <w:p>
      <w:pPr>
        <w:pStyle w:val="BookTitleMeta"/>
        <w:jc w:val="center"/>
      </w:pPr>
      <w:r>
        <w:t>23 October 2026</w:t>
      </w:r>
    </w:p>
    <w:p>
      <w:r>
        <w:br w:type="page"/>
      </w:r>
    </w:p>
    <w:p>
      <w:pPr>
        <w:pStyle w:val="BookFrontTitle"/>
      </w:pPr>
      <w:r>
        <w:t>Declaration</w:t>
      </w:r>
    </w:p>
    <w:p>
      <w:pPr/>
      <w:r>
        <w:t>I declare that this book is my own work, that every quotation is reproduced verbatim from the source named beside it, and that all other sources are acknowledged in the references.</w:t>
      </w:r>
    </w:p>
    <w:p>
      <w:r>
        <w:br w:type="page"/>
      </w:r>
    </w:p>
    <w:p>
      <w:pPr>
        <w:pStyle w:val="BookFrontTitle"/>
      </w:pPr>
      <w:r>
        <w:t>Abstract</w:t>
      </w:r>
    </w:p>
    <w:p>
      <w:pPr/>
      <w:r>
        <w:t>This book brings together thirty documents on the kangaroos of the Umbral Highlands and the Verrin Saltmarsh Lowlands—field notes, journal articles, government reports, and ethnographic studies—into a single account of their ecology, behaviour, and place in the landscape. The opening chapters describe the basics of kangaroo ecology: how the highland animals are classified, how their troupes are organised, how they use scree, seep margins, and sheltered benches across the year, and how lowland troupes shape the saltmarsh through grazing, wallowing, and seed dispersal. They then map the places the animals live, from the contracting basalt scree above 2,000 m and the fire-shaped foothill grasslands to the treeline ecotone and the fenced lowland marshes. Throughout, the book preserves the disagreements in the sources, including competing scientific names and conflicting accounts of juvenile diet, and distinguishes what the documents claim from what they prove.</w:t>
      </w:r>
    </w:p>
    <w:p>
      <w:pPr/>
      <w:r>
        <w:rPr>
          <w:b/>
        </w:rPr>
        <w:t xml:space="preserve">Key words: </w:t>
      </w:r>
      <w:r>
        <w:t>kangaroo ecology; Umbral Highlands; basalt scree; saltmarsh; habitat fragmentation; Macropus</w:t>
      </w:r>
    </w:p>
    <w:p>
      <w:r>
        <w:br w:type="page"/>
      </w:r>
    </w:p>
    <w:p>
      <w:pPr>
        <w:pStyle w:val="BookFrontTitle"/>
      </w:pPr>
      <w:r>
        <w:t>Anotace</w:t>
      </w:r>
    </w:p>
    <w:p>
      <w:pPr/>
      <w:r>
        <w:t>Tato kniha spojuje třicet dokumentů o klokanech Umbral Highlands a slanisek Verrin Saltmarsh Lowlands – terénní poznámky, odborné články, vládní zprávy a etnografické studie – do jednoho výkladu jejich ekologie, chování a místa v krajině. První kapitoly představují základy ekologie klokanů: jak jsou horští jedinci klasifikováni, jak jsou organizovány jejich tlupy, jak během roku využívají suť, pramenné okraje a chráněné terasy a jak nížinné tlupy utvářejí slanisko pastvou, válením v bahně a šířením semen. Poté mapují místa, kde klokani žijí – od zmenšující se čedičové sutě nad 2000 m a požárem formovaných podhorských travních porostů po ekoton horní hranice lesa a oplocené nížinné bažiny. Kniha zachovává rozpory mezi prameny, včetně konkurenčních vědeckých názvů a protichůdných údajů o potravě mláďat, a rozlišuje mezi tvrzeními dokumentů a tím, co skutečně dokazují.</w:t>
      </w:r>
    </w:p>
    <w:p>
      <w:pPr/>
      <w:r>
        <w:rPr>
          <w:b/>
        </w:rPr>
        <w:t xml:space="preserve">Klíčová slova: </w:t>
      </w:r>
      <w:r>
        <w:t>ekologie klokanů; Umbral Highlands; čedičová suť; slanisko; fragmentace biotopů; Macropus</w:t>
      </w:r>
    </w:p>
    <w:p>
      <w:r>
        <w:br w:type="page"/>
      </w:r>
    </w:p>
    <w:p>
      <w:pPr>
        <w:pStyle w:val="BookFrontTitle"/>
      </w:pPr>
      <w:r>
        <w:t>Contents</w:t>
      </w:r>
    </w:p>
    <w:p>
      <w:pPr/>
      <w:r>
        <w:fldChar w:fldCharType="begin"/>
        <w:instrText xml:space="preserve"> TOC \o "1-2" \h \z \u </w:instrText>
        <w:fldChar w:fldCharType="separate"/>
        <w:t>Right-click and choose Update Field to build the contents.</w:t>
        <w:fldChar w:fldCharType="end"/>
      </w:r>
    </w:p>
    <w:p>
      <w:pPr>
        <w:sectPr>
          <w:pgSz w:w="11906" w:h="16838"/>
          <w:pgMar w:top="1417" w:right="1417" w:bottom="1417" w:left="1984" w:header="709" w:footer="709" w:gutter="0"/>
          <w:cols w:space="720"/>
          <w:docGrid w:linePitch="360"/>
        </w:sectPr>
      </w:pPr>
    </w:p>
    <w:p>
      <w:pPr>
        <w:pStyle w:val="Heading1"/>
      </w:pPr>
      <w:r>
        <w:t>1  Kangaroo Ecology: The Basics</w:t>
      </w:r>
    </w:p>
    <w:p>
      <w:pPr/>
      <w:r>
        <w:t>The Umbral Highlands are not home to a single, simple kangaroo. They hold a set of named forms whose relationships are still argued over in the literature, and whose daily lives are organised around rock, mist, and the shifting green of the high country. To describe their ecology is first to ask what kind of animal is being described. The corpus answers that question in several voices, and the disagreement is part of the material.</w:t>
      </w:r>
    </w:p>
    <w:p>
      <w:pPr/>
      <w:r>
        <w:t xml:space="preserve">This chapter sets out the basics: how the animals are classified, how they group themselves, when they are active, how they move across the year, and what role they play in the places they occupy. It draws on a field notebook from the northern basalt escarpment </w:t>
      </w:r>
      <w:r>
        <w:t>(Voss, 2018)</w:t>
      </w:r>
      <w:r>
        <w:t xml:space="preserve">, a study of the saltmarsh lowlands </w:t>
      </w:r>
      <w:r>
        <w:t>(Marchetti and Voss, 2020)</w:t>
      </w:r>
      <w:r>
        <w:t xml:space="preserve">, and two taxonomic reassessments </w:t>
      </w:r>
      <w:r>
        <w:t>(Adeyemi and Sato, 2022)</w:t>
      </w:r>
      <w:r>
        <w:t xml:space="preserve"> </w:t>
      </w:r>
      <w:r>
        <w:t>(Adeyemi and Sato, 2021)</w:t>
      </w:r>
      <w:r>
        <w:t>. Later chapters take up diet, behaviour, movement, physiology, predators, folklore, and conservation in turn.</w:t>
      </w:r>
    </w:p>
    <w:p>
      <w:pPr>
        <w:pStyle w:val="Heading2"/>
      </w:pPr>
      <w:r>
        <w:t>1.1  Naming the Animal</w:t>
      </w:r>
    </w:p>
    <w:p>
      <w:pPr/>
      <w:r>
        <w:t xml:space="preserve">The field notebook from Corrin Saddle is confident about what it is watching: the Shadowtail Kangaroo, which it calls </w:t>
      </w:r>
      <w:r>
        <w:rPr>
          <w:i/>
        </w:rPr>
        <w:t>M. umbracauda</w:t>
      </w:r>
      <w:r>
        <w:t xml:space="preserve"> </w:t>
      </w:r>
      <w:r>
        <w:t>(Voss, 2018)</w:t>
      </w:r>
      <w:r>
        <w:t xml:space="preserve">. The phylogenetic reassessment reaches a different name for what appears to be the same highland animal, </w:t>
      </w:r>
      <w:r>
        <w:rPr>
          <w:i/>
        </w:rPr>
        <w:t>Umbracauda nocturna</w:t>
      </w:r>
      <w:r>
        <w:t xml:space="preserve">, and argues that the dark and pale forms long treated as separate species are colour morphs of one </w:t>
      </w:r>
      <w:r>
        <w:t>(Adeyemi and Sato, 2022)</w:t>
      </w:r>
      <w:r>
        <w:t>. The evidence it offers is genetic as well as morphological.</w:t>
      </w:r>
    </w:p>
    <w:p>
      <w:pPr>
        <w:pStyle w:val="BookQuote"/>
      </w:pPr>
      <w:r>
        <w:t>Dark and pale phenotypes share the most common haplotype, show no reciprocal monophyly, and differ by at most 0.7% at cytochrome b.</w:t>
      </w:r>
    </w:p>
    <w:p>
      <w:pPr>
        <w:pStyle w:val="BookProvenance"/>
      </w:pPr>
      <w:r>
        <w:t>doc17 · Adeyemi and Sato (2022) · A Phylogenetic Reassessment of the Umbracauda Group (DOCX, 748 words)</w:t>
      </w:r>
    </w:p>
    <w:p>
      <w:pPr/>
      <w:r>
        <w:t>The paper’s conclusion is categorical:</w:t>
      </w:r>
    </w:p>
    <w:p>
      <w:pPr>
        <w:pStyle w:val="BookQuote"/>
      </w:pPr>
      <w:r>
        <w:t>The Umbracauda group is therefore monotypic at the species level.</w:t>
      </w:r>
    </w:p>
    <w:p>
      <w:pPr>
        <w:pStyle w:val="BookProvenance"/>
      </w:pPr>
      <w:r>
        <w:t>doc17 · Adeyemi and Sato (2022) · A Phylogenetic Reassessment of the Umbracauda Group (DOCX, 748 words)</w:t>
      </w:r>
    </w:p>
    <w:p>
      <w:pPr/>
      <w:r>
        <w:t xml:space="preserve">A second reassessment concerns a different animal, the Mistbound Kangaroo of the Mistbound Plateau, and reaches the opposite kind of conclusion: it argues for splitting, not lumping. Where </w:t>
      </w:r>
      <w:r>
        <w:rPr>
          <w:i/>
        </w:rPr>
        <w:t>M. nebulosus</w:t>
      </w:r>
      <w:r>
        <w:t xml:space="preserve"> has been treated as a subspecies of the Crescent Kangaroo since 1987, the authors find consistent differences in body mass, skull shape, and contact calls, and no evidence of interbreeding at the contact zone </w:t>
      </w:r>
      <w:r>
        <w:t>(Adeyemi and Sato, 2021)</w:t>
      </w:r>
      <w:r>
        <w:t>. Their recommendation is explicit:</w:t>
      </w:r>
    </w:p>
    <w:p>
      <w:pPr>
        <w:pStyle w:val="BookQuote"/>
      </w:pPr>
      <w:r>
        <w:t>I recommend raising nebulosus to species rank, with the type locality restricted to the upper Wrenfall Valley.</w:t>
      </w:r>
    </w:p>
    <w:p>
      <w:pPr>
        <w:pStyle w:val="BookProvenance"/>
      </w:pPr>
      <w:r>
        <w:t>doc29 · Adeyemi and Sato (2021) · On the Status of Macropus nebulosus (DOCX, 656 words)</w:t>
      </w:r>
    </w:p>
    <w:p>
      <w:pPr/>
      <w:r>
        <w:t>Read together, the two papers show taxonomy as a working argument rather than a fixed list. One reduces two names to one species; the other raises one subspecies to a species. Neither result is presented as a final verdict, and the corpus does not reconcile the names used by the field notebook with those used by the phylogenetic study. This book therefore keeps the names each source uses and attributes them, rather than choosing a single label for the whole animal.</w:t>
      </w:r>
    </w:p>
    <w:p>
      <w:pPr>
        <w:pStyle w:val="Heading2"/>
      </w:pPr>
      <w:r>
        <w:t>1.2  Troupes and Daily Rhythms</w:t>
      </w:r>
    </w:p>
    <w:p>
      <w:pPr/>
      <w:r>
        <w:t xml:space="preserve">What the animals do is clearer than what they should be called. On the basalt escarpment above Corrin Saddle, the field notebook describes social life as loose and fluid rather than tightly organised. Groups shift in composition from day to day, and the observer found no stable harem or consistent adult sex ratio </w:t>
      </w:r>
      <w:r>
        <w:t>(Voss, 2018)</w:t>
      </w:r>
      <w:r>
        <w:t>.</w:t>
      </w:r>
    </w:p>
    <w:p>
      <w:pPr>
        <w:pStyle w:val="BookQuote"/>
      </w:pPr>
      <w:r>
        <w:t>Group structure is best described as loose troupes of 4–7 animals.</w:t>
      </w:r>
    </w:p>
    <w:p>
      <w:pPr>
        <w:pStyle w:val="BookProvenance"/>
      </w:pPr>
      <w:r>
        <w:t>doc01 · Voss (2018) · Field Notes on the Shadowtail Kangaroo of the Umbral Highlands (DOCX, 634 words)</w:t>
      </w:r>
    </w:p>
    <w:p>
      <w:pPr/>
      <w:r>
        <w:t xml:space="preserve">Across 23 sightings between 2016 and 2019, mean troupe size was 5.4 animals, with individuals spaced 12–40 m apart while foraging. Cohesion is maintained by low postural signals rather than close following, and disturbed troupes fragment into two or three subgroups before reassembling within 20–35 minutes. Juveniles stay within about 8 m of an adult female but are not physically guarded </w:t>
      </w:r>
      <w:r>
        <w:t>(Voss, 2018)</w:t>
      </w:r>
      <w:r>
        <w:t>.</w:t>
      </w:r>
    </w:p>
    <w:p>
      <w:pPr/>
      <w:r>
        <w:t>The daily cycle is sharply divided. The animals are crepuscular, with movement peaks at first light and again before dusk, and a long midday rest in shaded scree crevices.</w:t>
      </w:r>
    </w:p>
    <w:p>
      <w:pPr>
        <w:pStyle w:val="BookQuote"/>
      </w:pPr>
      <w:r>
        <w:t>The activity cycle is crepuscular.</w:t>
      </w:r>
    </w:p>
    <w:p>
      <w:pPr>
        <w:pStyle w:val="BookProvenance"/>
      </w:pPr>
      <w:r>
        <w:t>doc01 · Voss (2018) · Field Notes on the Shadowtail Kangaroo of the Umbral Highlands (DOCX, 634 words)</w:t>
      </w:r>
    </w:p>
    <w:p>
      <w:pPr/>
      <w:r>
        <w:t xml:space="preserve">Camera traps recorded only about 7% of detections at night, concentrated on moonlit nights. Morning feeding bouts averaged 42 minutes; evening bouts ran longer, at 55–70 minutes, before the animals moved to bedding sites. Ambient temperature at first emergence ranged from 6.8–9.4 °C in May to 11.2–14.0 °C in November </w:t>
      </w:r>
      <w:r>
        <w:t>(Voss, 2018)</w:t>
      </w:r>
      <w:r>
        <w:t>. The pattern is not merely a preference for cool hours. It is a way of using a hot, exposed landscape while avoiding the worst of its midday heat.</w:t>
      </w:r>
    </w:p>
    <w:p>
      <w:pPr>
        <w:pStyle w:val="Heading2"/>
      </w:pPr>
      <w:r>
        <w:t>1.3  A Seasonal Mosaic</w:t>
      </w:r>
    </w:p>
    <w:p>
      <w:pPr/>
      <w:r>
        <w:t>The highland population does not make a simple downslope migration. Its range use follows moisture and shelter, and the direction of movement changes with the season and the aspect of the slope.</w:t>
      </w:r>
    </w:p>
    <w:p>
      <w:pPr>
        <w:pStyle w:val="BookQuote"/>
      </w:pPr>
      <w:r>
        <w:t>Seasonal range shifts follow moisture and shelter rather than a simple downslope migration.</w:t>
      </w:r>
    </w:p>
    <w:p>
      <w:pPr>
        <w:pStyle w:val="BookProvenance"/>
      </w:pPr>
      <w:r>
        <w:t>doc01 · Voss (2018) · Field Notes on the Shadowtail Kangaroo of the Umbral Highlands (DOCX, 634 words)</w:t>
      </w:r>
    </w:p>
    <w:p>
      <w:pPr/>
      <w:r>
        <w:t xml:space="preserve">In the dry season, sightings concentrate at 1950–2100 m near seep lines and deep crevices, where forage retains more water. In the cool wet season, animals move to sheltered benches at 1760–1840 m, with occasional excursions lower during cold spells. GPS fixes from three collared adults moved from a mean altitude of 2040 m in February to 1810 m in July, a shift of about 230 m. Aspect use changes too: south-facing scree dominates in summer, while east-facing benches are used more in winter </w:t>
      </w:r>
      <w:r>
        <w:t>(Voss, 2018)</w:t>
      </w:r>
      <w:r>
        <w:t>.</w:t>
      </w:r>
    </w:p>
    <w:p>
      <w:pPr/>
      <w:r>
        <w:t>The lower boundary of this range is abrupt. At about 1785 m, where scree gives way to continuous grassland, sign drops to near zero.</w:t>
      </w:r>
    </w:p>
    <w:p>
      <w:pPr>
        <w:pStyle w:val="BookQuote"/>
      </w:pPr>
      <w:r>
        <w:t>The lower boundary is abrupt: at 1785 m, where scree gives way to continuous grassland, sign drops to near zero.</w:t>
      </w:r>
    </w:p>
    <w:p>
      <w:pPr>
        <w:pStyle w:val="BookProvenance"/>
      </w:pPr>
      <w:r>
        <w:t>doc01 · Voss (2018) · Field Notes on the Shadowtail Kangaroo of the Umbral Highlands (DOCX, 634 words)</w:t>
      </w:r>
    </w:p>
    <w:p>
      <w:pPr/>
      <w:r>
        <w:t xml:space="preserve">The observer interprets this as a dependence on interstitial spaces between basalt plates for resting and escape, with open grassland used only for short crossings </w:t>
      </w:r>
      <w:r>
        <w:t>(Voss, 2018)</w:t>
      </w:r>
      <w:r>
        <w:t>. That reading makes the highland kangaroo a specialist of a particular physical structure, not simply of a particular altitude. It also explains why the animal’s range can be mapped as a shifting mosaic of seep margins, winter benches, and scree above 1800 m rather than as a single elevation band.</w:t>
      </w:r>
    </w:p>
    <w:p>
      <w:pPr>
        <w:pStyle w:val="Heading2"/>
      </w:pPr>
      <w:r>
        <w:t>1.4  Kangaroos as Ecological Agents</w:t>
      </w:r>
    </w:p>
    <w:p>
      <w:pPr/>
      <w:r>
        <w:t xml:space="preserve">The lowland counterpart tells a different ecological story. In the Verrin Saltmarsh Lowlands, nine to fourteen overwintering troupes of Crescent Kangaroo descend from the dry uplands each November and remain until March </w:t>
      </w:r>
      <w:r>
        <w:t>(Marchetti and Voss, 2020)</w:t>
      </w:r>
      <w:r>
        <w:t>. They graze the sedge meadows, wallow in intertidal mud, and move seeds across the marsh. The study argues that these animals are not passive residents of the lowland but active participants in its disturbance regime.</w:t>
      </w:r>
    </w:p>
    <w:p>
      <w:pPr>
        <w:pStyle w:val="BookQuote"/>
      </w:pPr>
      <w:r>
        <w:t>We argue that overwintering troupes are ecological agents within the lowland disturbance regime, not merely resident herbivores, and that creek straightening and reduced tidal exchange threaten both the sedge mosaic and the wallows.</w:t>
      </w:r>
    </w:p>
    <w:p>
      <w:pPr>
        <w:pStyle w:val="BookProvenance"/>
      </w:pPr>
      <w:r>
        <w:t>doc13 · Marchetti and Voss (2020) · Saltmarsh Lowland Ecology and the Crescent Kangaroo (DOCX, 738 words)</w:t>
      </w:r>
    </w:p>
    <w:p>
      <w:pPr/>
      <w:r>
        <w:t>The mechanism is partly digestive. Feeding trials showed that a substantial fraction of sedge seeds survives passage through the gut and remains able to germinate.</w:t>
      </w:r>
    </w:p>
    <w:p>
      <w:pPr>
        <w:pStyle w:val="BookQuote"/>
      </w:pPr>
      <w:r>
        <w:t>Feeding trials show that 38% of ingested sedge seeds remain viable after gut passage, with retention times of 19–27 hours, allowing troupes to move propagules one to four kilometres.</w:t>
      </w:r>
    </w:p>
    <w:p>
      <w:pPr>
        <w:pStyle w:val="BookProvenance"/>
      </w:pPr>
      <w:r>
        <w:t>doc13 · Marchetti and Voss (2020) · Saltmarsh Lowland Ecology and the Crescent Kangaroo (DOCX, 738 words)</w:t>
      </w:r>
    </w:p>
    <w:p>
      <w:pPr/>
      <w:r>
        <w:t xml:space="preserve">The wallows matter as well. Repeated trampling homogenises surface sediment, creates depressions that trap seeds and organic matter, and aerates the upper mud at low tide. Wallow sediments retain more moisture and have lower bulk density than adjacent mud, and they support a distinct assemblage of halotolerant invertebrates </w:t>
      </w:r>
      <w:r>
        <w:t>(Marchetti and Voss, 2020)</w:t>
      </w:r>
      <w:r>
        <w:t>. The kangaroo is therefore both a grazer and a modifier of the habitat it uses. Its ecology cannot be written as the animal plus its food; it has to include the mud, the seeds, and the small animals that live in the wallows.</w:t>
      </w:r>
    </w:p>
    <w:p>
      <w:pPr>
        <w:pStyle w:val="Heading2"/>
      </w:pPr>
      <w:r>
        <w:t>1.5  What the Basics Establish</w:t>
      </w:r>
    </w:p>
    <w:p>
      <w:pPr/>
      <w:r>
        <w:t xml:space="preserve">Three points emerge from these sources. First, the animals are socially flexible: loose troupes, shifting membership, and spacing maintained by posture rather than hierarchy </w:t>
      </w:r>
      <w:r>
        <w:t>(Voss, 2018)</w:t>
      </w:r>
      <w:r>
        <w:t xml:space="preserve">. Second, their range use is driven by fine-grained conditions—seep lines, sheltered benches, scree structure, mist, and moisture—rather than by a single broad habitat category. Third, their ecological effect extends beyond grazing, through seed dispersal and the creation of wallow habitats </w:t>
      </w:r>
      <w:r>
        <w:t>(Marchetti and Voss, 2020)</w:t>
      </w:r>
      <w:r>
        <w:t>.</w:t>
      </w:r>
    </w:p>
    <w:p>
      <w:pPr/>
      <w:r>
        <w:t xml:space="preserve">The taxonomic disagreement is not a distraction from these points. It shapes how the animals are counted, protected, and compared. A population treated as one species with two colour morphs is a different conservation object from two species with separate ranges </w:t>
      </w:r>
      <w:r>
        <w:t>(Adeyemi and Sato, 2022)</w:t>
      </w:r>
      <w:r>
        <w:t xml:space="preserve">, and a subspecies raised to species rank changes the status of every local population </w:t>
      </w:r>
      <w:r>
        <w:t>(Adeyemi and Sato, 2021)</w:t>
      </w:r>
      <w:r>
        <w:t>. The next chapter turns from what the kangaroos are and how they live to the places themselves: the highland scree, the fire-shaped foothills, the treeline ecotone, and the saltmarsh lowlands.</w:t>
      </w:r>
    </w:p>
    <w:p>
      <w:pPr>
        <w:pStyle w:val="Heading1"/>
        <w:pageBreakBefore/>
      </w:pPr>
      <w:r>
        <w:t>2  The Places They Live</w:t>
      </w:r>
    </w:p>
    <w:p>
      <w:pPr/>
      <w:r>
        <w:t>The kangaroos of the Umbral country do not occupy one habitat. They occupy a series of edges: the upper limit of basalt scree, the boundary between grass and tussock, the narrow band where forest gives way to alpine shrub, and the shifting margin where fresh water meets tide. Each of these places is defined less by a fixed boundary than by a gradient, and each is being reshaped by forces that operate over decades. This chapter describes four of them.</w:t>
      </w:r>
    </w:p>
    <w:p>
      <w:pPr/>
      <w:r>
        <w:t xml:space="preserve">The sources do not use a single name for the animals in these landscapes. The habitat retrospective calls the highland animal </w:t>
      </w:r>
      <w:r>
        <w:rPr>
          <w:i/>
        </w:rPr>
        <w:t>Notamacropus penumbra</w:t>
      </w:r>
      <w:r>
        <w:t xml:space="preserve"> </w:t>
      </w:r>
      <w:r>
        <w:t>(Cortez et al., 2024)</w:t>
      </w:r>
      <w:r>
        <w:t xml:space="preserve">; the treeline study calls it </w:t>
      </w:r>
      <w:r>
        <w:rPr>
          <w:i/>
        </w:rPr>
        <w:t>Notamacropus umbrica</w:t>
      </w:r>
      <w:r>
        <w:t xml:space="preserve"> </w:t>
      </w:r>
      <w:r>
        <w:t>(Marchetti et al., 2023)</w:t>
      </w:r>
      <w:r>
        <w:t xml:space="preserve">; the lowland fencing study calls its population </w:t>
      </w:r>
      <w:r>
        <w:rPr>
          <w:i/>
        </w:rPr>
        <w:t>Palaeomacropus cinctus lowlandensis</w:t>
      </w:r>
      <w:r>
        <w:t xml:space="preserve"> </w:t>
      </w:r>
      <w:r>
        <w:t>(Marchetti and Fairweather, 2024)</w:t>
      </w:r>
      <w:r>
        <w:t xml:space="preserve">, where an earlier lowland study used </w:t>
      </w:r>
      <w:r>
        <w:rPr>
          <w:i/>
        </w:rPr>
        <w:t>Macropus lunatus</w:t>
      </w:r>
      <w:r>
        <w:t xml:space="preserve"> </w:t>
      </w:r>
      <w:r>
        <w:t>(Marchetti and Voss, 2020)</w:t>
      </w:r>
      <w:r>
        <w:t>. As in the previous chapter, the names are reported as the sources use them. What matters here is the geography: where the animals are, what the ground offers them, and what is changing.</w:t>
      </w:r>
    </w:p>
    <w:p>
      <w:pPr>
        <w:pStyle w:val="Heading2"/>
      </w:pPr>
      <w:r>
        <w:t>2.1  The Highland Scree Belt</w:t>
      </w:r>
    </w:p>
    <w:p>
      <w:pPr/>
      <w:r>
        <w:t xml:space="preserve">The basalt screes above 2,000 m in the Umbral Range were once mapped as a stable belt of open rock, frost-shattered debris, and sparse cushion vegetation. A forty-year retrospective combining satellite imagery with field surveys in 1998, 2012, and 2023 shows that the belt is contracting, fragmenting, and moving upslope </w:t>
      </w:r>
      <w:r>
        <w:t>(Cortez et al., 2024)</w:t>
      </w:r>
      <w:r>
        <w:t>. The headline numbers are stark.</w:t>
      </w:r>
    </w:p>
    <w:p>
      <w:pPr>
        <w:pStyle w:val="BookQuote"/>
      </w:pPr>
      <w:r>
        <w:t>Scree contracted by 31%, from 1,240 to 856 km², the mean lower boundary rose from 1,985 to 2,115 m, and the number of patches larger than 5 km² fell from 23 to 14.</w:t>
      </w:r>
    </w:p>
    <w:p>
      <w:pPr>
        <w:pStyle w:val="BookProvenance"/>
      </w:pPr>
      <w:r>
        <w:t>doc10 · Cortez et al. (2024) · Basalt Shrinkage: A 40-Year Habitat Retrospective (PDF, 676 words)</w:t>
      </w:r>
    </w:p>
    <w:p>
      <w:pPr/>
      <w:r>
        <w:t xml:space="preserve">The contraction is not only a loss of area. It is a loss of connectivity. Large scree patches are fewer, the lower margin is being colonised by mat-forming shrubs, and the remaining high ground is increasingly isolated by scrub-covered slopes and exposed ridgelines </w:t>
      </w:r>
      <w:r>
        <w:t>(Cortez et al., 2024)</w:t>
      </w:r>
      <w:r>
        <w:t xml:space="preserve">. For the Shadowtail Kangaroo, the consequences are already measurable. Occupancy of survey squares fell from 64% in 1998 to 47% in 2023, the mean altitude of scat records rose by 135 m, and the estimated adult population declined from about 3,600 to 2,450 </w:t>
      </w:r>
      <w:r>
        <w:t>(Cortez et al., 2024)</w:t>
      </w:r>
      <w:r>
        <w:t>.</w:t>
      </w:r>
    </w:p>
    <w:p>
      <w:pPr/>
      <w:r>
        <w:t>The animal’s dependence on the substrate explains why the loss bites so directly.</w:t>
      </w:r>
    </w:p>
    <w:p>
      <w:pPr>
        <w:pStyle w:val="BookQuote"/>
      </w:pPr>
      <w:r>
        <w:t>The species depends on basalt scree for thermal refuge, dust bathing, and access to sparse forage in shaded gullies.</w:t>
      </w:r>
    </w:p>
    <w:p>
      <w:pPr>
        <w:pStyle w:val="BookProvenance"/>
      </w:pPr>
      <w:r>
        <w:t>doc10 · Cortez et al. (2024) · Basalt Shrinkage: A 40-Year Habitat Retrospective (PDF, 676 words)</w:t>
      </w:r>
    </w:p>
    <w:p>
      <w:pPr/>
      <w:r>
        <w:t xml:space="preserve">Scree is not merely ground to stand on. It provides cool retreats during hot days, dust for grooming, and shaded pockets where forage persists. When the lower margin is colonised by shrubs, those functions do not simply move uphill intact; they become scarcer and more fragmented. The study is careful about the status of the population: it is not yet at imminent risk of regional extinction, but its range is being compressed into a narrower and more fragmented highland band </w:t>
      </w:r>
      <w:r>
        <w:t>(Cortez et al., 2024)</w:t>
      </w:r>
      <w:r>
        <w:t>.</w:t>
      </w:r>
    </w:p>
    <w:p>
      <w:pPr/>
      <w:r>
        <w:t>The proposed East Umbral corridor is the main management response. The route would link the Greywind Plateau population to the reserve through Kestrel Saddle, which still retains 62% of its 1984 scree cover. The authors argue that a corridor designed as a fixed strip would become a warm, open funnel rather than a functioning climate refuge. Their recommendation is a design principle rather than a line on a map.</w:t>
      </w:r>
    </w:p>
    <w:p>
      <w:pPr>
        <w:pStyle w:val="BookQuote"/>
      </w:pPr>
      <w:r>
        <w:t>We argue that corridor design should protect an elevational gradient rather than a fixed strip.</w:t>
      </w:r>
    </w:p>
    <w:p>
      <w:pPr>
        <w:pStyle w:val="BookProvenance"/>
      </w:pPr>
      <w:r>
        <w:t>doc10 · Cortez et al. (2024) · Basalt Shrinkage: A 40-Year Habitat Retrospective (PDF, 676 words)</w:t>
      </w:r>
    </w:p>
    <w:p>
      <w:pPr/>
      <w:r>
        <w:t>That principle—protect the gradient, not the boundary—recurs in the other habitats described below.</w:t>
      </w:r>
    </w:p>
    <w:p>
      <w:pPr>
        <w:pStyle w:val="Heading2"/>
      </w:pPr>
      <w:r>
        <w:t>2.2  Foothill Grasslands and Fire</w:t>
      </w:r>
    </w:p>
    <w:p>
      <w:pPr/>
      <w:r>
        <w:t xml:space="preserve">Below the scree, the foothills are a grass landscape shaped by fire. Historical records describe a regime of frequent, low-intensity surface fires in which small burns rarely exceeded 300 hectares. Between 1985 and 2020 that regime changed: fires became less frequent but much larger, and the grass layer changed with them </w:t>
      </w:r>
      <w:r>
        <w:t>(Dube and Cortez, 2021)</w:t>
      </w:r>
      <w:r>
        <w:t>.</w:t>
      </w:r>
    </w:p>
    <w:p>
      <w:pPr>
        <w:pStyle w:val="BookQuote"/>
      </w:pPr>
      <w:r>
        <w:t>Between 1985 and 2020, however, the median fire return interval lengthened from 7.4 to 18.1 years, while the proportion of burned area attributable to fires larger than 5,000 hectares rose from 19% to 63% (Osei &amp; Renn, 2021).</w:t>
      </w:r>
    </w:p>
    <w:p>
      <w:pPr>
        <w:pStyle w:val="BookProvenance"/>
      </w:pPr>
      <w:r>
        <w:t>doc18 · Dube and Cortez (2021) · Fire-Regime Shifts and Grass Composition (PDF, 744 words)</w:t>
      </w:r>
    </w:p>
    <w:p>
      <w:pPr/>
      <w:r>
        <w:t xml:space="preserve">The mechanism is a change in fire size, not simply in the amount of fuel consumed. Small fires maintained a fine-grained mosaic of short, palatable grasses and open inter-tussock spaces. Large fires consume extensive litter, expose mineral soil, and favour resprouting tussocks with deep belowground reserves. In the Umbral foothills, the beneficiaries have been the unpalatable tussocks </w:t>
      </w:r>
      <w:r>
        <w:rPr>
          <w:i/>
        </w:rPr>
        <w:t>Carex argyrophylla</w:t>
      </w:r>
      <w:r>
        <w:t xml:space="preserve"> and </w:t>
      </w:r>
      <w:r>
        <w:rPr>
          <w:i/>
        </w:rPr>
        <w:t>Poa spinulosa</w:t>
      </w:r>
      <w:r>
        <w:t xml:space="preserve">, which regenerate quickly after severe burning and then persist as dense, low-quality stands </w:t>
      </w:r>
      <w:r>
        <w:t>(Dube and Cortez, 2021)</w:t>
      </w:r>
      <w:r>
        <w:t>.</w:t>
      </w:r>
    </w:p>
    <w:p>
      <w:pPr/>
      <w:r>
        <w:t xml:space="preserve">The vegetation data show the shift clearly. Across 42 permanent plots, cover of the palatable short grass </w:t>
      </w:r>
      <w:r>
        <w:rPr>
          <w:i/>
        </w:rPr>
        <w:t>Poa umbrivagans</w:t>
      </w:r>
      <w:r>
        <w:t xml:space="preserve"> fell from 34% in 1991 to 17% in 2019, while combined cover of the two tussocks rose from 21% to 46% </w:t>
      </w:r>
      <w:r>
        <w:t>(Dube and Cortez, 2021)</w:t>
      </w:r>
      <w:r>
        <w:t>. The change is strongest on mid-slope benches and south-facing convexities, where large fires burned with particular uniformity. In those positions the grass layer remains continuous, but its functional composition has changed from a grazing lawn to a tussock-dominated sward.</w:t>
      </w:r>
    </w:p>
    <w:p>
      <w:pPr/>
      <w:r>
        <w:t xml:space="preserve">For the Crescent Kangaroo, this is a loss of winter forage. The species depends on the short green flush of </w:t>
      </w:r>
      <w:r>
        <w:rPr>
          <w:i/>
        </w:rPr>
        <w:t>P. umbrivagans</w:t>
      </w:r>
      <w:r>
        <w:t xml:space="preserve"> and on the winter chenopod </w:t>
      </w:r>
      <w:r>
        <w:rPr>
          <w:i/>
        </w:rPr>
        <w:t>Atriplex hiberna</w:t>
      </w:r>
      <w:r>
        <w:t xml:space="preserve">, patches that remain accessible when tussock stands are tall and fibrous. Dietary studies found that </w:t>
      </w:r>
      <w:r>
        <w:rPr>
          <w:i/>
        </w:rPr>
        <w:t>P. umbrivagans</w:t>
      </w:r>
      <w:r>
        <w:t xml:space="preserve"> contributed 46% of winter bite counts in unburned or recently small-burned sites, but only 18% in sites dominated by large-fire regrowth </w:t>
      </w:r>
      <w:r>
        <w:t>(Dube and Cortez, 2021)</w:t>
      </w:r>
      <w:r>
        <w:t>. Forage availability across the eastern foothills is estimated to have declined by 31% since 1990, with the steepest losses in years following extensive fire.</w:t>
      </w:r>
    </w:p>
    <w:p>
      <w:pPr/>
      <w:r>
        <w:t>The ecological signal is unambiguous, and so is its management implication.</w:t>
      </w:r>
    </w:p>
    <w:p>
      <w:pPr>
        <w:pStyle w:val="BookQuote"/>
      </w:pPr>
      <w:r>
        <w:t>The ecological signal is clear: fewer small fires and more large ones have favoured unpalatable tussock species and reduced the winter forage base for Crescent Kangaroo.</w:t>
      </w:r>
    </w:p>
    <w:p>
      <w:pPr>
        <w:pStyle w:val="BookProvenance"/>
      </w:pPr>
      <w:r>
        <w:t>doc18 · Dube and Cortez (2021) · Fire-Regime Shifts and Grass Composition (PDF, 744 words)</w:t>
      </w:r>
    </w:p>
    <w:p>
      <w:pPr/>
      <w:r>
        <w:t xml:space="preserve">Reintroducing frequent, patchy small burns, particularly in spring and early autumn, may restore the short-grass mosaic. Small-scale trials in two foothill reserves increased </w:t>
      </w:r>
      <w:r>
        <w:rPr>
          <w:i/>
        </w:rPr>
        <w:t>P. umbrivagans</w:t>
      </w:r>
      <w:r>
        <w:t xml:space="preserve"> cover within four years, although tussock seed banks remain a constraint </w:t>
      </w:r>
      <w:r>
        <w:t>(Dube and Cortez, 2021)</w:t>
      </w:r>
      <w:r>
        <w:t>. The habitat, in other words, is not simply lost; it is maintained by a disturbance regime that has been interrupted.</w:t>
      </w:r>
    </w:p>
    <w:p>
      <w:pPr>
        <w:pStyle w:val="Heading2"/>
      </w:pPr>
      <w:r>
        <w:t>2.3  The Treeline Ecotone</w:t>
      </w:r>
    </w:p>
    <w:p>
      <w:pPr/>
      <w:r>
        <w:t xml:space="preserve">Higher and narrower is the treeline ecotone of the Karrin Range, between 1700 and 1900 m. Here two kangaroos overlap for a short season, and their coexistence depends on a fine division of microhabitat and time </w:t>
      </w:r>
      <w:r>
        <w:t>(Marchetti et al., 2023)</w:t>
      </w:r>
      <w:r>
        <w:t>.</w:t>
      </w:r>
    </w:p>
    <w:p>
      <w:pPr>
        <w:pStyle w:val="BookQuote"/>
      </w:pPr>
      <w:r>
        <w:t>Between 1700 and 1900 m in the Karrin Range, Shadowtail and Crescent Kangaroos overlap for a few misty weeks in late summer.</w:t>
      </w:r>
    </w:p>
    <w:p>
      <w:pPr>
        <w:pStyle w:val="BookProvenance"/>
      </w:pPr>
      <w:r>
        <w:t>doc22 · Marchetti et al. (2023) · Microhabitat Use at the Treeline Ecotone (PDF, 728 words)</w:t>
      </w:r>
    </w:p>
    <w:p>
      <w:pPr/>
      <w:r>
        <w:t xml:space="preserve">The overlap is not a general mixing. In a study of 42 plots monitored in February and March 2021, Shadowtail kangaroos were strongly associated with shrub thickets and rock outcrops, especially within 15 m of mist-pocket margins, and foraged mainly after dawn. Crescent Kangaroos used open grass swards and ecotone edges, with peak use before sunset. Microhabitat overlap was low (Pianka index 0.31), and forage overlap was lower still (0.24). Temporal separation reduced encounter probability at shared boundaries by an estimated 38% </w:t>
      </w:r>
      <w:r>
        <w:t>(Marchetti et al., 2023)</w:t>
      </w:r>
      <w:r>
        <w:t>.</w:t>
      </w:r>
    </w:p>
    <w:p>
      <w:pPr/>
      <w:r>
        <w:t>The physical structure of the ecotone matters as much as the food. Mist pockets—shallow saddles and lee slopes where nocturnal condensation persists until mid-morning—are cooler and more humid than the surrounding ground.</w:t>
      </w:r>
    </w:p>
    <w:p>
      <w:pPr>
        <w:pStyle w:val="BookQuote"/>
      </w:pPr>
      <w:r>
        <w:t>Mist pockets were 3.1 °C cooler and 14 percentage points more humid than adjacent plots in mid-morning.</w:t>
      </w:r>
    </w:p>
    <w:p>
      <w:pPr>
        <w:pStyle w:val="BookProvenance"/>
      </w:pPr>
      <w:r>
        <w:t>doc22 · Marchetti et al. (2023) · Microhabitat Use at the Treeline Ecotone (PDF, 728 words)</w:t>
      </w:r>
    </w:p>
    <w:p>
      <w:pPr/>
      <w:r>
        <w:t xml:space="preserve">In plots within 20 m of a mist pocket, Shadowtail pellet counts were 2.3 times higher than in dry outcrops, and Crescent grazing intensity was 1.6 times higher at pocket margins than in interior swards </w:t>
      </w:r>
      <w:r>
        <w:t>(Marchetti et al., 2023)</w:t>
      </w:r>
      <w:r>
        <w:t>. The mist extends the window of palatable forage and reduces heat load for the Shadowtail, while the Crescent benefits from fresh grass growth at the pocket edges without entering dense shrub cover. The result is a habitat that works precisely because it is divided.</w:t>
      </w:r>
    </w:p>
    <w:p>
      <w:pPr>
        <w:pStyle w:val="BookQuote"/>
      </w:pPr>
      <w:r>
        <w:t>Coexistence depends on a narrow shrub–grass gradient and on mist-pocket hydrology.</w:t>
      </w:r>
    </w:p>
    <w:p>
      <w:pPr>
        <w:pStyle w:val="BookProvenance"/>
      </w:pPr>
      <w:r>
        <w:t>doc22 · Marchetti et al. (2023) · Microhabitat Use at the Treeline Ecotone (PDF, 728 words)</w:t>
      </w:r>
    </w:p>
    <w:p>
      <w:pPr/>
      <w:r>
        <w:t>The management implication follows directly: protect the hydrology that creates the mist pockets and the shrub–grass boundary that separates the two species. If either is simplified—by drainage, by shrub encroachment, or by uniform grazing—the coexistence mechanism weakens.</w:t>
      </w:r>
    </w:p>
    <w:p>
      <w:pPr>
        <w:pStyle w:val="Heading2"/>
      </w:pPr>
      <w:r>
        <w:t>2.4  The Saltmarsh Lowlands</w:t>
      </w:r>
    </w:p>
    <w:p>
      <w:pPr/>
      <w:r>
        <w:t xml:space="preserve">The fourth place is the lowest and wettest. The Verrin Saltmarsh Lowlands occupy a shallow embayment where freshwater seepage meets diurnal tides, producing a mosaic of saline mudflats, low sedge meadows, and stranded wrack ridges </w:t>
      </w:r>
      <w:r>
        <w:t>(Marchetti and Voss, 2020)</w:t>
      </w:r>
      <w:r>
        <w:t>. In winter, troupes of Crescent Kangaroo descend from the dry uplands and use the lowland sedges, mud wallows, and creek margins. In the previous chapter, the lowland population appeared as an ecological agent; here it appears as a population under pressure from fences.</w:t>
      </w:r>
    </w:p>
    <w:p>
      <w:pPr/>
      <w:r>
        <w:t xml:space="preserve">Between 2008 and 2020, a network of pastoral-boundary fences was erected across Verrin Marsh, Lower Kestrel Flats, and Tallow Creek. The fences were intended to separate grazing leases from sensitive wetland, but their alignment followed property lines rather than drainage patterns </w:t>
      </w:r>
      <w:r>
        <w:t>(Marchetti and Fairweather, 2024)</w:t>
      </w:r>
      <w:r>
        <w:t>. The result was not a mild inconvenience to movement but a structural break in the population.</w:t>
      </w:r>
    </w:p>
    <w:p>
      <w:pPr>
        <w:pStyle w:val="BookQuote"/>
      </w:pPr>
      <w:r>
        <w:t>The result has been a hard fragmentation of the lowland crescent kangaroo population into five genetically isolated clusters: North Verrin, Tallow Creek, Brindlemead, Osprey Sedge, and South Kestrel.</w:t>
      </w:r>
    </w:p>
    <w:p>
      <w:pPr>
        <w:pStyle w:val="BookProvenance"/>
      </w:pPr>
      <w:r>
        <w:t>doc30 · Marchetti and Fairweather (2024) · Pastoral Fencing and Troupe Isolation in the Lowlands (PDF, 562 words)</w:t>
      </w:r>
    </w:p>
    <w:p>
      <w:pPr/>
      <w:r>
        <w:t xml:space="preserve">Scat genotyping between 2016 and 2022 found pairwise FST values of 0.11–0.19 and effective population sizes of 28–60 adults per cluster </w:t>
      </w:r>
      <w:r>
        <w:t>(Marchetti and Fairweather, 2024)</w:t>
      </w:r>
      <w:r>
        <w:t>. Before the fencing programme, seasonal movements of up to 14 km had been recorded between Tallow Creek and North Verrin during wet years. Those movements are now effectively blocked.</w:t>
      </w:r>
    </w:p>
    <w:p>
      <w:pPr>
        <w:pStyle w:val="BookQuote"/>
      </w:pPr>
      <w:r>
        <w:t>Seasonal movements of up to 14 km recorded before fencing are now blocked.</w:t>
      </w:r>
    </w:p>
    <w:p>
      <w:pPr>
        <w:pStyle w:val="BookProvenance"/>
      </w:pPr>
      <w:r>
        <w:t>doc30 · Marchetti and Fairweather (2024) · Pastoral Fencing and Troupe Isolation in the Lowlands (PDF, 562 words)</w:t>
      </w:r>
    </w:p>
    <w:p>
      <w:pPr/>
      <w:r>
        <w:t xml:space="preserve">The habitat consequences go beyond connectivity. Fences prevent access to ephemeral pools and patchy reed beds that provide forage and shade in late summer, and grazing pressure has become uneven, with heavy browsing on the leased side and rank, unburned sedge on the conservation side </w:t>
      </w:r>
      <w:r>
        <w:t>(Marchetti and Fairweather, 2024)</w:t>
      </w:r>
      <w:r>
        <w:t>. The occupied habitat is smaller, more uniform, and less connected than the pre-fencing baseline.</w:t>
      </w:r>
    </w:p>
    <w:p>
      <w:pPr/>
      <w:r>
        <w:t xml:space="preserve">Three remediation options are under review: 30–50 m fence setbacks with replanting of saltmarsh couch and clustered sedge; culverts and jump-outs at nine priority crossings; and a seasonal gate regime during the wet months. A stepped corridor linking South Kestrel to Lower Kestrel Flats is also proposed, using existing drainage reserves. The authors recommend adaptive monitoring against genetic and demographic thresholds before considering genetic rescue for the Osprey Sedge cluster </w:t>
      </w:r>
      <w:r>
        <w:t>(Marchetti and Fairweather, 2024)</w:t>
      </w:r>
      <w:r>
        <w:t>.</w:t>
      </w:r>
    </w:p>
    <w:p>
      <w:pPr>
        <w:pStyle w:val="Heading2"/>
      </w:pPr>
      <w:r>
        <w:t>2.5  A World of Edges</w:t>
      </w:r>
    </w:p>
    <w:p>
      <w:pPr/>
      <w:r>
        <w:t>The four places described here are not separate habitats so much as four expressions of the same principle. The highland scree is a gradient in elevation and substrate; the foothill grassland is a gradient maintained by fire size; the treeline ecotone is a gradient in shrub cover, mist, and time of day; the saltmarsh is a gradient in salinity, tide, and access. In each case, the kangaroo’s persistence depends on the gradient remaining continuous and on the particular structure—scree, short grass, mist pocket, open sedge—remaining available.</w:t>
      </w:r>
    </w:p>
    <w:p>
      <w:pPr/>
      <w:r>
        <w:t xml:space="preserve">The pressures are equally consistent. Scree is contracting upward </w:t>
      </w:r>
      <w:r>
        <w:t>(Cortez et al., 2024)</w:t>
      </w:r>
      <w:r>
        <w:t xml:space="preserve">. Fire regimes have shifted toward fewer, larger burns </w:t>
      </w:r>
      <w:r>
        <w:t>(Dube and Cortez, 2021)</w:t>
      </w:r>
      <w:r>
        <w:t xml:space="preserve">. Mist-pocket hydrology is vulnerable to drainage and climate change </w:t>
      </w:r>
      <w:r>
        <w:t>(Marchetti et al., 2023)</w:t>
      </w:r>
      <w:r>
        <w:t xml:space="preserve">. Fencing has cut a lowland population into five clusters </w:t>
      </w:r>
      <w:r>
        <w:t>(Marchetti and Fairweather, 2024)</w:t>
      </w:r>
      <w:r>
        <w:t>. None of these changes is a simple loss of area. Each is a change in the arrangement of the habitat, and it is the arrangement—the edge, the corridor, the pocket, the seasonal flush—that the animals use.</w:t>
      </w:r>
    </w:p>
    <w:p>
      <w:pPr/>
      <w:r>
        <w:t xml:space="preserve">That is why the management proposals converge on gradients and connections rather than fixed zones. A corridor should protect an elevational gradient </w:t>
      </w:r>
      <w:r>
        <w:t>(Cortez et al., 2024)</w:t>
      </w:r>
      <w:r>
        <w:t xml:space="preserve">. A grassland should be managed for patch burns rather than uniform fuel reduction </w:t>
      </w:r>
      <w:r>
        <w:t>(Dube and Cortez, 2021)</w:t>
      </w:r>
      <w:r>
        <w:t xml:space="preserve">. An ecotone should be protected for its hydrology and its shrub–grass boundary </w:t>
      </w:r>
      <w:r>
        <w:t>(Marchetti et al., 2023)</w:t>
      </w:r>
      <w:r>
        <w:t xml:space="preserve">. A lowland should be reconnected at the places where movement is still possible </w:t>
      </w:r>
      <w:r>
        <w:t>(Marchetti and Fairweather, 2024)</w:t>
      </w:r>
      <w:r>
        <w:t>. The next chapters turn to how the animals use these places: what they eat, how they communicate, when they move, and how their bodies cope with the conditions described here.</w:t>
      </w:r>
    </w:p>
    <w:p>
      <w:pPr>
        <w:pStyle w:val="Heading1"/>
        <w:pageBreakBefore/>
      </w:pPr>
      <w:r>
        <w:t>References</w:t>
      </w:r>
    </w:p>
    <w:p>
      <w:pPr>
        <w:pStyle w:val="BookCaption"/>
      </w:pPr>
      <w:r>
        <w:t>Table 1: Source documents cited in this thesis.</w:t>
      </w:r>
    </w:p>
    <w:tbl>
      <w:tblPr>
        <w:tblStyle w:val="TableGrid"/>
        <w:tblW w:type="auto" w:w="0"/>
        <w:jc w:val="center"/>
        <w:tblLayout w:type="fixed"/>
        <w:tblLook w:firstColumn="1" w:firstRow="1" w:lastColumn="0" w:lastRow="0" w:noHBand="0" w:noVBand="1" w:val="04A0"/>
      </w:tblPr>
      <w:tblGrid>
        <w:gridCol w:w="1247"/>
        <w:gridCol w:w="7257"/>
      </w:tblGrid>
      <w:tr>
        <w:trPr>
          <w:tblHeader w:val="true"/>
        </w:trPr>
        <w:tc>
          <w:tcPr>
            <w:tcW w:type="dxa" w:w="1247"/>
          </w:tcPr>
          <w:p>
            <w:r>
              <w:rPr>
                <w:b/>
                <w:sz w:val="20"/>
              </w:rPr>
              <w:t>ID</w:t>
            </w:r>
          </w:p>
        </w:tc>
        <w:tc>
          <w:tcPr>
            <w:tcW w:type="dxa" w:w="7257"/>
          </w:tcPr>
          <w:p>
            <w:r>
              <w:rPr>
                <w:b/>
                <w:sz w:val="20"/>
              </w:rPr>
              <w:t>Reference</w:t>
            </w:r>
          </w:p>
        </w:tc>
      </w:tr>
      <w:tr>
        <w:tc>
          <w:tcPr>
            <w:tcW w:type="dxa" w:w="1247"/>
          </w:tcPr>
          <w:p>
            <w:r>
              <w:rPr>
                <w:sz w:val="20"/>
              </w:rPr>
              <w:t>doc01</w:t>
            </w:r>
          </w:p>
        </w:tc>
        <w:tc>
          <w:tcPr>
            <w:tcW w:type="dxa" w:w="7257"/>
          </w:tcPr>
          <w:p>
            <w:r>
              <w:rPr>
                <w:sz w:val="20"/>
              </w:rPr>
              <w:t>Voss, E. M. (2018). Field Notes on the Shadowtail Kangaroo of the Umbral Highlands. Umbral Highlands Field Station, Field Notebook Series, UHFN-2018–014.</w:t>
            </w:r>
          </w:p>
        </w:tc>
      </w:tr>
      <w:tr>
        <w:tc>
          <w:tcPr>
            <w:tcW w:type="dxa" w:w="1247"/>
          </w:tcPr>
          <w:p>
            <w:r>
              <w:rPr>
                <w:sz w:val="20"/>
              </w:rPr>
              <w:t>doc10</w:t>
            </w:r>
          </w:p>
        </w:tc>
        <w:tc>
          <w:tcPr>
            <w:tcW w:type="dxa" w:w="7257"/>
          </w:tcPr>
          <w:p>
            <w:r>
              <w:rPr>
                <w:sz w:val="20"/>
              </w:rPr>
              <w:t>Cortez, I., Sato, J. T., &amp; Fairweather, R. K. (2024). Basalt Shrinkage: A 40-Year Habitat Retrospective. Ecological Studies of the Umbral Bioregion 12(1), 1–24.</w:t>
            </w:r>
          </w:p>
        </w:tc>
      </w:tr>
      <w:tr>
        <w:tc>
          <w:tcPr>
            <w:tcW w:type="dxa" w:w="1247"/>
          </w:tcPr>
          <w:p>
            <w:r>
              <w:rPr>
                <w:sz w:val="20"/>
              </w:rPr>
              <w:t>doc13</w:t>
            </w:r>
          </w:p>
        </w:tc>
        <w:tc>
          <w:tcPr>
            <w:tcW w:type="dxa" w:w="7257"/>
          </w:tcPr>
          <w:p>
            <w:r>
              <w:rPr>
                <w:sz w:val="20"/>
              </w:rPr>
              <w:t>Marchetti, S., &amp; Voss, E. M. (2020). Saltmarsh Lowland Ecology and the Crescent Kangaroo. Southern Mammalogy 39(3), 301–325.</w:t>
            </w:r>
          </w:p>
        </w:tc>
      </w:tr>
      <w:tr>
        <w:tc>
          <w:tcPr>
            <w:tcW w:type="dxa" w:w="1247"/>
          </w:tcPr>
          <w:p>
            <w:r>
              <w:rPr>
                <w:sz w:val="20"/>
              </w:rPr>
              <w:t>doc17</w:t>
            </w:r>
          </w:p>
        </w:tc>
        <w:tc>
          <w:tcPr>
            <w:tcW w:type="dxa" w:w="7257"/>
          </w:tcPr>
          <w:p>
            <w:r>
              <w:rPr>
                <w:sz w:val="20"/>
              </w:rPr>
              <w:t>Adeyemi, M. O., &amp; Sato, J. T. (2022). A Phylogenetic Reassessment of the Umbracauda Group. Southern Mammalogy 41(2), 177–196.</w:t>
            </w:r>
          </w:p>
        </w:tc>
      </w:tr>
      <w:tr>
        <w:tc>
          <w:tcPr>
            <w:tcW w:type="dxa" w:w="1247"/>
          </w:tcPr>
          <w:p>
            <w:r>
              <w:rPr>
                <w:sz w:val="20"/>
              </w:rPr>
              <w:t>doc18</w:t>
            </w:r>
          </w:p>
        </w:tc>
        <w:tc>
          <w:tcPr>
            <w:tcW w:type="dxa" w:w="7257"/>
          </w:tcPr>
          <w:p>
            <w:r>
              <w:rPr>
                <w:sz w:val="20"/>
              </w:rPr>
              <w:t>Dube, N. M., &amp; Cortez, I. (2021). Fire-Regime Shifts and Grass Composition. Ecological Studies of the Umbral Bioregion 10(1), 61–88.</w:t>
            </w:r>
          </w:p>
        </w:tc>
      </w:tr>
      <w:tr>
        <w:tc>
          <w:tcPr>
            <w:tcW w:type="dxa" w:w="1247"/>
          </w:tcPr>
          <w:p>
            <w:r>
              <w:rPr>
                <w:sz w:val="20"/>
              </w:rPr>
              <w:t>doc22</w:t>
            </w:r>
          </w:p>
        </w:tc>
        <w:tc>
          <w:tcPr>
            <w:tcW w:type="dxa" w:w="7257"/>
          </w:tcPr>
          <w:p>
            <w:r>
              <w:rPr>
                <w:sz w:val="20"/>
              </w:rPr>
              <w:t>Marchetti, S., Haddad, Y. N., &amp; Dube, N. M. (2023). Microhabitat Use at the Treeline Ecotone. Australasian Journal of Macropod Ecology 42(3), 271–292.</w:t>
            </w:r>
          </w:p>
        </w:tc>
      </w:tr>
      <w:tr>
        <w:tc>
          <w:tcPr>
            <w:tcW w:type="dxa" w:w="1247"/>
          </w:tcPr>
          <w:p>
            <w:r>
              <w:rPr>
                <w:sz w:val="20"/>
              </w:rPr>
              <w:t>doc29</w:t>
            </w:r>
          </w:p>
        </w:tc>
        <w:tc>
          <w:tcPr>
            <w:tcW w:type="dxa" w:w="7257"/>
          </w:tcPr>
          <w:p>
            <w:r>
              <w:rPr>
                <w:sz w:val="20"/>
              </w:rPr>
              <w:t>Adeyemi, M. O., &amp; Sato, J. T. (2021). On the Status of Macropus nebulosus. Southern Mammalogy 40(4), 355–374.</w:t>
            </w:r>
          </w:p>
        </w:tc>
      </w:tr>
      <w:tr>
        <w:tc>
          <w:tcPr>
            <w:tcW w:type="dxa" w:w="1247"/>
          </w:tcPr>
          <w:p>
            <w:r>
              <w:rPr>
                <w:sz w:val="20"/>
              </w:rPr>
              <w:t>doc30</w:t>
            </w:r>
          </w:p>
        </w:tc>
        <w:tc>
          <w:tcPr>
            <w:tcW w:type="dxa" w:w="7257"/>
          </w:tcPr>
          <w:p>
            <w:r>
              <w:rPr>
                <w:sz w:val="20"/>
              </w:rPr>
              <w:t>Marchetti, S., &amp; Fairweather, R. K. (2024). Pastoral Fencing and Troupe Isolation in the Lowlands. Conservation Science Quarterly 20(1), 41–63.</w:t>
            </w:r>
          </w:p>
        </w:tc>
      </w:tr>
    </w:tbl>
    <w:sectPr w:rsidR="00FC693F" w:rsidRPr="0006063C" w:rsidSect="00034616">
      <w:headerReference w:type="default" r:id="rId9"/>
      <w:footerReference w:type="default" r:id="rId10"/>
      <w:pgSz w:w="11906" w:h="16838"/>
      <w:pgMar w:top="1417" w:right="1417" w:bottom="1417" w:left="1984"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line="360" w:lineRule="auto" w:before="0" w:after="120"/>
      <w:ind w:firstLine="0"/>
      <w:jc w:val="both"/>
    </w:pPr>
    <w:rPr>
      <w:rFonts w:ascii="Times New Roman" w:hAnsi="Times New Roman" w:cs="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240" w:lineRule="auto"/>
      <w:ind w:firstLine="0"/>
      <w:jc w:val="left"/>
      <w:outlineLvl w:val="0"/>
    </w:pPr>
    <w:rPr>
      <w:rFonts w:ascii="Arial" w:hAnsi="Arial" w:cs="Arial" w:eastAsia="Arial"/>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ind w:firstLine="0"/>
      <w:jc w:val="left"/>
      <w:outlineLvl w:val="1"/>
    </w:pPr>
    <w:rPr>
      <w:rFonts w:ascii="Arial" w:hAnsi="Arial" w:cs="Arial" w:eastAsia="Arial"/>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FrontTitle">
    <w:name w:val="Book Front Title"/>
    <w:basedOn w:val="Normal"/>
    <w:pPr>
      <w:keepNext/>
      <w:spacing w:before="0" w:after="360"/>
      <w:jc w:val="center"/>
    </w:pPr>
    <w:rPr>
      <w:rFonts w:ascii="Arial" w:hAnsi="Arial" w:cs="Arial" w:eastAsia="Arial"/>
      <w:b/>
      <w:i w:val="0"/>
      <w:sz w:val="28"/>
    </w:rPr>
  </w:style>
  <w:style w:type="paragraph" w:customStyle="1" w:styleId="BookTitlePage">
    <w:name w:val="Book Title Page"/>
    <w:basedOn w:val="Normal"/>
    <w:pPr>
      <w:keepNext w:val="0"/>
      <w:spacing w:before="0" w:after="240"/>
      <w:jc w:val="center"/>
    </w:pPr>
    <w:rPr>
      <w:rFonts w:ascii="Arial" w:hAnsi="Arial" w:cs="Arial" w:eastAsia="Arial"/>
      <w:b/>
      <w:i w:val="0"/>
      <w:sz w:val="48"/>
    </w:rPr>
  </w:style>
  <w:style w:type="paragraph" w:customStyle="1" w:styleId="BookTitleSubtitle">
    <w:name w:val="Book Title Subtitle"/>
    <w:basedOn w:val="Normal"/>
    <w:pPr>
      <w:keepNext w:val="0"/>
      <w:spacing w:before="0" w:after="240"/>
      <w:jc w:val="center"/>
    </w:pPr>
    <w:rPr>
      <w:rFonts w:ascii="Arial" w:hAnsi="Arial" w:cs="Arial" w:eastAsia="Arial"/>
      <w:b w:val="0"/>
      <w:i/>
      <w:sz w:val="32"/>
    </w:rPr>
  </w:style>
  <w:style w:type="paragraph" w:customStyle="1" w:styleId="BookTitleMeta">
    <w:name w:val="Book Title Meta"/>
    <w:basedOn w:val="Normal"/>
    <w:pPr>
      <w:keepNext w:val="0"/>
      <w:spacing w:before="0" w:after="120"/>
      <w:jc w:val="center"/>
    </w:pPr>
    <w:rPr>
      <w:rFonts w:ascii="Times New Roman" w:hAnsi="Times New Roman" w:cs="Times New Roman" w:eastAsia="Times New Roman"/>
      <w:b w:val="0"/>
      <w:i w:val="0"/>
      <w:sz w:val="24"/>
    </w:rPr>
  </w:style>
  <w:style w:type="paragraph" w:customStyle="1" w:styleId="BookQuote">
    <w:name w:val="Book Quote"/>
    <w:basedOn w:val="Normal"/>
    <w:pPr>
      <w:keepNext w:val="0"/>
      <w:spacing w:line="240" w:lineRule="auto" w:before="120" w:after="0"/>
      <w:ind w:firstLine="0" w:left="567" w:right="567"/>
      <w:jc w:val="both"/>
    </w:pPr>
    <w:rPr>
      <w:rFonts w:ascii="Times New Roman" w:hAnsi="Times New Roman" w:cs="Times New Roman" w:eastAsia="Times New Roman"/>
      <w:b w:val="0"/>
      <w:i/>
      <w:sz w:val="22"/>
    </w:rPr>
  </w:style>
  <w:style w:type="paragraph" w:customStyle="1" w:styleId="BookProvenance">
    <w:name w:val="Book Provenance"/>
    <w:basedOn w:val="Normal"/>
    <w:pPr>
      <w:keepNext w:val="0"/>
      <w:spacing w:before="40" w:after="240"/>
      <w:ind w:firstLine="0" w:left="567"/>
      <w:jc w:val="left"/>
    </w:pPr>
    <w:rPr>
      <w:rFonts w:ascii="Times New Roman" w:hAnsi="Times New Roman" w:cs="Times New Roman" w:eastAsia="Times New Roman"/>
      <w:b w:val="0"/>
      <w:i/>
      <w:color w:val="444444"/>
      <w:sz w:val="18"/>
    </w:rPr>
  </w:style>
  <w:style w:type="paragraph" w:customStyle="1" w:styleId="BookList">
    <w:name w:val="Book List"/>
    <w:basedOn w:val="Normal"/>
    <w:pPr>
      <w:keepNext w:val="0"/>
      <w:spacing w:line="360" w:lineRule="auto" w:before="0" w:after="0"/>
      <w:ind w:firstLine="0" w:left="567"/>
      <w:jc w:val="left"/>
    </w:pPr>
    <w:rPr>
      <w:rFonts w:ascii="Times New Roman" w:hAnsi="Times New Roman" w:cs="Times New Roman" w:eastAsia="Times New Roman"/>
      <w:b w:val="0"/>
      <w:i w:val="0"/>
      <w:sz w:val="24"/>
    </w:rPr>
  </w:style>
  <w:style w:type="paragraph" w:customStyle="1" w:styleId="BookCaption">
    <w:name w:val="Book Caption"/>
    <w:basedOn w:val="Normal"/>
    <w:pPr>
      <w:keepNext/>
      <w:spacing w:before="120" w:after="80"/>
      <w:ind w:firstLine="0"/>
      <w:jc w:val="left"/>
    </w:pPr>
    <w:rPr>
      <w:rFonts w:ascii="Times New Roman" w:hAnsi="Times New Roman" w:cs="Times New Roman" w:eastAsia="Times New Roman"/>
      <w:b w:val="0"/>
      <w:i/>
      <w:sz w:val="20"/>
    </w:rPr>
  </w:style>
  <w:style w:type="paragraph" w:customStyle="1" w:styleId="BookReference">
    <w:name w:val="Book Reference"/>
    <w:basedOn w:val="Normal"/>
    <w:pPr>
      <w:keepNext w:val="0"/>
      <w:spacing w:line="240" w:lineRule="auto" w:before="0" w:after="80"/>
      <w:ind w:firstLine="0" w:left="340"/>
      <w:jc w:val="left"/>
    </w:pPr>
    <w:rPr>
      <w:rFonts w:ascii="Times New Roman" w:hAnsi="Times New Roman" w:cs="Times New Roman" w:eastAsia="Times New Roman"/>
      <w:b w:val="0"/>
      <w:i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Shadowtail Kangaroo</dc:title>
  <dc:subject>A Corpus Thesis</dc:subject>
  <dc:creator>Garmoska</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